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FEFE6" w14:textId="75B588CE"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#125</w:t>
      </w:r>
      <w:r w:rsidR="00926D4B">
        <w:rPr>
          <w:rFonts w:ascii="Arial" w:hAnsi="Arial" w:cs="Arial"/>
          <w:b/>
          <w:sz w:val="24"/>
        </w:rPr>
        <w:t>bis</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66F59" w:rsidRPr="00866F59">
        <w:rPr>
          <w:rFonts w:ascii="Arial" w:hAnsi="Arial" w:cs="Arial"/>
          <w:b/>
          <w:sz w:val="24"/>
        </w:rPr>
        <w:t>R2-2402896</w:t>
      </w:r>
    </w:p>
    <w:p w14:paraId="3293D479" w14:textId="07FB9EB1" w:rsidR="00C56D74" w:rsidRPr="00E6516F" w:rsidRDefault="00926D4B" w:rsidP="00E6516F">
      <w:pPr>
        <w:tabs>
          <w:tab w:val="left" w:pos="2160"/>
        </w:tabs>
        <w:rPr>
          <w:rFonts w:ascii="Arial" w:hAnsi="Arial" w:cs="Arial"/>
          <w:b/>
          <w:sz w:val="24"/>
        </w:rPr>
      </w:pPr>
      <w:r w:rsidRPr="00926D4B">
        <w:rPr>
          <w:rFonts w:ascii="Arial" w:hAnsi="Arial" w:cs="Arial"/>
          <w:b/>
          <w:sz w:val="24"/>
        </w:rPr>
        <w:t xml:space="preserve">Changsha, </w:t>
      </w:r>
      <w:proofErr w:type="gramStart"/>
      <w:r w:rsidRPr="00926D4B">
        <w:rPr>
          <w:rFonts w:ascii="Arial" w:hAnsi="Arial" w:cs="Arial"/>
          <w:b/>
          <w:sz w:val="24"/>
        </w:rPr>
        <w:t>China,  April</w:t>
      </w:r>
      <w:proofErr w:type="gramEnd"/>
      <w:r w:rsidRPr="00926D4B">
        <w:rPr>
          <w:rFonts w:ascii="Arial" w:hAnsi="Arial" w:cs="Arial"/>
          <w:b/>
          <w:sz w:val="24"/>
        </w:rPr>
        <w:t xml:space="preserve"> 15th – 19th, 2024</w:t>
      </w:r>
    </w:p>
    <w:p w14:paraId="6C4AF3F4" w14:textId="5C3E93D4" w:rsidR="00C56D74" w:rsidRPr="0008103A" w:rsidRDefault="00C56D74" w:rsidP="00C56D74">
      <w:pPr>
        <w:pStyle w:val="CH"/>
        <w:rPr>
          <w:b w:val="0"/>
        </w:rPr>
      </w:pPr>
      <w:r w:rsidRPr="0008103A">
        <w:t>Agenda item:</w:t>
      </w:r>
      <w:r>
        <w:tab/>
      </w:r>
      <w:r w:rsidR="00926D4B">
        <w:t>8.2.2</w:t>
      </w:r>
    </w:p>
    <w:p w14:paraId="127DDB38" w14:textId="77777777" w:rsidR="00C56D74" w:rsidRPr="00A558BE" w:rsidRDefault="00C56D74" w:rsidP="00C56D74">
      <w:pPr>
        <w:pStyle w:val="CH"/>
        <w:rPr>
          <w:b w:val="0"/>
          <w:lang w:val="en-US" w:eastAsia="zh-CN"/>
        </w:rPr>
      </w:pPr>
      <w:r>
        <w:t>Source:</w:t>
      </w:r>
      <w:r>
        <w:tab/>
        <w:t>Apple</w:t>
      </w:r>
    </w:p>
    <w:p w14:paraId="014FA553" w14:textId="73F44761" w:rsidR="00C56D74" w:rsidRPr="00D212FB" w:rsidRDefault="00C56D74" w:rsidP="00C56D74">
      <w:pPr>
        <w:pStyle w:val="CH"/>
        <w:ind w:left="2260" w:hanging="2260"/>
        <w:rPr>
          <w:lang w:val="en-US" w:eastAsia="zh-CN"/>
        </w:rPr>
      </w:pPr>
      <w:r w:rsidRPr="0008103A">
        <w:t>Title:</w:t>
      </w:r>
      <w:r w:rsidRPr="0008103A">
        <w:tab/>
      </w:r>
      <w:r w:rsidR="00926D4B">
        <w:t xml:space="preserve">A-IoT </w:t>
      </w:r>
      <w:r w:rsidR="002D0162">
        <w:t>device</w:t>
      </w:r>
      <w:r w:rsidR="00926D4B">
        <w:t xml:space="preserve"> hardware capabilities</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2FED84EA" w14:textId="2AE31413" w:rsidR="00055C4A" w:rsidRDefault="005B4882" w:rsidP="0048579F">
      <w:pPr>
        <w:rPr>
          <w:lang w:val="en-US" w:eastAsia="zh-CN"/>
        </w:rPr>
      </w:pPr>
      <w:r>
        <w:rPr>
          <w:lang w:val="en-US" w:eastAsia="zh-CN"/>
        </w:rPr>
        <w:t xml:space="preserve">In this contribution we </w:t>
      </w:r>
      <w:r w:rsidR="00926D4B">
        <w:rPr>
          <w:lang w:val="en-US" w:eastAsia="zh-CN"/>
        </w:rPr>
        <w:t xml:space="preserve">propose to discuss and agree on </w:t>
      </w:r>
      <w:r w:rsidR="00926D4B" w:rsidRPr="00221BEB">
        <w:rPr>
          <w:u w:val="single"/>
          <w:lang w:val="en-US" w:eastAsia="zh-CN"/>
        </w:rPr>
        <w:t xml:space="preserve">hardware </w:t>
      </w:r>
      <w:r w:rsidR="00221BEB" w:rsidRPr="00221BEB">
        <w:rPr>
          <w:u w:val="single"/>
          <w:lang w:val="en-US" w:eastAsia="zh-CN"/>
        </w:rPr>
        <w:t xml:space="preserve">Ambient IoT device </w:t>
      </w:r>
      <w:r w:rsidR="00926D4B" w:rsidRPr="00221BEB">
        <w:rPr>
          <w:u w:val="single"/>
          <w:lang w:val="en-US" w:eastAsia="zh-CN"/>
        </w:rPr>
        <w:t>capabilities</w:t>
      </w:r>
      <w:r w:rsidR="00926D4B">
        <w:rPr>
          <w:lang w:val="en-US" w:eastAsia="zh-CN"/>
        </w:rPr>
        <w:t xml:space="preserve"> (such </w:t>
      </w:r>
      <w:r w:rsidR="00926D4B" w:rsidRPr="00221BEB">
        <w:rPr>
          <w:u w:val="single"/>
          <w:lang w:val="en-US" w:eastAsia="zh-CN"/>
        </w:rPr>
        <w:t xml:space="preserve">as </w:t>
      </w:r>
      <w:r w:rsidR="00E9103C" w:rsidRPr="00221BEB">
        <w:rPr>
          <w:u w:val="single"/>
          <w:lang w:val="en-US" w:eastAsia="zh-CN"/>
        </w:rPr>
        <w:t xml:space="preserve">memory size, </w:t>
      </w:r>
      <w:r w:rsidR="00926D4B" w:rsidRPr="00221BEB">
        <w:rPr>
          <w:u w:val="single"/>
          <w:lang w:val="en-US" w:eastAsia="zh-CN"/>
        </w:rPr>
        <w:t>compute</w:t>
      </w:r>
      <w:r w:rsidR="00221BEB">
        <w:rPr>
          <w:u w:val="single"/>
          <w:lang w:val="en-US" w:eastAsia="zh-CN"/>
        </w:rPr>
        <w:t>/processing</w:t>
      </w:r>
      <w:r w:rsidR="00926D4B">
        <w:rPr>
          <w:lang w:val="en-US" w:eastAsia="zh-CN"/>
        </w:rPr>
        <w:t xml:space="preserve">, </w:t>
      </w:r>
      <w:proofErr w:type="spellStart"/>
      <w:r w:rsidR="00926D4B">
        <w:rPr>
          <w:lang w:val="en-US" w:eastAsia="zh-CN"/>
        </w:rPr>
        <w:t>etc</w:t>
      </w:r>
      <w:proofErr w:type="spellEnd"/>
      <w:r w:rsidR="00926D4B">
        <w:rPr>
          <w:lang w:val="en-US" w:eastAsia="zh-CN"/>
        </w:rPr>
        <w:t xml:space="preserve">) which are important to establish before we proceed to discuss the protocol stack functionality. </w:t>
      </w:r>
    </w:p>
    <w:p w14:paraId="4062A70A" w14:textId="10922587" w:rsidR="00926D4B" w:rsidRDefault="00926D4B" w:rsidP="0048579F">
      <w:pPr>
        <w:rPr>
          <w:lang w:val="en-US" w:eastAsia="zh-CN"/>
        </w:rPr>
      </w:pPr>
      <w:r>
        <w:rPr>
          <w:lang w:val="en-US" w:eastAsia="zh-CN"/>
        </w:rPr>
        <w:t xml:space="preserve">Common understanding of such capabilities is important to be able to discuss functions such as random access, UE states, transactions, etc. </w:t>
      </w:r>
    </w:p>
    <w:p w14:paraId="5DED6999" w14:textId="0F6E3970" w:rsidR="00E9103C" w:rsidRPr="00E9103C" w:rsidRDefault="00E9103C" w:rsidP="00E9103C">
      <w:r>
        <w:t xml:space="preserve">The main reference for the analysis in this contribution is EPC C1G2 specification [3] and C1G2 devices available in the market. </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413DB8E2" w14:textId="7DBA32A7" w:rsidR="002E21E5" w:rsidRDefault="002E21E5" w:rsidP="002E21E5">
      <w:pPr>
        <w:pStyle w:val="Heading3"/>
      </w:pPr>
      <w:r>
        <w:t>2.1</w:t>
      </w:r>
      <w:r>
        <w:tab/>
      </w:r>
      <w:r w:rsidR="00926D4B">
        <w:t>Background</w:t>
      </w:r>
    </w:p>
    <w:p w14:paraId="7580005D" w14:textId="4BB86348" w:rsidR="00926D4B" w:rsidRDefault="00926D4B" w:rsidP="00926D4B">
      <w:r>
        <w:t>The SID [1] defines A-IoT devices as follows:</w:t>
      </w:r>
    </w:p>
    <w:p w14:paraId="59B4E18D" w14:textId="77777777" w:rsidR="00926D4B" w:rsidRPr="00926D4B" w:rsidRDefault="00926D4B" w:rsidP="00926D4B">
      <w:pPr>
        <w:numPr>
          <w:ilvl w:val="0"/>
          <w:numId w:val="50"/>
        </w:numPr>
        <w:rPr>
          <w:i/>
          <w:iCs/>
          <w:lang w:val="en-US"/>
        </w:rPr>
      </w:pPr>
      <w:r w:rsidRPr="00926D4B">
        <w:rPr>
          <w:i/>
          <w:iCs/>
          <w:lang w:val="en-US"/>
        </w:rPr>
        <w:t>~1 µW peak power consumption, has energy storage, initial sampling frequency offset (SFO) up to 10</w:t>
      </w:r>
      <w:r w:rsidRPr="00926D4B">
        <w:rPr>
          <w:i/>
          <w:iCs/>
          <w:vertAlign w:val="superscript"/>
          <w:lang w:val="en-US"/>
        </w:rPr>
        <w:t>X</w:t>
      </w:r>
      <w:r w:rsidRPr="00926D4B">
        <w:rPr>
          <w:i/>
          <w:iCs/>
          <w:lang w:val="en-US"/>
        </w:rPr>
        <w:t xml:space="preserve"> ppm, neither DL nor UL amplification in the device. The device’s UL transmission is backscattered on a carrier wave provided externally.</w:t>
      </w:r>
    </w:p>
    <w:p w14:paraId="0B3DB67E" w14:textId="77777777" w:rsidR="00926D4B" w:rsidRPr="00926D4B" w:rsidRDefault="00926D4B" w:rsidP="00926D4B">
      <w:pPr>
        <w:numPr>
          <w:ilvl w:val="0"/>
          <w:numId w:val="50"/>
        </w:numPr>
        <w:rPr>
          <w:i/>
          <w:iCs/>
          <w:lang w:val="en-US"/>
        </w:rPr>
      </w:pPr>
      <w:r w:rsidRPr="00926D4B">
        <w:rPr>
          <w:i/>
          <w:iCs/>
          <w:lang w:val="en-US"/>
        </w:rPr>
        <w:t>≤ a few hundred µW peak power consumption</w:t>
      </w:r>
      <w:r w:rsidRPr="00926D4B">
        <w:rPr>
          <w:i/>
          <w:iCs/>
          <w:vertAlign w:val="superscript"/>
          <w:lang w:val="en-US"/>
        </w:rPr>
        <w:t>1</w:t>
      </w:r>
      <w:r w:rsidRPr="00926D4B">
        <w:rPr>
          <w:i/>
          <w:iCs/>
          <w:lang w:val="en-US"/>
        </w:rPr>
        <w:t>, has energy storage, initial sampling frequency offset (SFO) up to 10</w:t>
      </w:r>
      <w:r w:rsidRPr="00926D4B">
        <w:rPr>
          <w:i/>
          <w:iCs/>
          <w:vertAlign w:val="superscript"/>
          <w:lang w:val="en-US"/>
        </w:rPr>
        <w:t>X</w:t>
      </w:r>
      <w:r w:rsidRPr="00926D4B">
        <w:rPr>
          <w:i/>
          <w:iCs/>
          <w:lang w:val="en-US"/>
        </w:rPr>
        <w:t xml:space="preserve"> </w:t>
      </w:r>
      <w:proofErr w:type="spellStart"/>
      <w:proofErr w:type="gramStart"/>
      <w:r w:rsidRPr="00926D4B">
        <w:rPr>
          <w:i/>
          <w:iCs/>
          <w:lang w:val="en-US"/>
        </w:rPr>
        <w:t>ppm,DL</w:t>
      </w:r>
      <w:proofErr w:type="spellEnd"/>
      <w:proofErr w:type="gramEnd"/>
      <w:r w:rsidRPr="00926D4B">
        <w:rPr>
          <w:i/>
          <w:iCs/>
          <w:lang w:val="en-US"/>
        </w:rPr>
        <w:t xml:space="preserve"> and/or UL amplification in the device. The device’s UL transmission may be generated internally by the </w:t>
      </w:r>
      <w:proofErr w:type="gramStart"/>
      <w:r w:rsidRPr="00926D4B">
        <w:rPr>
          <w:i/>
          <w:iCs/>
          <w:lang w:val="en-US"/>
        </w:rPr>
        <w:t>device, or</w:t>
      </w:r>
      <w:proofErr w:type="gramEnd"/>
      <w:r w:rsidRPr="00926D4B">
        <w:rPr>
          <w:i/>
          <w:iCs/>
          <w:lang w:val="en-US"/>
        </w:rPr>
        <w:t xml:space="preserve"> be backscattered on a carrier wave provided externally.</w:t>
      </w:r>
    </w:p>
    <w:p w14:paraId="6FFDEC35" w14:textId="77777777" w:rsidR="002D0162" w:rsidRDefault="00926D4B" w:rsidP="00926D4B">
      <w:r>
        <w:t>This has been further revised by RAN1</w:t>
      </w:r>
      <w:r w:rsidR="00F86782">
        <w:t xml:space="preserve"> </w:t>
      </w:r>
      <w:r w:rsidR="002D0162">
        <w:t>as follows:</w:t>
      </w:r>
    </w:p>
    <w:p w14:paraId="5BE11FD2" w14:textId="77777777" w:rsidR="002D0162" w:rsidRPr="00096923" w:rsidRDefault="002D0162" w:rsidP="002D0162">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668E9CB2" w14:textId="77777777" w:rsidR="002D0162" w:rsidRPr="00096923" w:rsidRDefault="002D0162" w:rsidP="002D0162">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06934C41" w14:textId="61BD6120" w:rsidR="002D0162" w:rsidRDefault="002D0162" w:rsidP="002D0162">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7F4A96D" w14:textId="77777777" w:rsidR="002D0162" w:rsidRDefault="002D0162" w:rsidP="00926D4B"/>
    <w:p w14:paraId="0183C528" w14:textId="64F2FFD6" w:rsidR="002D0162" w:rsidRDefault="002D0162" w:rsidP="00926D4B">
      <w:r>
        <w:t>Furthermore, with regards to device capabilities (such as memory) that affect RAN2 design, RAN1 have agreed:</w:t>
      </w:r>
    </w:p>
    <w:p w14:paraId="3D86A5D6" w14:textId="77777777" w:rsidR="002D0162" w:rsidRPr="00382463" w:rsidRDefault="002D0162" w:rsidP="002D0162">
      <w:pPr>
        <w:widowControl w:val="0"/>
        <w:numPr>
          <w:ilvl w:val="0"/>
          <w:numId w:val="51"/>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7194D370" w14:textId="77777777" w:rsidR="002D0162" w:rsidRPr="00CC7C1F" w:rsidRDefault="002D0162" w:rsidP="002D0162">
      <w:pPr>
        <w:widowControl w:val="0"/>
        <w:numPr>
          <w:ilvl w:val="0"/>
          <w:numId w:val="51"/>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0217345" w14:textId="4CEE49BF" w:rsidR="002D0162" w:rsidRDefault="002D0162" w:rsidP="002D0162">
      <w:pPr>
        <w:widowControl w:val="0"/>
        <w:numPr>
          <w:ilvl w:val="0"/>
          <w:numId w:val="51"/>
        </w:numPr>
        <w:autoSpaceDE w:val="0"/>
        <w:autoSpaceDN w:val="0"/>
        <w:adjustRightInd w:val="0"/>
        <w:spacing w:after="0"/>
        <w:jc w:val="both"/>
        <w:rPr>
          <w:b/>
          <w:bCs/>
        </w:rPr>
      </w:pPr>
      <w:r w:rsidRPr="00CC7C1F">
        <w:rPr>
          <w:b/>
          <w:bCs/>
        </w:rPr>
        <w:t>Clock generator</w:t>
      </w:r>
      <w:r w:rsidRPr="00CC7C1F">
        <w:t xml:space="preserve"> provides required clock signal(s).</w:t>
      </w:r>
    </w:p>
    <w:p w14:paraId="6C327C11" w14:textId="77777777" w:rsidR="002D0162" w:rsidRPr="002D0162" w:rsidRDefault="002D0162" w:rsidP="002D0162">
      <w:pPr>
        <w:widowControl w:val="0"/>
        <w:autoSpaceDE w:val="0"/>
        <w:autoSpaceDN w:val="0"/>
        <w:adjustRightInd w:val="0"/>
        <w:spacing w:after="0"/>
        <w:ind w:left="720"/>
        <w:jc w:val="both"/>
        <w:rPr>
          <w:b/>
          <w:bCs/>
        </w:rPr>
      </w:pPr>
    </w:p>
    <w:p w14:paraId="64D85154" w14:textId="21748E43" w:rsidR="00926D4B" w:rsidRDefault="002D0162" w:rsidP="00926D4B">
      <w:r>
        <w:t xml:space="preserve">These agreements are a good starting point, but there are still details of the device hardware architecture of importance to RAN2 which need to be discussed and agreement so that we can proceed to discuss the protocol stack design. </w:t>
      </w:r>
    </w:p>
    <w:p w14:paraId="1133EED2" w14:textId="2F15DA3D" w:rsidR="00926D4B" w:rsidRPr="0061006B" w:rsidRDefault="00926D4B" w:rsidP="00926D4B">
      <w:pPr>
        <w:rPr>
          <w:b/>
          <w:bCs/>
        </w:rPr>
      </w:pPr>
      <w:r w:rsidRPr="0061006B">
        <w:rPr>
          <w:b/>
          <w:bCs/>
        </w:rPr>
        <w:lastRenderedPageBreak/>
        <w:t xml:space="preserve">Observation 1: </w:t>
      </w:r>
      <w:r w:rsidR="002D0162">
        <w:rPr>
          <w:b/>
          <w:bCs/>
        </w:rPr>
        <w:t xml:space="preserve">RAN1 agreements </w:t>
      </w:r>
      <w:r w:rsidR="002D0162" w:rsidRPr="002D0162">
        <w:rPr>
          <w:b/>
          <w:bCs/>
        </w:rPr>
        <w:t>are a good starting point, but there are still details of the device hardware architecture of importance to RAN2 which need to be discussed and agreement so that we can proceed to discuss the protocol stack design</w:t>
      </w:r>
      <w:r w:rsidRPr="0061006B">
        <w:rPr>
          <w:b/>
          <w:bCs/>
        </w:rPr>
        <w:t xml:space="preserve">. </w:t>
      </w:r>
    </w:p>
    <w:p w14:paraId="18740234" w14:textId="7339958B" w:rsidR="00926D4B" w:rsidRDefault="009F24AA" w:rsidP="00926D4B">
      <w:r>
        <w:t>One additional</w:t>
      </w:r>
      <w:r w:rsidR="00926D4B">
        <w:t xml:space="preserve"> reference to such capabilities can be found in the TR 38.848 [2] </w:t>
      </w:r>
    </w:p>
    <w:p w14:paraId="52E6F030" w14:textId="77777777" w:rsidR="00926D4B" w:rsidRPr="00926D4B" w:rsidRDefault="00926D4B" w:rsidP="00926D4B">
      <w:pPr>
        <w:ind w:left="284"/>
        <w:rPr>
          <w:i/>
          <w:iCs/>
        </w:rPr>
      </w:pPr>
      <w:r w:rsidRPr="00926D4B">
        <w:rPr>
          <w:i/>
          <w:iCs/>
        </w:rPr>
        <w:t>For Device A, the complexity target is to be comparable to UHF RFID ISO18000-6C (EPC C1G2).</w:t>
      </w:r>
    </w:p>
    <w:p w14:paraId="00994D90" w14:textId="77777777" w:rsidR="00926D4B" w:rsidRPr="00926D4B" w:rsidRDefault="00926D4B" w:rsidP="00926D4B">
      <w:pPr>
        <w:ind w:left="284"/>
        <w:rPr>
          <w:i/>
          <w:iCs/>
        </w:rPr>
      </w:pPr>
      <w:r w:rsidRPr="00926D4B">
        <w:rPr>
          <w:i/>
          <w:iCs/>
        </w:rPr>
        <w:t>For Device B, the target is such that:</w:t>
      </w:r>
    </w:p>
    <w:p w14:paraId="144144EA" w14:textId="77777777" w:rsidR="00926D4B" w:rsidRPr="00926D4B" w:rsidRDefault="00926D4B" w:rsidP="00926D4B">
      <w:pPr>
        <w:ind w:left="284"/>
        <w:rPr>
          <w:i/>
          <w:iCs/>
        </w:rPr>
      </w:pPr>
      <w:r w:rsidRPr="00926D4B">
        <w:rPr>
          <w:i/>
          <w:iCs/>
        </w:rPr>
        <w:t>-</w:t>
      </w:r>
      <w:r w:rsidRPr="00926D4B">
        <w:rPr>
          <w:i/>
          <w:iCs/>
        </w:rPr>
        <w:tab/>
        <w:t>Device A complexity &lt; Device B complexity &lt; Device C complexity.</w:t>
      </w:r>
    </w:p>
    <w:p w14:paraId="26FD6FF2" w14:textId="77777777" w:rsidR="00926D4B" w:rsidRPr="00926D4B" w:rsidRDefault="00926D4B" w:rsidP="00926D4B">
      <w:pPr>
        <w:ind w:left="284"/>
      </w:pPr>
      <w:r w:rsidRPr="00926D4B">
        <w:rPr>
          <w:i/>
          <w:iCs/>
        </w:rPr>
        <w:t>For Device C, the complexity target is to be orders-of-magnitude lower than NB-IoT.</w:t>
      </w:r>
    </w:p>
    <w:p w14:paraId="32383F18" w14:textId="4877AE1C" w:rsidR="0061006B" w:rsidRDefault="0061006B" w:rsidP="0061006B">
      <w:pPr>
        <w:pStyle w:val="Heading3"/>
      </w:pPr>
      <w:r>
        <w:t>2.2</w:t>
      </w:r>
      <w:r>
        <w:tab/>
        <w:t>Hardware capabilities</w:t>
      </w:r>
    </w:p>
    <w:p w14:paraId="3C775D3C" w14:textId="2006E143" w:rsidR="009C1080" w:rsidRDefault="009C1080" w:rsidP="009C1080">
      <w:pPr>
        <w:pStyle w:val="Heading4"/>
      </w:pPr>
      <w:r>
        <w:t>2.2.1</w:t>
      </w:r>
      <w:r>
        <w:tab/>
        <w:t>Memory</w:t>
      </w:r>
    </w:p>
    <w:p w14:paraId="0CD8AEBB" w14:textId="7F7AE11F" w:rsidR="0061006B" w:rsidRDefault="009C1080" w:rsidP="0061006B">
      <w:r>
        <w:t xml:space="preserve">RAN1 have already agreed that both non-volatile memory (NVRAM) for permanent storage of information (e.g. device ID) and registers/RAM for temporary storage of information. </w:t>
      </w:r>
    </w:p>
    <w:p w14:paraId="3EA2D549" w14:textId="1A26F462" w:rsidR="009C1080" w:rsidRDefault="009C1080" w:rsidP="0061006B">
      <w:r>
        <w:t xml:space="preserve">Furthermore, many EPC C1G2 </w:t>
      </w:r>
      <w:r w:rsidR="00743BDB">
        <w:t xml:space="preserve">read-only memory, i.e. </w:t>
      </w:r>
      <w:r w:rsidR="00743BDB" w:rsidRPr="00743BDB">
        <w:t>memory bank</w:t>
      </w:r>
      <w:r w:rsidR="00743BDB">
        <w:t>s which are</w:t>
      </w:r>
      <w:r w:rsidR="00743BDB" w:rsidRPr="00743BDB">
        <w:t xml:space="preserve"> not writeable</w:t>
      </w:r>
      <w:r w:rsidR="00743BDB">
        <w:t xml:space="preserve">. This may not necessarily affect RAN2 protocol </w:t>
      </w:r>
      <w:proofErr w:type="gramStart"/>
      <w:r w:rsidR="00743BDB">
        <w:t>design, but</w:t>
      </w:r>
      <w:proofErr w:type="gramEnd"/>
      <w:r w:rsidR="00743BDB">
        <w:t xml:space="preserve"> may be needed for security related discussions. Therefore, we propose to extend and generalize the RAN1 agreements on A-IoT device memory as follows:</w:t>
      </w:r>
    </w:p>
    <w:p w14:paraId="0FC0DE69" w14:textId="4CC19CE0" w:rsidR="00872B25" w:rsidRPr="00872B25" w:rsidRDefault="0061006B" w:rsidP="00872B25">
      <w:pPr>
        <w:rPr>
          <w:b/>
          <w:bCs/>
        </w:rPr>
      </w:pPr>
      <w:r w:rsidRPr="00872B25">
        <w:rPr>
          <w:b/>
          <w:bCs/>
        </w:rPr>
        <w:t>Proposal 1:</w:t>
      </w:r>
      <w:r w:rsidR="00044CFF" w:rsidRPr="00872B25">
        <w:rPr>
          <w:b/>
          <w:bCs/>
        </w:rPr>
        <w:t xml:space="preserve"> assume all A-IoT devices have read-only memory (ROM), random access memory (RAM) and non-volatile memory (NVRAM).</w:t>
      </w:r>
    </w:p>
    <w:p w14:paraId="3EC11148" w14:textId="3773FCCC" w:rsidR="00872B25" w:rsidRPr="00872B25" w:rsidRDefault="00872B25" w:rsidP="00872B25">
      <w:pPr>
        <w:rPr>
          <w:b/>
          <w:bCs/>
        </w:rPr>
      </w:pPr>
      <w:r w:rsidRPr="00872B25">
        <w:rPr>
          <w:b/>
          <w:bCs/>
        </w:rPr>
        <w:t xml:space="preserve">Proposal 2: it follows from proposal 1 that A-IoT devices can “remember” information communicated to them even after their energy storage is completely depleted. </w:t>
      </w:r>
    </w:p>
    <w:p w14:paraId="5F0352AE" w14:textId="63FD7D78" w:rsidR="00743BDB" w:rsidRDefault="00743BDB" w:rsidP="0061006B">
      <w:r>
        <w:t xml:space="preserve">The next important question is memory size. </w:t>
      </w:r>
      <w:r w:rsidR="00872B25">
        <w:t xml:space="preserve">This has not been discussed in any 3GPP group (RAN, RAN1 or SA1) and since none of the 3GPP documents provide any reference one can use, we suggest </w:t>
      </w:r>
      <w:proofErr w:type="gramStart"/>
      <w:r w:rsidR="00872B25">
        <w:t>to use</w:t>
      </w:r>
      <w:proofErr w:type="gramEnd"/>
      <w:r w:rsidR="00872B25">
        <w:t xml:space="preserve"> EPC C1G2 (class-1 gen-2) devices available in the market for reference.</w:t>
      </w:r>
    </w:p>
    <w:p w14:paraId="45FFEDA1" w14:textId="77777777" w:rsidR="00743BDB" w:rsidRDefault="00743BDB" w:rsidP="00743BDB">
      <w:r>
        <w:t xml:space="preserve">According to the EPC specification [3] EPC memory and TID memory banks are required. EPC memory bank can be between 16 to 464 bits and the TID memory size is left for implementation. Therefore, </w:t>
      </w:r>
      <w:proofErr w:type="gramStart"/>
      <w:r>
        <w:t>in order to</w:t>
      </w:r>
      <w:proofErr w:type="gramEnd"/>
      <w:r>
        <w:t xml:space="preserve"> get an estimate of the memory typically used in this tags it is best to look at actual devices in the market. </w:t>
      </w:r>
    </w:p>
    <w:p w14:paraId="064C00F9" w14:textId="77777777" w:rsidR="00743BDB" w:rsidRPr="009C1080" w:rsidRDefault="00743BDB" w:rsidP="00743BDB">
      <w:pPr>
        <w:rPr>
          <w:b/>
          <w:bCs/>
        </w:rPr>
      </w:pPr>
      <w:r w:rsidRPr="0061006B">
        <w:rPr>
          <w:b/>
          <w:bCs/>
        </w:rPr>
        <w:t xml:space="preserve">Observation 2: EPC class-1 gen-2 RFID devices (used as a reference for Device A in the TR 38.484) can be used as a reference for minimal hardware capabilities of A-IoT devices. </w:t>
      </w:r>
    </w:p>
    <w:p w14:paraId="2CCE0EE0" w14:textId="77777777" w:rsidR="00743BDB" w:rsidRDefault="00743BDB" w:rsidP="00743BDB">
      <w:r>
        <w:t xml:space="preserve">Below is a list of some commonly used </w:t>
      </w:r>
      <w:r w:rsidRPr="003B10E8">
        <w:t>EPC Class 1 Gen 2 Tags</w:t>
      </w:r>
      <w:r>
        <w:t xml:space="preserve"> and their memory capacities:</w:t>
      </w:r>
    </w:p>
    <w:p w14:paraId="781D669D" w14:textId="77777777" w:rsidR="00743BDB" w:rsidRDefault="00743BDB" w:rsidP="00743BDB">
      <w:pPr>
        <w:pStyle w:val="ListParagraph"/>
        <w:numPr>
          <w:ilvl w:val="0"/>
          <w:numId w:val="52"/>
        </w:numPr>
      </w:pPr>
      <w:r>
        <w:t>Alien Higgs-3: 800 bits</w:t>
      </w:r>
    </w:p>
    <w:p w14:paraId="1AF67A91" w14:textId="77777777" w:rsidR="00743BDB" w:rsidRDefault="00743BDB" w:rsidP="00743BDB">
      <w:pPr>
        <w:pStyle w:val="ListParagraph"/>
        <w:numPr>
          <w:ilvl w:val="0"/>
          <w:numId w:val="52"/>
        </w:numPr>
      </w:pPr>
      <w:r>
        <w:t>Alien Higgs-9: 1024 bits</w:t>
      </w:r>
    </w:p>
    <w:p w14:paraId="7CC8C4F2" w14:textId="77777777" w:rsidR="00743BDB" w:rsidRDefault="00743BDB" w:rsidP="00743BDB">
      <w:pPr>
        <w:pStyle w:val="ListParagraph"/>
        <w:numPr>
          <w:ilvl w:val="0"/>
          <w:numId w:val="52"/>
        </w:numPr>
      </w:pPr>
      <w:r>
        <w:t xml:space="preserve">Murata </w:t>
      </w:r>
      <w:r w:rsidRPr="00A37078">
        <w:t>LXTBKYSCNN-018</w:t>
      </w:r>
      <w:r>
        <w:t>: 1152 bits</w:t>
      </w:r>
    </w:p>
    <w:p w14:paraId="3D386190" w14:textId="77777777" w:rsidR="00743BDB" w:rsidRDefault="00743BDB" w:rsidP="00743BDB">
      <w:pPr>
        <w:pStyle w:val="ListParagraph"/>
        <w:numPr>
          <w:ilvl w:val="0"/>
          <w:numId w:val="52"/>
        </w:numPr>
      </w:pPr>
      <w:r>
        <w:t xml:space="preserve">NXP </w:t>
      </w:r>
      <w:r w:rsidRPr="00A37078">
        <w:t>UCODE DNA</w:t>
      </w:r>
      <w:r>
        <w:t>: 3396 bits</w:t>
      </w:r>
    </w:p>
    <w:p w14:paraId="3703AFA6" w14:textId="77777777" w:rsidR="00743BDB" w:rsidRDefault="00743BDB" w:rsidP="00743BDB">
      <w:r>
        <w:t>This list is by no means exhaustive, but it does provide a good reference.</w:t>
      </w:r>
    </w:p>
    <w:p w14:paraId="23764115" w14:textId="77777777" w:rsidR="00743BDB" w:rsidRPr="009C1080" w:rsidRDefault="00743BDB" w:rsidP="00743BDB">
      <w:pPr>
        <w:rPr>
          <w:b/>
          <w:bCs/>
        </w:rPr>
      </w:pPr>
      <w:r w:rsidRPr="009C1080">
        <w:rPr>
          <w:b/>
          <w:bCs/>
        </w:rPr>
        <w:t xml:space="preserve">Observation 3: high end EPC class-1 gen-2 RFID devices memory capacity is typically between 1024 to 4096 bits. </w:t>
      </w:r>
    </w:p>
    <w:p w14:paraId="0AAB8AF0" w14:textId="51E60B72" w:rsidR="00743BDB" w:rsidRPr="009F24AA" w:rsidRDefault="00743BDB" w:rsidP="00743BDB">
      <w:r w:rsidRPr="009F24AA">
        <w:t xml:space="preserve">Since </w:t>
      </w:r>
      <w:r>
        <w:t xml:space="preserve">EPC C1G2 is referenced for Device A, we can further assume that this is the bare minimum HW capabilities and some A-IoT devices may have more e.g. memory or processing capabilities. </w:t>
      </w:r>
      <w:r w:rsidR="00872B25">
        <w:t xml:space="preserve">While this provides a reference, it is hard to come up with an exact number (which may be needed in RAN2 protocol discussions). </w:t>
      </w:r>
      <w:proofErr w:type="gramStart"/>
      <w:r w:rsidR="00872B25">
        <w:t>It is clear that the</w:t>
      </w:r>
      <w:proofErr w:type="gramEnd"/>
      <w:r w:rsidR="00872B25">
        <w:t xml:space="preserve"> memory capacity is somewhere in the range of a few thousand bits, but any concrete number selected at this stage would be somewhat arbitrary. Therefore, we propose to agree on a reasonable assumption of 4096 bits, which can be revised later if needed.</w:t>
      </w:r>
    </w:p>
    <w:p w14:paraId="2E3047F9" w14:textId="53A85556" w:rsidR="009A386D" w:rsidRPr="00DD71A6" w:rsidRDefault="009A386D" w:rsidP="0061006B">
      <w:pPr>
        <w:rPr>
          <w:b/>
          <w:bCs/>
        </w:rPr>
      </w:pPr>
      <w:r w:rsidRPr="00DD71A6">
        <w:rPr>
          <w:b/>
          <w:bCs/>
        </w:rPr>
        <w:t xml:space="preserve">Proposal </w:t>
      </w:r>
      <w:r w:rsidR="00872B25" w:rsidRPr="00DD71A6">
        <w:rPr>
          <w:b/>
          <w:bCs/>
        </w:rPr>
        <w:t>2</w:t>
      </w:r>
      <w:r w:rsidRPr="00DD71A6">
        <w:rPr>
          <w:b/>
          <w:bCs/>
        </w:rPr>
        <w:t>: assume A-IoT device memory size of a few thousand bits</w:t>
      </w:r>
      <w:r w:rsidR="00872B25" w:rsidRPr="00DD71A6">
        <w:rPr>
          <w:b/>
          <w:bCs/>
        </w:rPr>
        <w:t>, e.g</w:t>
      </w:r>
      <w:r w:rsidRPr="00DD71A6">
        <w:rPr>
          <w:b/>
          <w:bCs/>
        </w:rPr>
        <w:t>.</w:t>
      </w:r>
      <w:r w:rsidR="00872B25" w:rsidRPr="00DD71A6">
        <w:rPr>
          <w:b/>
          <w:bCs/>
        </w:rPr>
        <w:t xml:space="preserve"> 4096; the number can be further discussed if RAN2 protocol design requires higher memory capacity. </w:t>
      </w:r>
    </w:p>
    <w:p w14:paraId="6E041839" w14:textId="7316454C" w:rsidR="00DD71A6" w:rsidRDefault="00DD71A6" w:rsidP="00DD71A6">
      <w:pPr>
        <w:pStyle w:val="Heading4"/>
      </w:pPr>
      <w:r>
        <w:lastRenderedPageBreak/>
        <w:t>2.2.2</w:t>
      </w:r>
      <w:r>
        <w:tab/>
        <w:t>Compute</w:t>
      </w:r>
    </w:p>
    <w:p w14:paraId="5026F5C2" w14:textId="798EBE74" w:rsidR="007577DD" w:rsidRDefault="007577DD" w:rsidP="007577DD">
      <w:r>
        <w:t>Ambient IoT devices are likely to have extremely limited compute/processing capabilities. But how limited and how would it impact RAN2 protocol design?</w:t>
      </w:r>
    </w:p>
    <w:p w14:paraId="09263677" w14:textId="38B87AD5" w:rsidR="007577DD" w:rsidRDefault="007577DD" w:rsidP="007577DD">
      <w:r>
        <w:t xml:space="preserve">While all RFID C1G2 tags have </w:t>
      </w:r>
      <w:proofErr w:type="gramStart"/>
      <w:r>
        <w:t>some sort of a</w:t>
      </w:r>
      <w:proofErr w:type="gramEnd"/>
      <w:r>
        <w:t xml:space="preserve"> controller, there is no direct information about such controllers typical processing capabilities. </w:t>
      </w:r>
    </w:p>
    <w:p w14:paraId="5CA667C3" w14:textId="698C6636" w:rsidR="00340D69" w:rsidRDefault="00340D69" w:rsidP="007577DD">
      <w:r>
        <w:t xml:space="preserve">One reasonable approach to assess what is a reasonable assumption of such capabilities is to inspect compute-related EPC protocol capabilities and then assume similar (or somewhat higher) capabilities should also be available for RAN2 protocol design. </w:t>
      </w:r>
    </w:p>
    <w:p w14:paraId="53226639" w14:textId="53E0EEF6" w:rsidR="00634D24" w:rsidRDefault="00634D24" w:rsidP="007577DD">
      <w:r>
        <w:t xml:space="preserve">The protocol in EPC C1G2 </w:t>
      </w:r>
      <w:r w:rsidR="008A23EC">
        <w:t xml:space="preserve">uses a variant of the </w:t>
      </w:r>
      <w:r w:rsidR="008A23EC" w:rsidRPr="008A23EC">
        <w:t xml:space="preserve">Type-Length-Value (TLV) </w:t>
      </w:r>
      <w:r w:rsidR="008A23EC">
        <w:t>e</w:t>
      </w:r>
      <w:r w:rsidR="008A23EC" w:rsidRPr="008A23EC">
        <w:t>ncoding</w:t>
      </w:r>
      <w:r w:rsidR="008A23EC">
        <w:t>, as shown in the following tables [3]:</w:t>
      </w:r>
    </w:p>
    <w:p w14:paraId="5CC9E2F7" w14:textId="1B23B43C" w:rsidR="008A23EC" w:rsidRDefault="008A23EC" w:rsidP="007577DD">
      <w:r>
        <w:rPr>
          <w:noProof/>
        </w:rPr>
        <w:drawing>
          <wp:inline distT="0" distB="0" distL="0" distR="0" wp14:anchorId="38AF7C38" wp14:editId="6097AD7B">
            <wp:extent cx="6122035" cy="2388235"/>
            <wp:effectExtent l="0" t="0" r="0" b="0"/>
            <wp:docPr id="134395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95290" name="Picture 134395290"/>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88235"/>
                    </a:xfrm>
                    <a:prstGeom prst="rect">
                      <a:avLst/>
                    </a:prstGeom>
                  </pic:spPr>
                </pic:pic>
              </a:graphicData>
            </a:graphic>
          </wp:inline>
        </w:drawing>
      </w:r>
    </w:p>
    <w:p w14:paraId="67665087" w14:textId="45A7D9D1" w:rsidR="008A23EC" w:rsidRDefault="008A23EC" w:rsidP="002B5912">
      <w:r>
        <w:t xml:space="preserve">As one can see, some messages (e.g. errors) have a fixed format (with fixed length) and some messages include a header with </w:t>
      </w:r>
      <w:proofErr w:type="gramStart"/>
      <w:r>
        <w:t>a number of</w:t>
      </w:r>
      <w:proofErr w:type="gramEnd"/>
      <w:r>
        <w:t xml:space="preserve"> fixed parameters, a length field and a message of variable length. All messages include CRC.</w:t>
      </w:r>
    </w:p>
    <w:p w14:paraId="0C036BF7" w14:textId="5E6D7163" w:rsidR="008A23EC" w:rsidRDefault="008A23EC" w:rsidP="002B5912">
      <w:r>
        <w:t xml:space="preserve">Observation 4: EPC C1G2 protocol uses a variant of </w:t>
      </w:r>
      <w:r w:rsidRPr="008A23EC">
        <w:t xml:space="preserve">Type-Length-Value (TLV) </w:t>
      </w:r>
      <w:r>
        <w:t>e</w:t>
      </w:r>
      <w:r w:rsidRPr="008A23EC">
        <w:t>ncoding</w:t>
      </w:r>
      <w:r>
        <w:t>.</w:t>
      </w:r>
    </w:p>
    <w:p w14:paraId="501EB60A" w14:textId="0AB14362" w:rsidR="008A23EC" w:rsidRDefault="008A23EC" w:rsidP="002B5912">
      <w:r>
        <w:t xml:space="preserve">While TLV encoding as not as flexible as ASN.1, it is of course simpler. Our proposal therefore is to assume that </w:t>
      </w:r>
      <w:proofErr w:type="gramStart"/>
      <w:r>
        <w:t>an Ambient IoT device compute capabilities</w:t>
      </w:r>
      <w:proofErr w:type="gramEnd"/>
      <w:r>
        <w:t xml:space="preserve"> don’t allow protocol encodings significantly more complex than TLV. </w:t>
      </w:r>
      <w:proofErr w:type="gramStart"/>
      <w:r>
        <w:t>In particular, this</w:t>
      </w:r>
      <w:proofErr w:type="gramEnd"/>
      <w:r>
        <w:t xml:space="preserve"> rules out ASN.1. Furthermore, where possible, messages with fixed length should be used. </w:t>
      </w:r>
    </w:p>
    <w:p w14:paraId="433A1B61" w14:textId="502FF912" w:rsidR="008A23EC" w:rsidRPr="008A23EC" w:rsidRDefault="008A23EC" w:rsidP="002B5912">
      <w:pPr>
        <w:rPr>
          <w:b/>
          <w:bCs/>
        </w:rPr>
      </w:pPr>
      <w:r w:rsidRPr="008A23EC">
        <w:rPr>
          <w:b/>
          <w:bCs/>
        </w:rPr>
        <w:t xml:space="preserve">Proposal 3: assume A-IoT compute capabilities don’t allow protocol encodings more complex than TLV (i.e. ASN.1 cannot be supported). </w:t>
      </w:r>
    </w:p>
    <w:p w14:paraId="1AC4E95C" w14:textId="55F98607" w:rsidR="002B5912" w:rsidRPr="008A23EC" w:rsidRDefault="008A23EC" w:rsidP="008A23EC">
      <w:pPr>
        <w:rPr>
          <w:b/>
          <w:bCs/>
        </w:rPr>
      </w:pPr>
      <w:r w:rsidRPr="008A23EC">
        <w:rPr>
          <w:b/>
          <w:bCs/>
        </w:rPr>
        <w:t>Proposal 4: usage of messages with fixed length should be encourage whenever possible.</w:t>
      </w:r>
    </w:p>
    <w:p w14:paraId="2E25792A" w14:textId="3039372A" w:rsidR="00DD71A6" w:rsidRDefault="00DD71A6" w:rsidP="00DD71A6">
      <w:pPr>
        <w:pStyle w:val="Heading4"/>
      </w:pPr>
      <w:r>
        <w:t>2.2.3</w:t>
      </w:r>
      <w:r>
        <w:tab/>
        <w:t>Other</w:t>
      </w:r>
    </w:p>
    <w:p w14:paraId="2230A10A" w14:textId="5C74FE33" w:rsidR="00DD71A6" w:rsidRDefault="00E9103C" w:rsidP="00C9010C">
      <w:r>
        <w:t xml:space="preserve">In this section we discuss various additional hardware capabilities of relevance to RAN2 discussions. As previously, the main reference for the proposals below is EPC C1G2 specification and C1G2 devices available in the market. </w:t>
      </w:r>
    </w:p>
    <w:p w14:paraId="75DBA4B2" w14:textId="0691F5CE" w:rsidR="00C9010C" w:rsidRDefault="00C9010C" w:rsidP="00C9010C">
      <w:r>
        <w:t>In many cases, protocol design requires random number generators. Incidentally, so does EPC C1G2 where there is a requirement:</w:t>
      </w:r>
    </w:p>
    <w:p w14:paraId="28E7CC27" w14:textId="57616176" w:rsidR="00C9010C" w:rsidRPr="00C9010C" w:rsidRDefault="00C9010C" w:rsidP="00C9010C">
      <w:pPr>
        <w:ind w:left="284"/>
        <w:rPr>
          <w:i/>
          <w:iCs/>
          <w:lang w:val="en-US"/>
        </w:rPr>
      </w:pPr>
      <w:r w:rsidRPr="00C9010C">
        <w:rPr>
          <w:i/>
          <w:iCs/>
          <w:lang w:val="en-US"/>
        </w:rPr>
        <w:t xml:space="preserve">A Tag shall implement a random or pseudo-random number generator (RNG). The RNG shall meet the following randomness criteria independent of the strength of the energizing RF field, the R=&gt;T link rate, and the data stored in the Tag (including but not limited to the </w:t>
      </w:r>
      <w:proofErr w:type="spellStart"/>
      <w:r w:rsidRPr="00C9010C">
        <w:rPr>
          <w:i/>
          <w:iCs/>
          <w:lang w:val="en-US"/>
        </w:rPr>
        <w:t>StoredPC</w:t>
      </w:r>
      <w:proofErr w:type="spellEnd"/>
      <w:r w:rsidRPr="00C9010C">
        <w:rPr>
          <w:i/>
          <w:iCs/>
          <w:lang w:val="en-US"/>
        </w:rPr>
        <w:t xml:space="preserve">, XPC word or words, EPC, and </w:t>
      </w:r>
      <w:proofErr w:type="spellStart"/>
      <w:r w:rsidRPr="00C9010C">
        <w:rPr>
          <w:i/>
          <w:iCs/>
          <w:lang w:val="en-US"/>
        </w:rPr>
        <w:t>StoredCRC</w:t>
      </w:r>
      <w:proofErr w:type="spellEnd"/>
      <w:r w:rsidRPr="00C9010C">
        <w:rPr>
          <w:i/>
          <w:iCs/>
          <w:lang w:val="en-US"/>
        </w:rPr>
        <w:t xml:space="preserve">). Tags shall generate 16-bit random or pseudo-random numbers (RN16) using the </w:t>
      </w:r>
      <w:proofErr w:type="gramStart"/>
      <w:r w:rsidRPr="00C9010C">
        <w:rPr>
          <w:i/>
          <w:iCs/>
          <w:lang w:val="en-US"/>
        </w:rPr>
        <w:t>RNG, and</w:t>
      </w:r>
      <w:proofErr w:type="gramEnd"/>
      <w:r w:rsidRPr="00C9010C">
        <w:rPr>
          <w:i/>
          <w:iCs/>
          <w:lang w:val="en-US"/>
        </w:rPr>
        <w:t xml:space="preserve"> shall have the ability to extract Q-bit subsets from its RNG to preload the Tag’s slot counter. Tags shall have the ability to temporarily store at least two RN16s while powered, to use, for example, as a handle and a 16-bit cover-code during password transactions.</w:t>
      </w:r>
    </w:p>
    <w:p w14:paraId="5BA9EC20" w14:textId="6BA49BEE" w:rsidR="00C9010C" w:rsidRDefault="00C9010C" w:rsidP="0061006B">
      <w:r>
        <w:t>While the details of the random number generator (such as randomness criteria) are not important at this stage (might be of interest to SA3), it would be useful to agree that an A-IoT device does support a random number generator which is likely to be needed for a protocol to be specified in RAN2.</w:t>
      </w:r>
    </w:p>
    <w:p w14:paraId="308023C5" w14:textId="64CB1FC8" w:rsidR="00044CFF" w:rsidRPr="00C9010C" w:rsidRDefault="00044CFF" w:rsidP="0061006B">
      <w:pPr>
        <w:rPr>
          <w:b/>
          <w:bCs/>
        </w:rPr>
      </w:pPr>
      <w:r w:rsidRPr="00C9010C">
        <w:rPr>
          <w:b/>
          <w:bCs/>
        </w:rPr>
        <w:lastRenderedPageBreak/>
        <w:t xml:space="preserve">Proposal </w:t>
      </w:r>
      <w:r w:rsidR="00C9010C" w:rsidRPr="00C9010C">
        <w:rPr>
          <w:b/>
          <w:bCs/>
        </w:rPr>
        <w:t>5</w:t>
      </w:r>
      <w:r w:rsidRPr="00C9010C">
        <w:rPr>
          <w:b/>
          <w:bCs/>
        </w:rPr>
        <w:t xml:space="preserve">: assume all A-IoT devices have a random number generator. </w:t>
      </w:r>
    </w:p>
    <w:p w14:paraId="11D07CF0" w14:textId="73EA0379" w:rsidR="00C9010C" w:rsidRDefault="00C9010C" w:rsidP="00926D4B">
      <w:r>
        <w:t xml:space="preserve">The final important hardware capability that comes to mind is energy storage. </w:t>
      </w:r>
      <w:r w:rsidR="00B37EB8">
        <w:t xml:space="preserve">A-IoT devices have energy storage which would be used, among other things, for protocol stack functionality (e.g. packet encoding/decoding, etc). It’s hard and may not even be possible to estimate during the study how exactly energy storage limitation might affect protocol stack design. </w:t>
      </w:r>
    </w:p>
    <w:p w14:paraId="174DB80F" w14:textId="7294462E" w:rsidR="00B37EB8" w:rsidRDefault="00B37EB8" w:rsidP="00926D4B">
      <w:r>
        <w:t xml:space="preserve">One potential implication that comes to mind is that there is no guarantee a device would have enough energy to complete a transaction (by transaction here we refer to message exchange such as paging/downlink transmission/uplink transmission) on a single charge. Not only there is no such guarantee, but such cases are likely to be frequent. Hence the proposal </w:t>
      </w:r>
    </w:p>
    <w:p w14:paraId="25DF18E0" w14:textId="2CB55E0E" w:rsidR="002D0162" w:rsidRPr="00B37EB8" w:rsidRDefault="002D0162" w:rsidP="00926D4B">
      <w:pPr>
        <w:rPr>
          <w:b/>
          <w:bCs/>
        </w:rPr>
      </w:pPr>
      <w:r w:rsidRPr="00B37EB8">
        <w:rPr>
          <w:b/>
          <w:bCs/>
        </w:rPr>
        <w:t xml:space="preserve">Proposal </w:t>
      </w:r>
      <w:r w:rsidR="00C66C05">
        <w:rPr>
          <w:b/>
          <w:bCs/>
        </w:rPr>
        <w:t>6</w:t>
      </w:r>
      <w:r w:rsidRPr="00B37EB8">
        <w:rPr>
          <w:b/>
          <w:bCs/>
        </w:rPr>
        <w:t xml:space="preserve">: can’t assume that an A-IoT device’s energy storage always have enough energy to complete </w:t>
      </w:r>
      <w:r w:rsidR="00B37EB8" w:rsidRPr="00B37EB8">
        <w:rPr>
          <w:b/>
          <w:bCs/>
        </w:rPr>
        <w:t>a</w:t>
      </w:r>
      <w:r w:rsidRPr="00B37EB8">
        <w:rPr>
          <w:b/>
          <w:bCs/>
        </w:rPr>
        <w:t xml:space="preserve"> “transaction”. </w:t>
      </w:r>
    </w:p>
    <w:p w14:paraId="34C99636" w14:textId="0307CAFC" w:rsidR="008E7986" w:rsidRDefault="008E7986" w:rsidP="008E7986">
      <w:pPr>
        <w:pStyle w:val="Heading1"/>
      </w:pPr>
      <w:r>
        <w:t>3</w:t>
      </w:r>
      <w:r>
        <w:tab/>
        <w:t>Conclusions</w:t>
      </w:r>
      <w:r w:rsidR="00E04DD7">
        <w:t xml:space="preserve"> and Proposals</w:t>
      </w:r>
    </w:p>
    <w:bookmarkEnd w:id="0"/>
    <w:p w14:paraId="5B72C361" w14:textId="77777777" w:rsidR="00C66C05" w:rsidRPr="0061006B" w:rsidRDefault="00C66C05" w:rsidP="00C66C05">
      <w:pPr>
        <w:rPr>
          <w:b/>
          <w:bCs/>
        </w:rPr>
      </w:pPr>
      <w:r w:rsidRPr="0061006B">
        <w:rPr>
          <w:b/>
          <w:bCs/>
        </w:rPr>
        <w:t xml:space="preserve">Observation 1: </w:t>
      </w:r>
      <w:r>
        <w:rPr>
          <w:b/>
          <w:bCs/>
        </w:rPr>
        <w:t xml:space="preserve">RAN1 agreements </w:t>
      </w:r>
      <w:r w:rsidRPr="002D0162">
        <w:rPr>
          <w:b/>
          <w:bCs/>
        </w:rPr>
        <w:t>are a good starting point, but there are still details of the device hardware architecture of importance to RAN2 which need to be discussed and agreement so that we can proceed to discuss the protocol stack design</w:t>
      </w:r>
      <w:r w:rsidRPr="0061006B">
        <w:rPr>
          <w:b/>
          <w:bCs/>
        </w:rPr>
        <w:t xml:space="preserve">. </w:t>
      </w:r>
    </w:p>
    <w:p w14:paraId="5CBE593F" w14:textId="77777777" w:rsidR="00C66C05" w:rsidRPr="00872B25" w:rsidRDefault="00C66C05" w:rsidP="00C66C05">
      <w:pPr>
        <w:rPr>
          <w:b/>
          <w:bCs/>
        </w:rPr>
      </w:pPr>
      <w:r w:rsidRPr="00872B25">
        <w:rPr>
          <w:b/>
          <w:bCs/>
        </w:rPr>
        <w:t>Proposal 1: assume all A-IoT devices have read-only memory (ROM), random access memory (RAM) and non-volatile memory (NVRAM).</w:t>
      </w:r>
    </w:p>
    <w:p w14:paraId="0D72AD24" w14:textId="77777777" w:rsidR="00C66C05" w:rsidRPr="00872B25" w:rsidRDefault="00C66C05" w:rsidP="00C66C05">
      <w:pPr>
        <w:rPr>
          <w:b/>
          <w:bCs/>
        </w:rPr>
      </w:pPr>
      <w:r w:rsidRPr="00872B25">
        <w:rPr>
          <w:b/>
          <w:bCs/>
        </w:rPr>
        <w:t xml:space="preserve">Proposal 2: it follows from proposal 1 that A-IoT devices can “remember” information communicated to them even after their energy storage is completely depleted. </w:t>
      </w:r>
    </w:p>
    <w:p w14:paraId="0368FD19" w14:textId="77777777" w:rsidR="00C66C05" w:rsidRPr="009C1080" w:rsidRDefault="00C66C05" w:rsidP="00C66C05">
      <w:pPr>
        <w:rPr>
          <w:b/>
          <w:bCs/>
        </w:rPr>
      </w:pPr>
      <w:r w:rsidRPr="0061006B">
        <w:rPr>
          <w:b/>
          <w:bCs/>
        </w:rPr>
        <w:t xml:space="preserve">Observation 2: EPC class-1 gen-2 RFID devices (used as a reference for Device A in the TR 38.484) can be used as a reference for minimal hardware capabilities of A-IoT devices. </w:t>
      </w:r>
    </w:p>
    <w:p w14:paraId="6DC25257" w14:textId="77777777" w:rsidR="00C66C05" w:rsidRPr="009C1080" w:rsidRDefault="00C66C05" w:rsidP="00C66C05">
      <w:pPr>
        <w:rPr>
          <w:b/>
          <w:bCs/>
        </w:rPr>
      </w:pPr>
      <w:r w:rsidRPr="009C1080">
        <w:rPr>
          <w:b/>
          <w:bCs/>
        </w:rPr>
        <w:t xml:space="preserve">Observation 3: high end EPC class-1 gen-2 RFID devices memory capacity is typically between 1024 to 4096 bits. </w:t>
      </w:r>
    </w:p>
    <w:p w14:paraId="52DDBE87" w14:textId="77777777" w:rsidR="00C66C05" w:rsidRPr="00DD71A6" w:rsidRDefault="00C66C05" w:rsidP="00C66C05">
      <w:pPr>
        <w:rPr>
          <w:b/>
          <w:bCs/>
        </w:rPr>
      </w:pPr>
      <w:r w:rsidRPr="00DD71A6">
        <w:rPr>
          <w:b/>
          <w:bCs/>
        </w:rPr>
        <w:t xml:space="preserve">Proposal 2: assume A-IoT device memory size of a few thousand bits, e.g. 4096; the number can be further discussed if RAN2 protocol design requires higher memory capacity. </w:t>
      </w:r>
    </w:p>
    <w:p w14:paraId="1FE322AD" w14:textId="77777777" w:rsidR="00C66C05" w:rsidRPr="008A23EC" w:rsidRDefault="00C66C05" w:rsidP="00C66C05">
      <w:pPr>
        <w:rPr>
          <w:b/>
          <w:bCs/>
        </w:rPr>
      </w:pPr>
      <w:r w:rsidRPr="008A23EC">
        <w:rPr>
          <w:b/>
          <w:bCs/>
        </w:rPr>
        <w:t xml:space="preserve">Proposal 3: assume A-IoT compute capabilities don’t allow protocol encodings more complex than TLV (i.e. ASN.1 cannot be supported). </w:t>
      </w:r>
    </w:p>
    <w:p w14:paraId="67B61452" w14:textId="77777777" w:rsidR="00C66C05" w:rsidRPr="008A23EC" w:rsidRDefault="00C66C05" w:rsidP="00C66C05">
      <w:pPr>
        <w:rPr>
          <w:b/>
          <w:bCs/>
        </w:rPr>
      </w:pPr>
      <w:r w:rsidRPr="008A23EC">
        <w:rPr>
          <w:b/>
          <w:bCs/>
        </w:rPr>
        <w:t>Proposal 4: usage of messages with fixed length should be encourage whenever possible.</w:t>
      </w:r>
    </w:p>
    <w:p w14:paraId="4F3686F3" w14:textId="77777777" w:rsidR="00C66C05" w:rsidRPr="00C9010C" w:rsidRDefault="00C66C05" w:rsidP="00C66C05">
      <w:pPr>
        <w:rPr>
          <w:b/>
          <w:bCs/>
        </w:rPr>
      </w:pPr>
      <w:r w:rsidRPr="00C9010C">
        <w:rPr>
          <w:b/>
          <w:bCs/>
        </w:rPr>
        <w:t xml:space="preserve">Proposal 5: assume all A-IoT devices have a random number generator. </w:t>
      </w:r>
    </w:p>
    <w:p w14:paraId="5BA7498E" w14:textId="62828576" w:rsidR="00926D4B" w:rsidRPr="00C66C05" w:rsidRDefault="00C66C05" w:rsidP="00C66C05">
      <w:pPr>
        <w:rPr>
          <w:b/>
          <w:bCs/>
        </w:rPr>
      </w:pPr>
      <w:r w:rsidRPr="00B37EB8">
        <w:rPr>
          <w:b/>
          <w:bCs/>
        </w:rPr>
        <w:t xml:space="preserve">Proposal </w:t>
      </w:r>
      <w:r>
        <w:rPr>
          <w:b/>
          <w:bCs/>
        </w:rPr>
        <w:t>6</w:t>
      </w:r>
      <w:r w:rsidRPr="00B37EB8">
        <w:rPr>
          <w:b/>
          <w:bCs/>
        </w:rPr>
        <w:t xml:space="preserve">: can’t assume that an A-IoT device’s energy storage always have enough energy to complete a “transaction”. </w:t>
      </w:r>
    </w:p>
    <w:p w14:paraId="404B682A" w14:textId="295C7954" w:rsidR="003E31FD" w:rsidRDefault="00BA1D06" w:rsidP="003E31FD">
      <w:pPr>
        <w:pStyle w:val="Heading1"/>
      </w:pPr>
      <w:r>
        <w:t>4</w:t>
      </w:r>
      <w:r w:rsidR="003E31FD">
        <w:tab/>
        <w:t>References</w:t>
      </w:r>
    </w:p>
    <w:p w14:paraId="2B80B982" w14:textId="7EDDC3FA" w:rsidR="008F5733" w:rsidRDefault="00452F63" w:rsidP="005B4882">
      <w:r>
        <w:t xml:space="preserve">[1] </w:t>
      </w:r>
      <w:r w:rsidR="005B4882">
        <w:tab/>
      </w:r>
      <w:r w:rsidR="00926D4B">
        <w:tab/>
      </w:r>
      <w:r w:rsidR="00926D4B" w:rsidRPr="00926D4B">
        <w:t>RP-240826</w:t>
      </w:r>
      <w:r w:rsidR="00926D4B">
        <w:t xml:space="preserve">, </w:t>
      </w:r>
      <w:r w:rsidR="00926D4B" w:rsidRPr="00926D4B">
        <w:t>Revised SID: Study on solutions for Ambient IoT (Internet of Things) in NR</w:t>
      </w:r>
    </w:p>
    <w:p w14:paraId="756D1A4C" w14:textId="2435538F" w:rsidR="00926D4B" w:rsidRDefault="00926D4B" w:rsidP="005B4882">
      <w:r>
        <w:t>[2]</w:t>
      </w:r>
      <w:r>
        <w:tab/>
      </w:r>
      <w:r>
        <w:tab/>
        <w:t xml:space="preserve">TR 38.848, </w:t>
      </w:r>
      <w:r w:rsidRPr="00926D4B">
        <w:t>Study on Ambient IoT (Internet of Things) in RAN</w:t>
      </w:r>
    </w:p>
    <w:p w14:paraId="67DCEAA2" w14:textId="1A23370D" w:rsidR="0061006B" w:rsidRDefault="0061006B" w:rsidP="0061006B">
      <w:pPr>
        <w:rPr>
          <w:lang w:val="en-US"/>
        </w:rPr>
      </w:pPr>
      <w:r>
        <w:t xml:space="preserve">[3] </w:t>
      </w:r>
      <w:r>
        <w:tab/>
      </w:r>
      <w:r>
        <w:tab/>
      </w:r>
      <w:r w:rsidRPr="0061006B">
        <w:rPr>
          <w:lang w:val="en-US"/>
        </w:rPr>
        <w:t>EPC™ Radio-Frequency Identity Protocols</w:t>
      </w:r>
      <w:r>
        <w:rPr>
          <w:lang w:val="en-US"/>
        </w:rPr>
        <w:t xml:space="preserve"> </w:t>
      </w:r>
      <w:r w:rsidRPr="0061006B">
        <w:rPr>
          <w:lang w:val="en-US"/>
        </w:rPr>
        <w:t>Generation-2 UHF RFID Standard</w:t>
      </w:r>
    </w:p>
    <w:p w14:paraId="2BB42364" w14:textId="36916DFB" w:rsidR="002D0162" w:rsidRPr="0061006B" w:rsidRDefault="002D0162" w:rsidP="0061006B">
      <w:pPr>
        <w:rPr>
          <w:lang w:val="en-US"/>
        </w:rPr>
      </w:pPr>
      <w:r>
        <w:rPr>
          <w:lang w:val="en-US"/>
        </w:rPr>
        <w:t>[4]</w:t>
      </w:r>
      <w:r>
        <w:rPr>
          <w:lang w:val="en-US"/>
        </w:rPr>
        <w:tab/>
      </w:r>
      <w:r>
        <w:rPr>
          <w:lang w:val="en-US"/>
        </w:rPr>
        <w:tab/>
        <w:t xml:space="preserve">RAN1#116 meeting minutes. </w:t>
      </w:r>
    </w:p>
    <w:sectPr w:rsidR="002D0162"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C869" w14:textId="77777777" w:rsidR="00E22E7B" w:rsidRDefault="00E22E7B">
      <w:r>
        <w:separator/>
      </w:r>
    </w:p>
  </w:endnote>
  <w:endnote w:type="continuationSeparator" w:id="0">
    <w:p w14:paraId="124C72A4" w14:textId="77777777" w:rsidR="00E22E7B" w:rsidRDefault="00E2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C439D" w14:textId="77777777" w:rsidR="00E22E7B" w:rsidRDefault="00E22E7B">
      <w:r>
        <w:separator/>
      </w:r>
    </w:p>
  </w:footnote>
  <w:footnote w:type="continuationSeparator" w:id="0">
    <w:p w14:paraId="65D44EFD" w14:textId="77777777" w:rsidR="00E22E7B" w:rsidRDefault="00E22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0"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3"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6"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39"/>
  </w:num>
  <w:num w:numId="5" w16cid:durableId="1690332385">
    <w:abstractNumId w:val="2"/>
  </w:num>
  <w:num w:numId="6" w16cid:durableId="1076781032">
    <w:abstractNumId w:val="2"/>
  </w:num>
  <w:num w:numId="7" w16cid:durableId="1942686117">
    <w:abstractNumId w:val="18"/>
  </w:num>
  <w:num w:numId="8" w16cid:durableId="1023441076">
    <w:abstractNumId w:val="3"/>
  </w:num>
  <w:num w:numId="9" w16cid:durableId="529875344">
    <w:abstractNumId w:val="2"/>
  </w:num>
  <w:num w:numId="10" w16cid:durableId="1742405926">
    <w:abstractNumId w:val="25"/>
  </w:num>
  <w:num w:numId="11" w16cid:durableId="1863127805">
    <w:abstractNumId w:val="44"/>
  </w:num>
  <w:num w:numId="12" w16cid:durableId="821431081">
    <w:abstractNumId w:val="45"/>
  </w:num>
  <w:num w:numId="13" w16cid:durableId="2117361261">
    <w:abstractNumId w:val="31"/>
  </w:num>
  <w:num w:numId="14" w16cid:durableId="457384091">
    <w:abstractNumId w:val="48"/>
  </w:num>
  <w:num w:numId="15" w16cid:durableId="1320497354">
    <w:abstractNumId w:val="22"/>
  </w:num>
  <w:num w:numId="16" w16cid:durableId="17620991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28"/>
  </w:num>
  <w:num w:numId="18" w16cid:durableId="734740145">
    <w:abstractNumId w:val="33"/>
  </w:num>
  <w:num w:numId="19" w16cid:durableId="97139162">
    <w:abstractNumId w:val="43"/>
  </w:num>
  <w:num w:numId="20" w16cid:durableId="1834299695">
    <w:abstractNumId w:val="20"/>
  </w:num>
  <w:num w:numId="21" w16cid:durableId="1585918980">
    <w:abstractNumId w:val="36"/>
  </w:num>
  <w:num w:numId="22" w16cid:durableId="1003240625">
    <w:abstractNumId w:val="34"/>
  </w:num>
  <w:num w:numId="23" w16cid:durableId="1155030379">
    <w:abstractNumId w:val="32"/>
  </w:num>
  <w:num w:numId="24" w16cid:durableId="518086480">
    <w:abstractNumId w:val="27"/>
  </w:num>
  <w:num w:numId="25" w16cid:durableId="1774083706">
    <w:abstractNumId w:val="47"/>
  </w:num>
  <w:num w:numId="26" w16cid:durableId="12389941">
    <w:abstractNumId w:val="13"/>
  </w:num>
  <w:num w:numId="27" w16cid:durableId="1507595987">
    <w:abstractNumId w:val="38"/>
  </w:num>
  <w:num w:numId="28" w16cid:durableId="1730111202">
    <w:abstractNumId w:val="23"/>
  </w:num>
  <w:num w:numId="29" w16cid:durableId="104538824">
    <w:abstractNumId w:val="19"/>
  </w:num>
  <w:num w:numId="30" w16cid:durableId="469247317">
    <w:abstractNumId w:val="40"/>
  </w:num>
  <w:num w:numId="31" w16cid:durableId="2106802149">
    <w:abstractNumId w:val="37"/>
  </w:num>
  <w:num w:numId="32" w16cid:durableId="1024670370">
    <w:abstractNumId w:val="4"/>
  </w:num>
  <w:num w:numId="33" w16cid:durableId="108135547">
    <w:abstractNumId w:val="15"/>
  </w:num>
  <w:num w:numId="34" w16cid:durableId="2019575486">
    <w:abstractNumId w:val="42"/>
  </w:num>
  <w:num w:numId="35" w16cid:durableId="1446655360">
    <w:abstractNumId w:val="17"/>
  </w:num>
  <w:num w:numId="36" w16cid:durableId="300231227">
    <w:abstractNumId w:val="30"/>
  </w:num>
  <w:num w:numId="37" w16cid:durableId="1667786417">
    <w:abstractNumId w:val="46"/>
  </w:num>
  <w:num w:numId="38" w16cid:durableId="1068108894">
    <w:abstractNumId w:val="10"/>
  </w:num>
  <w:num w:numId="39" w16cid:durableId="508561446">
    <w:abstractNumId w:val="9"/>
  </w:num>
  <w:num w:numId="40" w16cid:durableId="284042613">
    <w:abstractNumId w:val="24"/>
  </w:num>
  <w:num w:numId="41" w16cid:durableId="1141968746">
    <w:abstractNumId w:val="11"/>
  </w:num>
  <w:num w:numId="42" w16cid:durableId="1538397545">
    <w:abstractNumId w:val="12"/>
  </w:num>
  <w:num w:numId="43" w16cid:durableId="1704941826">
    <w:abstractNumId w:val="7"/>
  </w:num>
  <w:num w:numId="44" w16cid:durableId="799030740">
    <w:abstractNumId w:val="16"/>
  </w:num>
  <w:num w:numId="45" w16cid:durableId="1500002592">
    <w:abstractNumId w:val="26"/>
  </w:num>
  <w:num w:numId="46" w16cid:durableId="1212888994">
    <w:abstractNumId w:val="8"/>
  </w:num>
  <w:num w:numId="47" w16cid:durableId="19431389">
    <w:abstractNumId w:val="21"/>
  </w:num>
  <w:num w:numId="48" w16cid:durableId="1074277485">
    <w:abstractNumId w:val="35"/>
  </w:num>
  <w:num w:numId="49" w16cid:durableId="1122262579">
    <w:abstractNumId w:val="5"/>
  </w:num>
  <w:num w:numId="50" w16cid:durableId="1851333511">
    <w:abstractNumId w:val="41"/>
  </w:num>
  <w:num w:numId="51" w16cid:durableId="457376276">
    <w:abstractNumId w:val="14"/>
  </w:num>
  <w:num w:numId="52" w16cid:durableId="6582719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5A11"/>
    <w:rsid w:val="00221BEB"/>
    <w:rsid w:val="00224739"/>
    <w:rsid w:val="002347A2"/>
    <w:rsid w:val="002347D9"/>
    <w:rsid w:val="002369B7"/>
    <w:rsid w:val="00241F2F"/>
    <w:rsid w:val="00242D80"/>
    <w:rsid w:val="00244ED3"/>
    <w:rsid w:val="00245165"/>
    <w:rsid w:val="00247926"/>
    <w:rsid w:val="002508FA"/>
    <w:rsid w:val="00254AB3"/>
    <w:rsid w:val="00256F8A"/>
    <w:rsid w:val="0026501B"/>
    <w:rsid w:val="002675F0"/>
    <w:rsid w:val="00276EE4"/>
    <w:rsid w:val="002772D3"/>
    <w:rsid w:val="00277FB3"/>
    <w:rsid w:val="0028623A"/>
    <w:rsid w:val="00287B51"/>
    <w:rsid w:val="00290222"/>
    <w:rsid w:val="00294314"/>
    <w:rsid w:val="00295C21"/>
    <w:rsid w:val="002A1440"/>
    <w:rsid w:val="002A2BA0"/>
    <w:rsid w:val="002B5912"/>
    <w:rsid w:val="002B6339"/>
    <w:rsid w:val="002C196A"/>
    <w:rsid w:val="002C7271"/>
    <w:rsid w:val="002D0162"/>
    <w:rsid w:val="002D2104"/>
    <w:rsid w:val="002D3214"/>
    <w:rsid w:val="002D6B85"/>
    <w:rsid w:val="002E00EE"/>
    <w:rsid w:val="002E21E5"/>
    <w:rsid w:val="002F3DB6"/>
    <w:rsid w:val="002F41D1"/>
    <w:rsid w:val="00313F1B"/>
    <w:rsid w:val="003172DC"/>
    <w:rsid w:val="00331E92"/>
    <w:rsid w:val="00333023"/>
    <w:rsid w:val="003370CD"/>
    <w:rsid w:val="00340D69"/>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10E8"/>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B04"/>
    <w:rsid w:val="00452F63"/>
    <w:rsid w:val="00455227"/>
    <w:rsid w:val="0045626A"/>
    <w:rsid w:val="00460CF7"/>
    <w:rsid w:val="00461758"/>
    <w:rsid w:val="0046281F"/>
    <w:rsid w:val="00462D23"/>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4D24"/>
    <w:rsid w:val="0063543D"/>
    <w:rsid w:val="00642550"/>
    <w:rsid w:val="00647114"/>
    <w:rsid w:val="00654E0E"/>
    <w:rsid w:val="00661921"/>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20DA8"/>
    <w:rsid w:val="00730341"/>
    <w:rsid w:val="00733982"/>
    <w:rsid w:val="00734A5B"/>
    <w:rsid w:val="0074026F"/>
    <w:rsid w:val="007429F6"/>
    <w:rsid w:val="00743BDB"/>
    <w:rsid w:val="00744B1D"/>
    <w:rsid w:val="00744E76"/>
    <w:rsid w:val="00752198"/>
    <w:rsid w:val="00753881"/>
    <w:rsid w:val="00756226"/>
    <w:rsid w:val="007577DD"/>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F9B"/>
    <w:rsid w:val="00846F18"/>
    <w:rsid w:val="00852524"/>
    <w:rsid w:val="00857745"/>
    <w:rsid w:val="00866EDF"/>
    <w:rsid w:val="00866F59"/>
    <w:rsid w:val="00871376"/>
    <w:rsid w:val="00872100"/>
    <w:rsid w:val="00872B25"/>
    <w:rsid w:val="008730C8"/>
    <w:rsid w:val="008768CA"/>
    <w:rsid w:val="00882458"/>
    <w:rsid w:val="00885E96"/>
    <w:rsid w:val="0088743A"/>
    <w:rsid w:val="008905F5"/>
    <w:rsid w:val="00895C3A"/>
    <w:rsid w:val="008A23EC"/>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86D"/>
    <w:rsid w:val="009A3FCF"/>
    <w:rsid w:val="009B2577"/>
    <w:rsid w:val="009B53A1"/>
    <w:rsid w:val="009C1080"/>
    <w:rsid w:val="009C5BDC"/>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37078"/>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37EB8"/>
    <w:rsid w:val="00B4192D"/>
    <w:rsid w:val="00B615CD"/>
    <w:rsid w:val="00B64F8E"/>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2F63"/>
    <w:rsid w:val="00CA3D0C"/>
    <w:rsid w:val="00CB4809"/>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9103C"/>
    <w:rsid w:val="00E96A8E"/>
    <w:rsid w:val="00EA11F2"/>
    <w:rsid w:val="00EA1665"/>
    <w:rsid w:val="00EA3416"/>
    <w:rsid w:val="00EA6F9B"/>
    <w:rsid w:val="00EB369C"/>
    <w:rsid w:val="00EC4A25"/>
    <w:rsid w:val="00EC55C0"/>
    <w:rsid w:val="00ED6A47"/>
    <w:rsid w:val="00EE0817"/>
    <w:rsid w:val="00EE48CD"/>
    <w:rsid w:val="00EE5AA7"/>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28</cp:revision>
  <cp:lastPrinted>2019-02-25T14:05:00Z</cp:lastPrinted>
  <dcterms:created xsi:type="dcterms:W3CDTF">2024-03-26T14:45:00Z</dcterms:created>
  <dcterms:modified xsi:type="dcterms:W3CDTF">2024-04-04T11:59:00Z</dcterms:modified>
  <cp:category/>
</cp:coreProperties>
</file>