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de-DE"/>
        </w:rPr>
      </w:pPr>
      <w:r>
        <w:rPr>
          <w:lang w:val="de-DE"/>
        </w:rPr>
        <w:t>3GPP TSG-RAN WG2 #121</w:t>
      </w:r>
      <w:r>
        <w:rPr>
          <w:rFonts w:hint="eastAsia"/>
          <w:lang w:val="de-DE"/>
        </w:rPr>
        <w:t>bis</w:t>
      </w:r>
      <w:r>
        <w:rPr>
          <w:lang w:val="de-DE"/>
        </w:rPr>
        <w:tab/>
      </w:r>
      <w:r>
        <w:rPr>
          <w:rFonts w:hint="eastAsia"/>
          <w:lang w:val="de-DE"/>
        </w:rPr>
        <w:t>R2-2304298</w:t>
      </w:r>
      <w:bookmarkStart w:id="6" w:name="_GoBack"/>
      <w:bookmarkEnd w:id="6"/>
    </w:p>
    <w:p>
      <w:pPr>
        <w:pStyle w:val="64"/>
        <w:spacing w:after="60"/>
      </w:pPr>
      <w:r>
        <w:rPr>
          <w:rFonts w:hint="eastAsia"/>
          <w:lang w:val="en-US"/>
        </w:rPr>
        <w:t>Online</w:t>
      </w:r>
      <w:r>
        <w:t xml:space="preserve">, </w:t>
      </w:r>
      <w:r>
        <w:rPr>
          <w:rFonts w:hint="eastAsia"/>
        </w:rPr>
        <w:t xml:space="preserve"> 17th April– 26th April 2023</w:t>
      </w:r>
    </w:p>
    <w:p>
      <w:pPr>
        <w:pStyle w:val="111"/>
        <w:tabs>
          <w:tab w:val="left" w:pos="1985"/>
        </w:tabs>
        <w:rPr>
          <w:rFonts w:cs="Arial"/>
          <w:b/>
          <w:bCs/>
          <w:sz w:val="24"/>
        </w:rPr>
      </w:pPr>
    </w:p>
    <w:p>
      <w:pPr>
        <w:pStyle w:val="111"/>
        <w:tabs>
          <w:tab w:val="left" w:pos="1985"/>
        </w:tabs>
        <w:rPr>
          <w:rFonts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7.2.2</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highlight w:val="yellow"/>
          <w:lang w:val="en-US" w:eastAsia="zh-CN"/>
        </w:rPr>
        <w:t xml:space="preserve">[Draft] </w:t>
      </w:r>
      <w:r>
        <w:rPr>
          <w:rFonts w:hint="eastAsia" w:ascii="Arial" w:hAnsi="Arial" w:cs="Arial"/>
          <w:b/>
          <w:bCs/>
          <w:sz w:val="24"/>
          <w:lang w:val="en-US" w:eastAsia="zh-CN"/>
        </w:rPr>
        <w:t xml:space="preserve">Summary of </w:t>
      </w:r>
      <w:r>
        <w:rPr>
          <w:rFonts w:hint="eastAsia" w:ascii="Arial" w:hAnsi="Arial" w:cs="Arial"/>
          <w:b/>
          <w:bCs/>
          <w:sz w:val="24"/>
        </w:rPr>
        <w:t>[AT121bis-e][424][POS] Group positioning and multiple targets (Xiaomi</w:t>
      </w:r>
      <w:r>
        <w:rPr>
          <w:rFonts w:hint="eastAsia" w:ascii="Arial" w:hAnsi="Arial" w:cs="Arial"/>
          <w:b/>
          <w:bCs/>
          <w:sz w:val="24"/>
          <w:lang w:val="en-US" w:eastAsia="zh-CN"/>
        </w:rPr>
        <w:t>/</w:t>
      </w:r>
      <w:r>
        <w:rPr>
          <w:rFonts w:hint="eastAsia" w:ascii="Arial" w:hAnsi="Arial" w:cs="Arial"/>
          <w:b/>
          <w:bCs/>
          <w:sz w:val="24"/>
        </w:rPr>
        <w:t>Qualcomm)</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pPr>
        <w:pStyle w:val="113"/>
        <w:rPr>
          <w:lang w:val="en-US" w:eastAsia="en-GB"/>
        </w:rPr>
      </w:pPr>
    </w:p>
    <w:p>
      <w:pPr>
        <w:pStyle w:val="118"/>
      </w:pPr>
      <w:r>
        <w:t>[AT121bis-e][424][POS] Group positioning and multiple targets (Xiaomi/Qualcomm)</w:t>
      </w:r>
    </w:p>
    <w:p>
      <w:pPr>
        <w:pStyle w:val="119"/>
      </w:pPr>
      <w:r>
        <w:tab/>
      </w:r>
      <w:r>
        <w:t>Scope: Discuss P17-P19 of R2-2302740, attempt to conclude, and evaluate whether we can reply to the SA2 LS on multiple target UEs.</w:t>
      </w:r>
    </w:p>
    <w:p>
      <w:pPr>
        <w:pStyle w:val="119"/>
      </w:pPr>
      <w:r>
        <w:tab/>
      </w:r>
      <w:r>
        <w:t>Intended outcome: Report (Xiaomi) and agreeable reply LS (Qualcomm)</w:t>
      </w:r>
    </w:p>
    <w:p>
      <w:pPr>
        <w:pStyle w:val="119"/>
      </w:pPr>
      <w:r>
        <w:tab/>
      </w:r>
      <w:r>
        <w:t>Deadline: Friday 2023-04-21 1000 UTC</w:t>
      </w:r>
    </w:p>
    <w:p>
      <w:pPr>
        <w:pStyle w:val="119"/>
      </w:pPr>
    </w:p>
    <w:p/>
    <w:p/>
    <w:p>
      <w:pPr>
        <w:pStyle w:val="2"/>
        <w:rPr>
          <w:lang w:eastAsia="zh-CN"/>
        </w:rPr>
      </w:pPr>
      <w:r>
        <w:t>2</w:t>
      </w:r>
      <w:r>
        <w:tab/>
      </w:r>
      <w:r>
        <w:rPr>
          <w:lang w:eastAsia="ko-KR"/>
        </w:rPr>
        <w:t>Contact Information</w:t>
      </w:r>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Ericsson</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Ritesh Shreevastav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nl-NL"/>
              </w:rPr>
            </w:pPr>
            <w:r>
              <w:rPr>
                <w:rFonts w:eastAsia="Calibri"/>
                <w:szCs w:val="22"/>
                <w:lang w:val="nl-NL"/>
              </w:rPr>
              <w:t>Dan Vassilovski (</w:t>
            </w:r>
            <w:r>
              <w:rPr>
                <w:szCs w:val="22"/>
              </w:rPr>
              <w:fldChar w:fldCharType="begin"/>
            </w:r>
            <w:r>
              <w:rPr>
                <w:szCs w:val="22"/>
              </w:rPr>
              <w:instrText xml:space="preserve"> HYPERLINK "mailto:dvassilo@qti.qualcomm.com" </w:instrText>
            </w:r>
            <w:r>
              <w:rPr>
                <w:szCs w:val="22"/>
              </w:rPr>
              <w:fldChar w:fldCharType="separate"/>
            </w:r>
            <w:r>
              <w:rPr>
                <w:rStyle w:val="58"/>
                <w:rFonts w:eastAsia="Calibri"/>
                <w:szCs w:val="22"/>
                <w:lang w:val="nl-NL"/>
              </w:rPr>
              <w:t>dvassilo@qti.qualcomm.com</w:t>
            </w:r>
            <w:r>
              <w:rPr>
                <w:rStyle w:val="58"/>
                <w:rFonts w:eastAsia="Calibri"/>
                <w:szCs w:val="22"/>
                <w:lang w:val="nl-NL"/>
              </w:rPr>
              <w:fldChar w:fldCharType="end"/>
            </w:r>
            <w:r>
              <w:rPr>
                <w:rFonts w:eastAsia="Calibri"/>
                <w:szCs w:val="22"/>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O</w:t>
            </w:r>
            <w:r>
              <w:rPr>
                <w:rFonts w:eastAsiaTheme="minorEastAsia"/>
                <w:szCs w:val="22"/>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Y</w:t>
            </w:r>
            <w:r>
              <w:rPr>
                <w:rFonts w:eastAsiaTheme="minorEastAsia"/>
                <w:szCs w:val="22"/>
                <w:lang w:val="en-US"/>
              </w:rPr>
              <w:t>ang Liu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de-DE"/>
              </w:rPr>
            </w:pPr>
            <w:r>
              <w:rPr>
                <w:rFonts w:hint="eastAsia" w:eastAsiaTheme="minorEastAsia"/>
                <w:szCs w:val="22"/>
                <w:lang w:val="de-D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eastAsia="Calibri"/>
                <w:szCs w:val="22"/>
                <w:lang w:val="de-DE"/>
              </w:rPr>
              <w:t>Lenovo</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Robin Thomas (rthomas7@lenovo.com)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r>
              <w:rPr>
                <w:rFonts w:eastAsia="Calibri"/>
                <w:szCs w:val="22"/>
                <w:lang w:val="en-US"/>
              </w:rPr>
              <w:t>LG</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nl-NL" w:eastAsia="ko-KR"/>
              </w:rPr>
            </w:pPr>
            <w:r>
              <w:rPr>
                <w:rFonts w:eastAsia="Calibri"/>
                <w:szCs w:val="22"/>
                <w:lang w:val="nl-NL"/>
              </w:rPr>
              <w:t>Jonggil Nam (jonggil.nam@lge.com)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Fraunhofer</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fr-FR"/>
              </w:rPr>
            </w:pPr>
            <w:r>
              <w:rPr>
                <w:rFonts w:eastAsia="Calibri"/>
                <w:szCs w:val="22"/>
                <w:lang w:val="fr-FR"/>
              </w:rPr>
              <w:t>Birendra Ghimire (</w:t>
            </w:r>
            <w:r>
              <w:rPr>
                <w:szCs w:val="22"/>
              </w:rPr>
              <w:fldChar w:fldCharType="begin"/>
            </w:r>
            <w:r>
              <w:rPr>
                <w:szCs w:val="22"/>
              </w:rPr>
              <w:instrText xml:space="preserve"> HYPERLINK "mailto:birendra.ghimire@iis.fraunhofer.de" </w:instrText>
            </w:r>
            <w:r>
              <w:rPr>
                <w:szCs w:val="22"/>
              </w:rPr>
              <w:fldChar w:fldCharType="separate"/>
            </w:r>
            <w:r>
              <w:rPr>
                <w:rStyle w:val="58"/>
                <w:rFonts w:eastAsia="Calibri"/>
                <w:szCs w:val="22"/>
                <w:lang w:val="fr-FR"/>
              </w:rPr>
              <w:t>birendra.ghimire@iis.fraunhofer.de</w:t>
            </w:r>
            <w:r>
              <w:rPr>
                <w:rStyle w:val="58"/>
                <w:rFonts w:eastAsia="Calibri"/>
                <w:szCs w:val="22"/>
                <w:lang w:val="fr-FR"/>
              </w:rPr>
              <w:fldChar w:fldCharType="end"/>
            </w:r>
            <w:r>
              <w:rPr>
                <w:rFonts w:eastAsia="Calibri"/>
                <w:szCs w:val="22"/>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en-US"/>
              </w:rPr>
            </w:pPr>
            <w:r>
              <w:rPr>
                <w:rFonts w:hint="eastAsia" w:eastAsiaTheme="minorEastAsia"/>
                <w:szCs w:val="22"/>
                <w:lang w:val="en-US"/>
              </w:rPr>
              <w:t>S</w:t>
            </w:r>
            <w:r>
              <w:rPr>
                <w:rFonts w:eastAsiaTheme="minorEastAsia"/>
                <w:szCs w:val="22"/>
                <w:lang w:val="en-US"/>
              </w:rPr>
              <w:t>preadtrum</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nl-NL"/>
              </w:rPr>
            </w:pPr>
            <w:r>
              <w:rPr>
                <w:rFonts w:hint="eastAsia" w:eastAsiaTheme="minorEastAsia"/>
                <w:szCs w:val="22"/>
                <w:lang w:val="nl-NL"/>
              </w:rPr>
              <w:t>H</w:t>
            </w:r>
            <w:r>
              <w:rPr>
                <w:rFonts w:eastAsiaTheme="minorEastAsia"/>
                <w:szCs w:val="22"/>
                <w:lang w:val="nl-NL"/>
              </w:rPr>
              <w:t>uifang.Fan (Huifang.fan@unisoc.com)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szCs w:val="22"/>
                <w:lang w:val="en-US"/>
              </w:rPr>
            </w:pPr>
            <w:r>
              <w:rPr>
                <w:rFonts w:hint="eastAsia"/>
                <w:szCs w:val="22"/>
                <w:lang w:val="en-US"/>
              </w:rPr>
              <w:t>ZTE</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szCs w:val="22"/>
                <w:lang w:val="fr-FR"/>
              </w:rPr>
            </w:pPr>
            <w:r>
              <w:rPr>
                <w:rFonts w:hint="eastAsia"/>
                <w:szCs w:val="22"/>
                <w:lang w:val="fr-FR"/>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szCs w:val="22"/>
                <w:lang w:val="en-US" w:eastAsia="ko-KR"/>
              </w:rPr>
            </w:pPr>
            <w:r>
              <w:rPr>
                <w:rFonts w:hint="eastAsia"/>
                <w:szCs w:val="22"/>
                <w:lang w:val="en-US"/>
              </w:rPr>
              <w:t>Xiaomi</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szCs w:val="22"/>
                <w:lang w:val="de-DE" w:eastAsia="ko-KR"/>
              </w:rPr>
            </w:pPr>
            <w:r>
              <w:rPr>
                <w:rFonts w:hint="eastAsia"/>
                <w:szCs w:val="22"/>
                <w:lang w:val="de-DE"/>
              </w:rPr>
              <w:t>Xiaowei jiang(jiangxiaowei@xiaomi.com)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eastAsia="ko-KR"/>
              </w:rPr>
            </w:pPr>
            <w:r>
              <w:rPr>
                <w:rFonts w:eastAsia="Calibri"/>
                <w:szCs w:val="22"/>
                <w:lang w:val="de-DE" w:eastAsia="ko-KR"/>
              </w:rPr>
              <w:t>Nokia</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eastAsia="ko-KR"/>
              </w:rPr>
            </w:pPr>
            <w:r>
              <w:rPr>
                <w:rFonts w:eastAsia="Calibri"/>
                <w:szCs w:val="22"/>
                <w:lang w:val="de-DE" w:eastAsia="ko-KR"/>
              </w:rPr>
              <w:t>stepan.kucera@nokia.com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eastAsia="Calibri"/>
                <w:szCs w:val="22"/>
                <w:lang w:val="en-US"/>
              </w:rPr>
              <w:t>Inter</w:t>
            </w:r>
            <w:r>
              <w:rPr>
                <w:rFonts w:hint="eastAsia" w:eastAsia="Calibri"/>
                <w:szCs w:val="22"/>
                <w:lang w:val="en-US" w:eastAsia="ja-JP"/>
              </w:rPr>
              <w:t>D</w:t>
            </w:r>
            <w:r>
              <w:rPr>
                <w:rFonts w:eastAsia="Calibri"/>
                <w:szCs w:val="22"/>
                <w:lang w:val="en-US"/>
              </w:rPr>
              <w:t>igital</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eastAsia="ko-KR"/>
              </w:rPr>
            </w:pPr>
            <w:r>
              <w:rPr>
                <w:rFonts w:eastAsia="Calibri"/>
                <w:szCs w:val="22"/>
                <w:lang w:val="de-DE"/>
              </w:rPr>
              <w:t>Keiichi Kubota (keiichi.kubota@interdigital.com)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eastAsia="Calibri"/>
                <w:szCs w:val="22"/>
                <w:lang w:val="de-DE"/>
              </w:rPr>
              <w:t>Samsung</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nl-NL" w:eastAsia="ko-KR"/>
              </w:rPr>
            </w:pPr>
            <w:r>
              <w:rPr>
                <w:rFonts w:eastAsia="Calibri"/>
                <w:szCs w:val="22"/>
                <w:lang w:val="nl-NL" w:eastAsia="ko-KR"/>
              </w:rPr>
              <w:t>Jeongseok Yu (jeongseok.yu@samsung.com)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de-DE"/>
              </w:rPr>
            </w:pPr>
            <w:r>
              <w:rPr>
                <w:rFonts w:hint="eastAsia" w:eastAsiaTheme="minorEastAsia"/>
                <w:szCs w:val="22"/>
                <w:lang w:val="de-DE"/>
              </w:rPr>
              <w:t>C</w:t>
            </w:r>
            <w:r>
              <w:rPr>
                <w:rFonts w:eastAsiaTheme="minorEastAsia"/>
                <w:szCs w:val="22"/>
                <w:lang w:val="de-DE"/>
              </w:rPr>
              <w:t>MCC</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fr-FR" w:eastAsia="ko-KR"/>
              </w:rPr>
            </w:pPr>
            <w:r>
              <w:rPr>
                <w:rFonts w:hint="eastAsia" w:eastAsiaTheme="minorEastAsia"/>
                <w:szCs w:val="22"/>
                <w:lang w:val="fr-FR"/>
              </w:rPr>
              <w:t>X</w:t>
            </w:r>
            <w:r>
              <w:rPr>
                <w:rFonts w:eastAsiaTheme="minorEastAsia"/>
                <w:szCs w:val="22"/>
                <w:lang w:val="fr-FR"/>
              </w:rPr>
              <w:t>iaoxuan Tang (tangxiaoxuan@chinamobile.com)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fr-F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Theme="minorEastAsia"/>
                <w:szCs w:val="22"/>
                <w:lang w:val="fr-FR"/>
              </w:rPr>
            </w:pPr>
          </w:p>
        </w:tc>
      </w:tr>
    </w:tbl>
    <w:p>
      <w:pPr>
        <w:rPr>
          <w:lang w:val="fr-FR"/>
        </w:rPr>
      </w:pPr>
    </w:p>
    <w:p>
      <w:pPr>
        <w:pStyle w:val="2"/>
        <w:numPr>
          <w:ilvl w:val="0"/>
          <w:numId w:val="14"/>
        </w:numPr>
      </w:pPr>
      <w:r>
        <w:t>Discussions</w:t>
      </w:r>
    </w:p>
    <w:p>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0"/>
              <w:rPr>
                <w:sz w:val="20"/>
                <w:szCs w:val="20"/>
                <w:lang w:val="en-US"/>
              </w:rPr>
            </w:pPr>
            <w:r>
              <w:rPr>
                <w:sz w:val="22"/>
                <w:szCs w:val="22"/>
                <w:lang w:val="en-US"/>
              </w:rPr>
              <w:t>-</w:t>
            </w:r>
            <w:r>
              <w:rPr>
                <w:sz w:val="22"/>
                <w:szCs w:val="22"/>
                <w:lang w:val="en-US"/>
              </w:rPr>
              <w:tab/>
            </w:r>
            <w:r>
              <w:rPr>
                <w:sz w:val="22"/>
                <w:szCs w:val="22"/>
                <w:lang w:val="en-US"/>
              </w:rPr>
              <w:t>A Ranging/SL Positioning layer is introduced on the Target UE/Reference UE/SL Positioning Server UE under Application layer and above AS layer to handle service request received from application layer and to control the Sidelink Positioning and Ranging operation:</w:t>
            </w:r>
          </w:p>
          <w:p>
            <w:pPr>
              <w:pStyle w:val="71"/>
              <w:rPr>
                <w:sz w:val="22"/>
                <w:szCs w:val="22"/>
                <w:lang w:val="en-US"/>
              </w:rPr>
            </w:pPr>
            <w:r>
              <w:rPr>
                <w:sz w:val="22"/>
                <w:szCs w:val="22"/>
                <w:lang w:val="en-US"/>
              </w:rPr>
              <w:t>-</w:t>
            </w:r>
            <w:r>
              <w:rPr>
                <w:sz w:val="22"/>
                <w:szCs w:val="22"/>
                <w:lang w:val="en-US"/>
              </w:rPr>
              <w:tab/>
            </w:r>
            <w:r>
              <w:rPr>
                <w:sz w:val="22"/>
                <w:szCs w:val="22"/>
                <w:lang w:val="en-US"/>
              </w:rPr>
              <w:t>Functionalities supported by the Ranging/SL Positioning layer include discovery of the UE(s) in proximity that can participate in Sidelink Positioning and Ranging service sessions and control signalling between UEs or among a group of UEs or between UE and LMF to manage and coordinate the Sidelink Positioning and Ranging operations.</w:t>
            </w:r>
          </w:p>
          <w:p>
            <w:pPr>
              <w:pStyle w:val="71"/>
              <w:rPr>
                <w:sz w:val="22"/>
                <w:szCs w:val="22"/>
                <w:highlight w:val="yellow"/>
                <w:lang w:val="en-US" w:eastAsia="zh-CN"/>
              </w:rPr>
            </w:pPr>
            <w:r>
              <w:rPr>
                <w:sz w:val="22"/>
                <w:szCs w:val="22"/>
                <w:highlight w:val="yellow"/>
                <w:lang w:val="en-US"/>
              </w:rPr>
              <w:t>-</w:t>
            </w:r>
            <w:r>
              <w:rPr>
                <w:sz w:val="22"/>
                <w:szCs w:val="22"/>
                <w:highlight w:val="yellow"/>
                <w:lang w:val="en-US"/>
              </w:rPr>
              <w:tab/>
            </w:r>
            <w:r>
              <w:rPr>
                <w:sz w:val="22"/>
                <w:szCs w:val="22"/>
                <w:highlight w:val="yellow"/>
                <w:lang w:val="en-US"/>
              </w:rPr>
              <w:t xml:space="preserve">The group management can be performed at application layer, and the application layer may </w:t>
            </w:r>
            <w:r>
              <w:rPr>
                <w:sz w:val="22"/>
                <w:szCs w:val="22"/>
                <w:highlight w:val="yellow"/>
                <w:lang w:val="en-US" w:eastAsia="zh-CN"/>
              </w:rPr>
              <w:t>provide group identifier information</w:t>
            </w:r>
            <w:r>
              <w:rPr>
                <w:sz w:val="22"/>
                <w:szCs w:val="22"/>
                <w:highlight w:val="yellow"/>
                <w:lang w:val="en-US"/>
              </w:rPr>
              <w:t xml:space="preserve"> to the Ranging/SL Positioning layer.</w:t>
            </w:r>
            <w:r>
              <w:rPr>
                <w:sz w:val="22"/>
                <w:szCs w:val="22"/>
                <w:highlight w:val="yellow"/>
                <w:lang w:val="en-US" w:eastAsia="zh-CN"/>
              </w:rPr>
              <w:t xml:space="preserve"> </w:t>
            </w:r>
          </w:p>
          <w:p>
            <w:pPr>
              <w:pStyle w:val="67"/>
              <w:rPr>
                <w:sz w:val="22"/>
                <w:szCs w:val="22"/>
                <w:lang w:val="en-US" w:eastAsia="en-GB"/>
              </w:rPr>
            </w:pPr>
            <w:r>
              <w:rPr>
                <w:sz w:val="22"/>
                <w:szCs w:val="22"/>
                <w:highlight w:val="yellow"/>
                <w:lang w:val="en-US" w:eastAsia="zh-CN"/>
              </w:rPr>
              <w:t>NOTE 1:</w:t>
            </w:r>
            <w:r>
              <w:rPr>
                <w:sz w:val="22"/>
                <w:szCs w:val="22"/>
                <w:highlight w:val="yellow"/>
                <w:lang w:val="en-US"/>
              </w:rPr>
              <w:t xml:space="preserve"> Potential group management within RSPP layer is out-of-scope of SA2.</w:t>
            </w:r>
          </w:p>
        </w:tc>
      </w:tr>
    </w:tbl>
    <w:p/>
    <w:p>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pPr>
        <w:rPr>
          <w:lang w:val="en-US" w:eastAsia="zh-CN"/>
        </w:rPr>
      </w:pPr>
      <w:r>
        <w:rPr>
          <w:lang w:val="en-US" w:eastAsia="zh-CN"/>
        </w:rPr>
        <w:t>So rapporteur would like to ask:</w:t>
      </w:r>
    </w:p>
    <w:p>
      <w:pPr>
        <w:pStyle w:val="160"/>
        <w:widowControl/>
        <w:ind w:firstLine="0" w:firstLineChars="0"/>
        <w:rPr>
          <w:rFonts w:hint="default"/>
        </w:rPr>
      </w:pPr>
    </w:p>
    <w:p>
      <w:pPr>
        <w:pStyle w:val="16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6"/>
        <w:gridCol w:w="2131"/>
        <w:gridCol w:w="6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Partially 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pPr>
              <w:pStyle w:val="80"/>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pPr>
              <w:pStyle w:val="80"/>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pPr>
              <w:pStyle w:val="80"/>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pPr>
              <w:pStyle w:val="80"/>
              <w:spacing w:before="20" w:after="20"/>
              <w:ind w:left="57" w:right="57"/>
              <w:jc w:val="left"/>
              <w:rPr>
                <w:color w:val="00B0F0"/>
                <w:lang w:val="en-US"/>
              </w:rPr>
            </w:pPr>
          </w:p>
          <w:p>
            <w:pPr>
              <w:pStyle w:val="80"/>
              <w:spacing w:before="20" w:after="20"/>
              <w:ind w:left="57" w:right="57"/>
              <w:jc w:val="left"/>
              <w:rPr>
                <w:i/>
                <w:iCs/>
                <w:color w:val="00B0F0"/>
                <w:lang w:val="en-US"/>
              </w:rPr>
            </w:pPr>
            <w:r>
              <w:rPr>
                <w:i/>
                <w:iCs/>
                <w:color w:val="00B0F0"/>
                <w:lang w:val="en-US"/>
              </w:rPr>
              <w:t>Agreement:</w:t>
            </w:r>
          </w:p>
          <w:p>
            <w:pPr>
              <w:pStyle w:val="80"/>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pPr>
              <w:pStyle w:val="80"/>
              <w:spacing w:before="20" w:after="20"/>
              <w:ind w:left="57" w:right="57"/>
              <w:jc w:val="left"/>
              <w:rPr>
                <w:color w:val="00B0F0"/>
                <w:lang w:val="en-US"/>
              </w:rPr>
            </w:pPr>
          </w:p>
          <w:p>
            <w:pPr>
              <w:pStyle w:val="80"/>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t clearly definine it, but we can infer it from the LS and agreement in SA2:</w:t>
            </w:r>
          </w:p>
          <w:p>
            <w:pPr>
              <w:pStyle w:val="80"/>
              <w:spacing w:before="20" w:after="20"/>
              <w:ind w:left="57" w:right="57"/>
              <w:jc w:val="left"/>
              <w:rPr>
                <w:color w:val="00B0F0"/>
                <w:lang w:val="en-US"/>
              </w:rPr>
            </w:pPr>
          </w:p>
          <w:p>
            <w:pPr>
              <w:pStyle w:val="80"/>
              <w:spacing w:before="20" w:after="20"/>
              <w:ind w:left="57" w:right="57"/>
              <w:jc w:val="left"/>
              <w:rPr>
                <w:lang w:val="en-US"/>
              </w:rPr>
            </w:pPr>
            <w:bookmarkStart w:id="2" w:name="_Hlk118277894"/>
            <w:r>
              <w:rPr>
                <w:rFonts w:cs="Arial"/>
                <w:i/>
                <w:iCs/>
                <w:color w:val="00B0F0"/>
                <w:lang w:val="en-US"/>
              </w:rPr>
              <w:t xml:space="preserve">SA2 would like to inform RAN2 that </w:t>
            </w:r>
            <w:bookmarkEnd w:id="2"/>
            <w:r>
              <w:rPr>
                <w:rFonts w:cs="Arial"/>
                <w:i/>
                <w:iCs/>
                <w:color w:val="00B0F0"/>
                <w:lang w:val="en-US"/>
              </w:rPr>
              <w:t xml:space="preserve">during the development of the Ranging/SL Positioning support (as in TS 23.586), </w:t>
            </w:r>
            <w:r>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hint="eastAsia" w:cs="Arial"/>
                <w:i/>
                <w:iCs/>
                <w:color w:val="00B0F0"/>
                <w:highlight w:val="yellow"/>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See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 xml:space="preserve">LG </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It also needs to be clarified how the group is related to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no impact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ZTE</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We see no RAN2 impact also in SL data transmission of groupcast in RAN. So the SL positioning should be same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Xiaomi</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For group positioning, it is related to position a group of UEs. Of course, it is up to upper/application layer to form the group. And group management should also be done in upper/application layer. We are not sure how RAN can perform group management(i.e. adding/deleting member from the group) for the group formed by application layer.</w:t>
            </w:r>
          </w:p>
          <w:p>
            <w:pPr>
              <w:pStyle w:val="80"/>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pPr>
              <w:pStyle w:val="80"/>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Nokia</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 with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Group management by upper layer is in principe agreeable but we also see the need for tighter management at AS / SLPP level. Primary motivation is the management of session-based and session-less management, similarly to the views to QC. We also support the arguments of Lenovo and Frauenhofer.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H</w:t>
            </w:r>
            <w:r>
              <w:rPr>
                <w:lang w:val="en-US"/>
              </w:rPr>
              <w:t>uawei, HiSIlicon</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InterDigital</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tend to agree with CATT. It looks too early to make the conclusion. But we are fine to aim to minimize RAN2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vivo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w:t>
            </w:r>
            <w:r>
              <w:rPr>
                <w:lang w:val="en-US"/>
              </w:rPr>
              <w:t>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with the first half of the sentence (i.e., the group management for group positioning is handled by the upper/application layer), but have different views on the second (i.e., no impact is foreseen in RAN2). If allowing one group member is added or removed by app layer during positioning execution, what happen for the ongoing positioning? Also, it may impact RAN2’s design, e.g., whether delta config of SLPP messages is feasible or not. </w:t>
            </w:r>
          </w:p>
          <w:p>
            <w:pPr>
              <w:pStyle w:val="80"/>
              <w:spacing w:before="20" w:after="20"/>
              <w:ind w:left="57" w:right="57"/>
              <w:jc w:val="left"/>
              <w:rPr>
                <w:lang w:val="en-US"/>
              </w:rPr>
            </w:pPr>
            <w:r>
              <w:rPr>
                <w:rFonts w:hint="eastAsia"/>
                <w:lang w:val="en-US"/>
              </w:rPr>
              <w:t>A</w:t>
            </w:r>
            <w:r>
              <w:rPr>
                <w:lang w:val="en-US"/>
              </w:rPr>
              <w:t xml:space="preserve">ctually, it may depend on the </w:t>
            </w:r>
            <w:r>
              <w:rPr>
                <w:rFonts w:hint="eastAsia"/>
                <w:lang w:val="en-US"/>
              </w:rPr>
              <w:t>definition</w:t>
            </w:r>
            <w:r>
              <w:rPr>
                <w:lang w:val="en-US"/>
              </w:rPr>
              <w:t xml:space="preserve"> of group positioning, which is unclear so far. We should discuss RAN2 impact after the definition of group positioning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Samsung</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 with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 our understanding, group management on application layer for SL positioning is based on the group member discovery over PC5 interface as similar as legacy, and it has no impact in RAN2. But we need to have clarification on relationship between group positioning and group which is managed by application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w:t>
            </w:r>
            <w:r>
              <w:rPr>
                <w:lang w:val="en-US"/>
              </w:rPr>
              <w:t>MCC</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T</w:t>
            </w:r>
            <w:r>
              <w:rPr>
                <w:lang w:val="en-US"/>
              </w:rPr>
              <w:t>he group management is out of the scope of RAN2. The group is determined by the upper/application layer and managed accordingly. RAN may only execute the SL positioning based on the group information provided. For now, we can suspend the discussion until further clarification or request are received from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rPr>
            </w:pPr>
            <w:r>
              <w:rPr>
                <w:lang w:val="en-US"/>
              </w:rPr>
              <w:t>Philips</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rPr>
            </w:pPr>
            <w:r>
              <w:rPr>
                <w:lang w:val="en-US"/>
              </w:rPr>
              <w:t>See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rPr>
            </w:pPr>
            <w:r>
              <w:rPr>
                <w:lang w:val="en-US"/>
              </w:rPr>
              <w:t>We share Qualcomm’s, Lenovo’s and Fraunhofer’s view that SLPP may play an important role in group management. Also need to clarify if upper layer may include LMF, server UE or pre-configured groups in ProSe/V2X/ranging policies</w:t>
            </w:r>
          </w:p>
        </w:tc>
      </w:tr>
    </w:tbl>
    <w:p>
      <w:pPr>
        <w:pStyle w:val="160"/>
        <w:widowControl/>
        <w:ind w:firstLine="0" w:firstLineChars="0"/>
        <w:rPr>
          <w:rFonts w:hint="default"/>
        </w:rPr>
      </w:pPr>
    </w:p>
    <w:p>
      <w:pPr>
        <w:pStyle w:val="160"/>
        <w:widowControl/>
        <w:ind w:firstLine="0" w:firstLineChars="0"/>
        <w:rPr>
          <w:rFonts w:hint="eastAsia"/>
          <w:lang w:val="en-US" w:eastAsia="zh-CN"/>
        </w:rPr>
      </w:pPr>
      <w:r>
        <w:rPr>
          <w:rFonts w:hint="eastAsia"/>
          <w:b/>
          <w:bCs/>
          <w:lang w:val="en-US" w:eastAsia="zh-CN"/>
        </w:rPr>
        <w:t>Rapporteur</w:t>
      </w:r>
      <w:r>
        <w:rPr>
          <w:rFonts w:hint="default"/>
          <w:b/>
          <w:bCs/>
          <w:lang w:val="en-US" w:eastAsia="zh-CN"/>
        </w:rPr>
        <w:t>’</w:t>
      </w:r>
      <w:r>
        <w:rPr>
          <w:rFonts w:hint="eastAsia"/>
          <w:b/>
          <w:bCs/>
          <w:lang w:val="en-US" w:eastAsia="zh-CN"/>
        </w:rPr>
        <w:t xml:space="preserve">s summary: </w:t>
      </w:r>
      <w:r>
        <w:rPr>
          <w:rFonts w:hint="eastAsia"/>
          <w:lang w:val="en-US" w:eastAsia="zh-CN"/>
        </w:rPr>
        <w:t>10/18 companies express the view that group management should be purely application layer work, no impact to RAN2. 5/18 companies think that part of the group management work is done at application layer, and part of the group management work should be done at SLPP layer. 4/18 companies requires more clear definition of group positioning.</w:t>
      </w:r>
    </w:p>
    <w:p>
      <w:pPr>
        <w:pStyle w:val="160"/>
        <w:widowControl/>
        <w:ind w:firstLine="0" w:firstLineChars="0"/>
        <w:rPr>
          <w:rFonts w:hint="eastAsia"/>
          <w:lang w:val="en-US" w:eastAsia="zh-CN"/>
        </w:rPr>
      </w:pPr>
      <w:r>
        <w:rPr>
          <w:rFonts w:hint="eastAsia"/>
          <w:lang w:val="en-US" w:eastAsia="zh-CN"/>
        </w:rPr>
        <w:t xml:space="preserve">From rapporteur point of view, according to the RAN2 agreement on group positioning and SA2 LS, </w:t>
      </w:r>
      <w:bookmarkStart w:id="3" w:name="OLE_LINK1"/>
      <w:r>
        <w:rPr>
          <w:rFonts w:hint="eastAsia"/>
          <w:lang w:val="en-US" w:eastAsia="zh-CN"/>
        </w:rPr>
        <w:t>group positioning is to acquire location estimates of multiple target UEs (absolute positioning) or multiple UE pairs (Ranging/relative positioning) per location request. Given majority companies (15/18) think group management (at least part of it) is done at application layer, rapporteur suggest to give it a try, and leave whether SLPP layer will do group management FFS.</w:t>
      </w:r>
    </w:p>
    <w:bookmarkEnd w:id="3"/>
    <w:p>
      <w:pPr>
        <w:pStyle w:val="74"/>
        <w:numPr>
          <w:ilvl w:val="0"/>
          <w:numId w:val="16"/>
        </w:numPr>
      </w:pPr>
      <w:r>
        <w:rPr>
          <w:rFonts w:hint="eastAsia"/>
          <w:lang w:val="en-US" w:eastAsia="zh-CN"/>
        </w:rPr>
        <w:t xml:space="preserve">Group positioning is to acquire location estimates of multiple target UEs (absolute positioning) or multiple UE pairs (Ranging/relative positioning) per location request. </w:t>
      </w:r>
    </w:p>
    <w:p>
      <w:pPr>
        <w:pStyle w:val="74"/>
        <w:numPr>
          <w:ilvl w:val="0"/>
          <w:numId w:val="16"/>
        </w:numPr>
      </w:pPr>
      <w:bookmarkStart w:id="4" w:name="OLE_LINK2"/>
      <w:r>
        <w:rPr>
          <w:rFonts w:hint="eastAsia"/>
          <w:lang w:val="en-US" w:eastAsia="zh-CN"/>
        </w:rPr>
        <w:t xml:space="preserve">(15/18) At least part of the group management for group positioning is performed at upper/application layer. FFS on whether part of the group management is done at SLPP layer. </w:t>
      </w:r>
    </w:p>
    <w:bookmarkEnd w:id="4"/>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6"/>
        <w:gridCol w:w="2131"/>
        <w:gridCol w:w="6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Agree or not</w:t>
            </w:r>
          </w:p>
        </w:tc>
        <w:tc>
          <w:tcPr>
            <w:tcW w:w="317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 xml:space="preserve">Ericsson </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However, there should be provision in the Core Network to map the L2ID with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incudes the dissemination of relevant Application-layer IDs and Destination Layer 2 IDs.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A</w:t>
            </w:r>
            <w: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rPr>
              <w:t>CATT</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pPr>
              <w:pStyle w:val="80"/>
              <w:spacing w:before="20" w:after="20"/>
              <w:ind w:left="57" w:right="57"/>
              <w:jc w:val="left"/>
              <w:rPr>
                <w:lang w:val="en-US"/>
              </w:rPr>
            </w:pPr>
            <w:r>
              <w:rPr>
                <w:rFonts w:hint="eastAsia"/>
                <w:color w:val="00B0F0"/>
                <w:lang w:val="en-US"/>
              </w:rPr>
              <w:t>[Xiaomi] We agree that destination lD should come from V2X/ProSe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According to current spec, the network does not have individual L2 ID (i.e. Source Layer-2 ID and the Destination Layer-2 ID) for all UEs used in sidelink communication. In 38.331, UE sends SIdelinkUEInformationNR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pPr>
              <w:pStyle w:val="80"/>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ZTE</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They should not come from SLPP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Xiaomi</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Agree with changes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Change to the following:</w:t>
            </w:r>
          </w:p>
          <w:p>
            <w:pPr>
              <w:pStyle w:val="80"/>
              <w:spacing w:before="20" w:after="20"/>
              <w:ind w:left="57" w:right="57"/>
              <w:jc w:val="left"/>
              <w:rPr>
                <w:lang w:val="en-GB"/>
              </w:rPr>
            </w:pPr>
            <w:r>
              <w:rPr>
                <w:rFonts w:hint="eastAsia"/>
                <w:lang w:val="en-US"/>
              </w:rPr>
              <w:t>The group ID is provided by application layer, L2 Destination IDs is provided by ProSe/V2X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Nokia</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support the need to identify individual UEs for SLPP layer purposes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H</w:t>
            </w:r>
            <w:r>
              <w:rPr>
                <w:lang w:val="en-US"/>
              </w:rPr>
              <w:t>uawei, HiSilicon</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eastAsia="ja-JP"/>
              </w:rPr>
              <w:t>InterDigital</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eastAsia="ja-JP"/>
              </w:rPr>
              <w:t>W</w:t>
            </w:r>
            <w:r>
              <w:rPr>
                <w:lang w:val="en-US" w:eastAsia="ja-JP"/>
              </w:rPr>
              <w:t>e share CATT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v</w:t>
            </w:r>
            <w:r>
              <w:rPr>
                <w:lang w:val="en-US"/>
              </w:rPr>
              <w:t>ivo</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ame view with CATT and InterDigital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Samsung</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Agree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w:t>
            </w:r>
            <w:r>
              <w:rPr>
                <w:lang w:val="en-US"/>
              </w:rPr>
              <w:t>MCC</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A</w:t>
            </w:r>
            <w:r>
              <w:rPr>
                <w:lang w:val="en-US"/>
              </w:rPr>
              <w:t>gree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Philips</w:t>
            </w:r>
          </w:p>
        </w:tc>
        <w:tc>
          <w:tcPr>
            <w:tcW w:w="1102"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See comment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Depends on Q1</w:t>
            </w:r>
          </w:p>
        </w:tc>
      </w:tr>
    </w:tbl>
    <w:p>
      <w:pPr>
        <w:widowControl w:val="0"/>
        <w:spacing w:after="0"/>
        <w:jc w:val="both"/>
        <w:rPr>
          <w:rFonts w:ascii="Arial" w:hAnsi="Arial" w:cs="Arial"/>
          <w:lang w:val="en-US"/>
        </w:rPr>
      </w:pPr>
    </w:p>
    <w:p>
      <w:pPr>
        <w:rPr>
          <w:rFonts w:hint="eastAsia"/>
          <w:lang w:val="en-US" w:eastAsia="zh-CN"/>
        </w:rPr>
      </w:pPr>
      <w:r>
        <w:rPr>
          <w:rFonts w:hint="eastAsia"/>
          <w:b/>
          <w:bCs/>
          <w:lang w:val="en-US" w:eastAsia="zh-CN"/>
        </w:rPr>
        <w:t>Rapporteur</w:t>
      </w:r>
      <w:r>
        <w:rPr>
          <w:rFonts w:hint="default"/>
          <w:b/>
          <w:bCs/>
          <w:lang w:val="en-US" w:eastAsia="zh-CN"/>
        </w:rPr>
        <w:t>’</w:t>
      </w:r>
      <w:r>
        <w:rPr>
          <w:rFonts w:hint="eastAsia"/>
          <w:b/>
          <w:bCs/>
          <w:lang w:val="en-US" w:eastAsia="zh-CN"/>
        </w:rPr>
        <w:t xml:space="preserve">s summary: </w:t>
      </w:r>
      <w:r>
        <w:rPr>
          <w:rFonts w:hint="eastAsia"/>
          <w:lang w:val="en-US" w:eastAsia="zh-CN"/>
        </w:rPr>
        <w:t>13/18 companies agree that group ID and destination layer 2 ID is coming from upper layer of SLPP. Two companies think destination layer 2 ID should come from ProSe/V2X layer, not from upper layer of SLPP, since ProSe/V2X layer is below SLPP layer. Rapporteur thinks it is the correct understanding. 4 companies think we should clarify the meaning of group.</w:t>
      </w:r>
    </w:p>
    <w:p>
      <w:pPr>
        <w:pStyle w:val="74"/>
        <w:numPr>
          <w:ilvl w:val="0"/>
          <w:numId w:val="16"/>
        </w:numPr>
      </w:pPr>
      <w:r>
        <w:rPr>
          <w:rFonts w:hint="eastAsia"/>
          <w:lang w:val="en-US" w:eastAsia="zh-CN"/>
        </w:rPr>
        <w:t xml:space="preserve">(13/18) If group management for group positioning is performed at upper/application layer, group ID is coming from upper/application layer. L2 Destination ID is coming from ProSe/V2X layer. </w:t>
      </w:r>
    </w:p>
    <w:p>
      <w:pPr>
        <w:rPr>
          <w:rFonts w:hint="default"/>
          <w:lang w:val="en-US" w:eastAsia="zh-CN"/>
        </w:rPr>
      </w:pPr>
    </w:p>
    <w:p>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signalling session. So, rapporteur would like to ask: </w:t>
      </w:r>
    </w:p>
    <w:p>
      <w:pPr>
        <w:pStyle w:val="160"/>
        <w:widowControl/>
        <w:numPr>
          <w:ilvl w:val="0"/>
          <w:numId w:val="15"/>
        </w:numPr>
        <w:ind w:firstLineChars="0"/>
        <w:rPr>
          <w:rFonts w:hint="default"/>
          <w:b/>
          <w:bCs/>
        </w:rPr>
      </w:pPr>
      <w:r>
        <w:rPr>
          <w:b/>
          <w:bCs/>
        </w:rPr>
        <w:t>Whether the SLPP would support multiple Target UEs in the same signalling session?</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8"/>
        <w:gridCol w:w="2129"/>
        <w:gridCol w:w="6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would like to first have solutions with single target only and if there is time left;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F</w:t>
            </w:r>
            <w:r>
              <w:t>or now 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 xml:space="preserve">Multiple Target UEs are mentioned in TS 23.859: </w:t>
            </w:r>
          </w:p>
          <w:p>
            <w:pPr>
              <w:pStyle w:val="80"/>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pPr>
              <w:pStyle w:val="80"/>
              <w:spacing w:before="20" w:after="20"/>
              <w:ind w:left="57" w:right="57"/>
              <w:jc w:val="left"/>
              <w:rPr>
                <w:lang w:val="en-US"/>
              </w:rPr>
            </w:pPr>
          </w:p>
          <w:p>
            <w:pPr>
              <w:pStyle w:val="80"/>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signalling session</w:t>
            </w:r>
            <w:r>
              <w:rPr>
                <w:rFonts w:hint="eastAsia"/>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think it is feasible to support multiple Target UEs in a SL positioning group, however further details need to be understood on the signalling procedures in the context of SL Positioning. Furthermore, Location Requests are normally triggered by an LCS client, further discussion is needed on whether the LCS Client supports a group location service request to support positioning of multiple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see group positioning can be operated in a single SLPP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yet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preadtrum</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For now no </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this case.</w:t>
            </w:r>
          </w:p>
          <w:p>
            <w:pPr>
              <w:pStyle w:val="80"/>
              <w:spacing w:before="20" w:after="20"/>
              <w:ind w:left="57" w:right="57"/>
              <w:jc w:val="left"/>
              <w:rPr>
                <w:lang w:val="en-US"/>
              </w:rPr>
            </w:pPr>
          </w:p>
          <w:p>
            <w:pPr>
              <w:pStyle w:val="80"/>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ZTE</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We think it is feasible of multiple target UEs in a session as there are ranging/relative positioning usecase.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pPr>
              <w:pStyle w:val="80"/>
              <w:spacing w:before="20" w:after="20"/>
              <w:ind w:left="57" w:right="57"/>
              <w:jc w:val="left"/>
              <w:rPr>
                <w:lang w:val="en-US"/>
              </w:rPr>
            </w:pPr>
            <w:r>
              <w:rPr>
                <w:rFonts w:hint="eastAsia"/>
                <w:lang w:val="en-US"/>
              </w:rPr>
              <w:t>But we also agree to focus on one target UE first as Ericsson suggests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Xiaomi</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 with changes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We can say that:</w:t>
            </w:r>
          </w:p>
          <w:p>
            <w:pPr>
              <w:pStyle w:val="80"/>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Nokia </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This should not be our priority now, we first need to understand how to support a single target UE before looking at such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H</w:t>
            </w:r>
            <w:r>
              <w:rPr>
                <w:lang w:val="en-US"/>
              </w:rPr>
              <w:t>uawei, HiSilicon</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w:t>
            </w:r>
            <w:r>
              <w:rPr>
                <w:lang w:val="en-US"/>
              </w:rPr>
              <w:t>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GB"/>
              </w:rPr>
              <w:t>N</w:t>
            </w:r>
            <w:r>
              <w:rPr>
                <w:lang w:val="en-GB"/>
              </w:rPr>
              <w:t>o need to discus this actually. The same singaling session corresonponds to a single location request and this location request involves multiple UEs as a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InterDigital</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are not sure that multiple target UEs need to be handled by the same signalling session. We should study how multiple target UEs should be handled by SLPP signalling first and then make a decision afterwards.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v</w:t>
            </w:r>
            <w:r>
              <w:rPr>
                <w:lang w:val="en-US"/>
              </w:rPr>
              <w:t>ivo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w:t>
            </w:r>
            <w:r>
              <w:rPr>
                <w:lang w:val="en-US"/>
              </w:rPr>
              <w:t>or now 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S</w:t>
            </w:r>
            <w:r>
              <w:rPr>
                <w:lang w:val="en-US"/>
              </w:rPr>
              <w:t xml:space="preserve">ame view with Ericsson. RAN2 should focus on single target UE currently. Multiple Target UEs may be considered in future, not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Samsung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It is technically feasible to support multiple Target UEs with broadcasting/groupcasting SL positioning capability and assistance data which was confirmed before. However further details need to be clarified to support group positioning in single signaling session. For example, whether UEs within a group already exchanged SL positioning capability to form or join a group; triggering group positioning can be combined to capability transfer or assistant data delivery procedure; whether all UEs within a group share each SL positioning capability and/or location information. Baseline procedure for unicast also needs to be clarified for further discussion on group positioning e.g., discovery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w:t>
            </w:r>
            <w:r>
              <w:rPr>
                <w:lang w:val="en-US"/>
              </w:rPr>
              <w:t>MCC</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w:t>
            </w:r>
            <w:r>
              <w:rPr>
                <w:lang w:val="en-US"/>
              </w:rPr>
              <w:t>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w:t>
            </w:r>
            <w:r>
              <w:rPr>
                <w:lang w:val="en-US"/>
              </w:rPr>
              <w:t>e share the same view with Rapporteur. If the LCS request is for multiple targets, then multiple targets may be in the same session. The current SL mechanism (e.g. SL groupcast, SL broadcast etc.) could be reused to handle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Philips</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Let’s focus in release 18 on the basic case with a single target and not introduce the additional complexity of having multiple target UEs. Is mainly an optimization that can be done at the end if time is left or in later release.</w:t>
            </w:r>
          </w:p>
        </w:tc>
      </w:tr>
    </w:tbl>
    <w:p>
      <w:pPr>
        <w:pStyle w:val="160"/>
        <w:widowControl/>
        <w:ind w:firstLine="0" w:firstLineChars="0"/>
        <w:rPr>
          <w:rFonts w:hint="default" w:eastAsia="等线"/>
          <w:lang w:val="en-US" w:eastAsia="zh-CN"/>
        </w:rPr>
      </w:pPr>
      <w:r>
        <w:rPr>
          <w:rFonts w:hint="eastAsia"/>
          <w:lang w:val="en-US" w:eastAsia="zh-CN"/>
        </w:rPr>
        <w:t>Rapporteur</w:t>
      </w:r>
      <w:r>
        <w:rPr>
          <w:rFonts w:hint="default"/>
          <w:lang w:val="en-US" w:eastAsia="zh-CN"/>
        </w:rPr>
        <w:t>’</w:t>
      </w:r>
      <w:r>
        <w:rPr>
          <w:rFonts w:hint="eastAsia"/>
          <w:lang w:val="en-US" w:eastAsia="zh-CN"/>
        </w:rPr>
        <w:t>s summary: 10/18 companies agree to support multiple target UEs in one session. 7/18 companies think we should focus on single target UE scenario. From rapporteur point of view, a compromised way is to say that, f</w:t>
      </w:r>
      <w:r>
        <w:rPr>
          <w:rFonts w:hint="eastAsia"/>
          <w:lang w:val="en-US"/>
        </w:rPr>
        <w:t>rom RAN2 point of view, it is technically feasible to support multiple target UEs in one SLPP session, but RAN2 requires further discussion to decide whether to support multiple target UEs case.</w:t>
      </w:r>
    </w:p>
    <w:p>
      <w:pPr>
        <w:pStyle w:val="160"/>
        <w:widowControl/>
        <w:ind w:firstLine="0" w:firstLineChars="0"/>
        <w:rPr>
          <w:rFonts w:hint="default"/>
        </w:rPr>
      </w:pPr>
    </w:p>
    <w:p>
      <w:pPr>
        <w:pStyle w:val="74"/>
        <w:numPr>
          <w:ilvl w:val="0"/>
          <w:numId w:val="16"/>
        </w:numPr>
      </w:pPr>
      <w:r>
        <w:rPr>
          <w:rFonts w:hint="eastAsia"/>
          <w:lang w:val="en-US" w:eastAsia="zh-CN"/>
        </w:rPr>
        <w:t>(13/18) F</w:t>
      </w:r>
      <w:r>
        <w:rPr>
          <w:rFonts w:hint="eastAsia"/>
          <w:lang w:val="en-US"/>
        </w:rPr>
        <w:t>rom RAN2 point of view, it is technically feasible to support multiple target UEs in one SLPP session, but RAN2 requires further discussion to decide whether to support multiple target UEs case</w:t>
      </w:r>
      <w:r>
        <w:rPr>
          <w:rFonts w:hint="eastAsia"/>
          <w:lang w:val="en-US" w:eastAsia="zh-CN"/>
        </w:rPr>
        <w:t xml:space="preserve">. </w:t>
      </w:r>
    </w:p>
    <w:p>
      <w:pPr>
        <w:pStyle w:val="160"/>
        <w:widowControl/>
        <w:ind w:firstLine="0" w:firstLineChars="0"/>
        <w:rPr>
          <w:rFonts w:hint="default"/>
        </w:rPr>
      </w:pPr>
    </w:p>
    <w:p>
      <w:pPr>
        <w:pStyle w:val="160"/>
        <w:widowControl/>
        <w:ind w:firstLine="0" w:firstLineChars="0"/>
        <w:rPr>
          <w:rFonts w:hint="default"/>
        </w:rPr>
      </w:pPr>
    </w:p>
    <w:p>
      <w:pPr>
        <w:pStyle w:val="16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pPr>
        <w:widowControl w:val="0"/>
        <w:spacing w:after="0"/>
        <w:jc w:val="center"/>
        <w:rPr>
          <w:rFonts w:ascii="等线" w:hAnsi="等线" w:eastAsia="等线"/>
          <w:kern w:val="2"/>
          <w:sz w:val="21"/>
          <w:szCs w:val="22"/>
          <w:lang w:val="en-US" w:eastAsia="zh-CN" w:bidi="ar"/>
        </w:rPr>
      </w:pPr>
      <w:r>
        <w:object>
          <v:shape id="_x0000_i1025" o:spt="75" type="#_x0000_t75" style="height:282pt;width:29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widowControl w:val="0"/>
        <w:spacing w:after="0"/>
        <w:jc w:val="both"/>
        <w:rPr>
          <w:rFonts w:ascii="等线" w:hAnsi="等线" w:eastAsia="等线"/>
          <w:kern w:val="2"/>
          <w:sz w:val="21"/>
          <w:szCs w:val="22"/>
          <w:lang w:val="en-US" w:eastAsia="zh-CN" w:bidi="ar"/>
        </w:rPr>
      </w:pP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8"/>
        <w:gridCol w:w="2129"/>
        <w:gridCol w:w="6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pPr>
              <w:pStyle w:val="80"/>
              <w:spacing w:before="20" w:after="20"/>
              <w:ind w:left="57" w:right="57"/>
              <w:jc w:val="left"/>
              <w:rPr>
                <w:lang w:val="en-US"/>
              </w:rPr>
            </w:pPr>
            <w:r>
              <w:rPr>
                <w:lang w:val="en-US" w:eastAsia="ko-KR"/>
              </w:rPr>
              <w:drawing>
                <wp:inline distT="0" distB="0" distL="0" distR="0">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2136045" cy="2299851"/>
                          </a:xfrm>
                          <a:prstGeom prst="rect">
                            <a:avLst/>
                          </a:prstGeom>
                        </pic:spPr>
                      </pic:pic>
                    </a:graphicData>
                  </a:graphic>
                </wp:inline>
              </w:drawing>
            </w:r>
          </w:p>
          <w:p>
            <w:pPr>
              <w:pStyle w:val="80"/>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O</w:t>
            </w:r>
            <w:r>
              <w:rPr>
                <w:lang w:val="en-US"/>
              </w:rPr>
              <w:t>PPO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pPr>
              <w:pStyle w:val="80"/>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postpone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RAN2 can discuss this issue based on the conclusion of Q1 and the progress of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Yes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pPr>
              <w:pStyle w:val="80"/>
              <w:spacing w:before="20" w:after="20"/>
              <w:ind w:left="57" w:right="57"/>
              <w:jc w:val="left"/>
              <w:rPr>
                <w:lang w:val="en-US"/>
              </w:rPr>
            </w:pPr>
          </w:p>
          <w:p>
            <w:pPr>
              <w:pStyle w:val="80"/>
              <w:spacing w:before="20" w:after="20"/>
              <w:ind w:left="57" w:right="57"/>
              <w:jc w:val="left"/>
              <w:rPr>
                <w:lang w:val="en-US"/>
              </w:rPr>
            </w:pPr>
            <w:r>
              <w:rPr>
                <w:lang w:val="en-US"/>
              </w:rPr>
              <w:t>Another issue is whether the support of multiple Target UEs is supported only for PC5-only positioning or also joint Uu/PC5 positioning? This would be useful to clarify going forward.</w:t>
            </w:r>
          </w:p>
          <w:p>
            <w:pPr>
              <w:pStyle w:val="80"/>
              <w:spacing w:before="20" w:after="20"/>
              <w:ind w:left="57" w:right="57"/>
              <w:jc w:val="left"/>
              <w:rPr>
                <w:lang w:val="en-US"/>
              </w:rPr>
            </w:pPr>
          </w:p>
          <w:p>
            <w:pPr>
              <w:pStyle w:val="80"/>
              <w:spacing w:before="20" w:after="20"/>
              <w:ind w:left="57" w:right="57"/>
              <w:jc w:val="left"/>
              <w:rPr>
                <w:lang w:val="en-US"/>
              </w:rPr>
            </w:pPr>
            <w:r>
              <w:rPr>
                <w:lang w:val="en-US"/>
              </w:rPr>
              <w:t>According to the Figure, the positioning model is assumed to be UE-based positioning, where the location calculated at each entity. Will this be supported for UE-assisted positioning, where the location of multiple target-UEs are calculated at another entity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LG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GB"/>
              </w:rPr>
              <w:t>Intel</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with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pPr>
              <w:pStyle w:val="80"/>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ZTE</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pPr>
              <w:pStyle w:val="80"/>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Xiaomi</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 with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We are ok to adopt this figure as baseline but with the following changes or clarifications:</w:t>
            </w:r>
          </w:p>
          <w:p>
            <w:pPr>
              <w:pStyle w:val="80"/>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pPr>
              <w:pStyle w:val="80"/>
              <w:spacing w:before="20" w:after="20"/>
              <w:ind w:left="57" w:right="57"/>
              <w:jc w:val="left"/>
              <w:rPr>
                <w:lang w:val="en-US"/>
              </w:rPr>
            </w:pPr>
            <w:r>
              <w:rPr>
                <w:rFonts w:hint="eastAsia"/>
                <w:lang w:val="en-US"/>
              </w:rPr>
              <w:t xml:space="preserve">Secondly, a FFS should be added:  It is FFS whether other UEs aside from the group member can join in the session or not.  </w:t>
            </w:r>
          </w:p>
          <w:p>
            <w:pPr>
              <w:pStyle w:val="80"/>
              <w:spacing w:before="20" w:after="20"/>
              <w:ind w:left="57" w:right="57"/>
              <w:jc w:val="left"/>
              <w:rPr>
                <w:lang w:val="en-US"/>
              </w:rPr>
            </w:pPr>
            <w:r>
              <w:rPr>
                <w:rFonts w:hint="eastAsia"/>
                <w:lang w:val="en-US"/>
              </w:rPr>
              <w:t xml:space="preserve">Thirdly, If Q1 is agreed, then group management should be removed from the figure. </w:t>
            </w:r>
          </w:p>
          <w:p>
            <w:pPr>
              <w:pStyle w:val="80"/>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pPr>
              <w:pStyle w:val="80"/>
              <w:spacing w:before="20" w:after="20"/>
              <w:ind w:right="57"/>
              <w:jc w:val="left"/>
              <w:rPr>
                <w:lang w:val="en-US"/>
              </w:rPr>
            </w:pPr>
            <w:r>
              <w:rPr>
                <w:rFonts w:hint="eastAsia"/>
                <w:lang w:val="en-US"/>
              </w:rPr>
              <w:t>Fifthly, remove RSPP from the figure, since we agree to use SLPP.</w:t>
            </w:r>
          </w:p>
          <w:p>
            <w:pPr>
              <w:pStyle w:val="80"/>
              <w:spacing w:before="20" w:after="20"/>
              <w:ind w:left="57" w:right="57"/>
              <w:jc w:val="left"/>
              <w:rPr>
                <w:lang w:val="en-US"/>
              </w:rPr>
            </w:pPr>
            <w:r>
              <w:rPr>
                <w:rFonts w:hint="eastAsia"/>
                <w:lang w:val="en-US"/>
              </w:rPr>
              <w:t xml:space="preserve">Lastly, we share the same view as OPPO that it seems all the UEs in the figure are target UEs. In our understaning, group positioning may only be applicable to ranging/relative positioning, not for absolute positioning. For ranging/relative postioning, at least one UE(initiator) should not be the target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Nokia</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can adopt this generic flowchart as a baseline but in general, we would prefer to first understand how exactly a single target UE is positioned and then look into extending the single target-UE design. In connection to the proposed figure, we also ask the above question around the nature of group management and measurement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Huawei, HiSIlicon</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rPr>
                <w:lang w:val="en-US"/>
              </w:rPr>
            </w:pPr>
            <w:r>
              <w:rPr>
                <w:lang w:val="en-US"/>
              </w:rPr>
              <w:t>Not sure why we still need discovery procedure here since the group id and destination ids within the group have been provided by the upper layer.</w:t>
            </w:r>
          </w:p>
          <w:p>
            <w:pPr>
              <w:pStyle w:val="80"/>
              <w:spacing w:before="20" w:after="20"/>
              <w:ind w:left="57" w:right="57"/>
              <w:rPr>
                <w:lang w:val="en-US"/>
              </w:rPr>
            </w:pPr>
          </w:p>
          <w:p>
            <w:pPr>
              <w:pStyle w:val="80"/>
              <w:spacing w:before="20" w:after="20"/>
              <w:ind w:left="57" w:right="57"/>
              <w:jc w:val="left"/>
              <w:rPr>
                <w:lang w:val="en-US"/>
              </w:rPr>
            </w:pPr>
            <w:r>
              <w:rPr>
                <w:lang w:val="en-US"/>
              </w:rPr>
              <w:t>Also, it has been mentioned in the SA2 spec that group management can be performed in the application layer. Not sure why it is needed in the RANspec/SLPP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Samsung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Postpone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GB"/>
              </w:rPr>
              <w:t>We need more details to discuss baseline procedure. Considering other questions, RAN2 need clarification on exact scenario which is expected by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w:t>
            </w:r>
            <w:r>
              <w:rPr>
                <w:lang w:val="en-US"/>
              </w:rPr>
              <w:t>MCC</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N</w:t>
            </w:r>
            <w:r>
              <w:rPr>
                <w:lang w:val="en-US"/>
              </w:rPr>
              <w:t>ot sure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We are open to the whole procedure listed above, but think we can align the understanding of definition of group positioning and RAN2 impacts at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Philips</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Too many unclarities in this figure, most importantly what are the roles of the UEs here? Is discovery now also part of SLPP/RSPP, whereas it was previously mentioned to be a separate step? What does group management involve? Why are all UEs involved in Location estimate calculation, that does not make any sense, since e.g. this should be done by Target, LMF or server UE based on the collected measurements as would also be done in normal location services. Suggest to wait for some further input from SA2 on the overall procedures.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widowControl w:val="0"/>
        <w:spacing w:after="0"/>
        <w:jc w:val="both"/>
        <w:rPr>
          <w:rFonts w:ascii="等线" w:hAnsi="等线" w:eastAsia="等线"/>
          <w:kern w:val="2"/>
          <w:sz w:val="21"/>
          <w:szCs w:val="22"/>
          <w:lang w:val="en-US" w:eastAsia="zh-CN" w:bidi="ar"/>
        </w:rPr>
      </w:pPr>
    </w:p>
    <w:p>
      <w:pPr>
        <w:widowControl w:val="0"/>
        <w:spacing w:after="0"/>
        <w:jc w:val="both"/>
        <w:rPr>
          <w:rFonts w:hint="default" w:ascii="等线" w:hAnsi="等线" w:eastAsia="等线"/>
          <w:kern w:val="2"/>
          <w:sz w:val="21"/>
          <w:szCs w:val="22"/>
          <w:lang w:val="en-US" w:eastAsia="zh-CN" w:bidi="ar"/>
        </w:rPr>
      </w:pPr>
      <w:r>
        <w:rPr>
          <w:rFonts w:hint="eastAsia" w:ascii="等线" w:hAnsi="等线" w:eastAsia="等线"/>
          <w:b/>
          <w:bCs/>
          <w:kern w:val="2"/>
          <w:sz w:val="21"/>
          <w:szCs w:val="22"/>
          <w:lang w:val="en-US" w:eastAsia="zh-CN" w:bidi="ar"/>
        </w:rPr>
        <w:t>Rapporteur</w:t>
      </w:r>
      <w:r>
        <w:rPr>
          <w:rFonts w:hint="default" w:ascii="等线" w:hAnsi="等线" w:eastAsia="等线"/>
          <w:b/>
          <w:bCs/>
          <w:kern w:val="2"/>
          <w:sz w:val="21"/>
          <w:szCs w:val="22"/>
          <w:lang w:val="en-US" w:eastAsia="zh-CN" w:bidi="ar"/>
        </w:rPr>
        <w:t>’</w:t>
      </w:r>
      <w:r>
        <w:rPr>
          <w:rFonts w:hint="eastAsia" w:ascii="等线" w:hAnsi="等线" w:eastAsia="等线"/>
          <w:b/>
          <w:bCs/>
          <w:kern w:val="2"/>
          <w:sz w:val="21"/>
          <w:szCs w:val="22"/>
          <w:lang w:val="en-US" w:eastAsia="zh-CN" w:bidi="ar"/>
        </w:rPr>
        <w:t>s summary:</w:t>
      </w:r>
      <w:r>
        <w:rPr>
          <w:rFonts w:hint="eastAsia" w:ascii="等线" w:hAnsi="等线" w:eastAsia="等线"/>
          <w:kern w:val="2"/>
          <w:sz w:val="21"/>
          <w:szCs w:val="22"/>
          <w:lang w:val="en-US" w:eastAsia="zh-CN" w:bidi="ar"/>
        </w:rPr>
        <w:t xml:space="preserve"> 6/18 companies agree to capture the figure as baseline. Many companies think it is too early to agree this baseline since there are too many issues to be figured out.  Rapporteur suggestion we do not agree on the baseline for now.</w:t>
      </w:r>
    </w:p>
    <w:p>
      <w:pPr>
        <w:widowControl w:val="0"/>
        <w:spacing w:after="0"/>
        <w:jc w:val="both"/>
        <w:rPr>
          <w:rFonts w:ascii="等线" w:hAnsi="等线" w:eastAsia="等线"/>
          <w:kern w:val="2"/>
          <w:sz w:val="21"/>
          <w:szCs w:val="22"/>
          <w:lang w:val="en-US" w:eastAsia="zh-CN" w:bidi="ar"/>
        </w:rPr>
      </w:pPr>
    </w:p>
    <w:p>
      <w:pPr>
        <w:widowControl w:val="0"/>
        <w:spacing w:after="0"/>
        <w:jc w:val="both"/>
        <w:rPr>
          <w:rFonts w:ascii="等线" w:hAnsi="等线" w:eastAsia="等线"/>
          <w:kern w:val="2"/>
          <w:sz w:val="21"/>
          <w:szCs w:val="22"/>
          <w:lang w:val="en-US" w:eastAsia="zh-CN" w:bidi="ar"/>
        </w:rPr>
      </w:pPr>
    </w:p>
    <w:p>
      <w:pPr>
        <w:widowControl w:val="0"/>
        <w:spacing w:after="0"/>
        <w:jc w:val="both"/>
        <w:rPr>
          <w:rFonts w:ascii="等线" w:hAnsi="等线" w:eastAsia="等线"/>
          <w:kern w:val="2"/>
          <w:sz w:val="21"/>
          <w:szCs w:val="22"/>
          <w:lang w:val="en-US" w:eastAsia="zh-CN" w:bidi="ar"/>
        </w:rPr>
      </w:pPr>
      <w:r>
        <w:rPr>
          <w:rFonts w:hint="eastAsia"/>
          <w:lang w:val="en-US" w:eastAsia="zh-CN"/>
        </w:rPr>
        <w:t xml:space="preserve">In addition, SA2 asked RAN2 about whether there is possibility of signalling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pPr>
        <w:pStyle w:val="16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Style w:val="51"/>
        <w:tblW w:w="50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8"/>
        <w:gridCol w:w="2129"/>
        <w:gridCol w:w="6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110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rFonts w:hint="eastAsia"/>
                <w:lang w:val="en-US"/>
              </w:rPr>
              <w:t>Yes or not</w:t>
            </w:r>
          </w:p>
        </w:tc>
        <w:tc>
          <w:tcPr>
            <w:tcW w:w="317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sv-SE"/>
              </w:rPr>
            </w:pPr>
            <w:r>
              <w:rPr>
                <w:lang w:val="sv-SE"/>
              </w:rPr>
              <w:t>Ericsson</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p>
            <w:pPr>
              <w:pStyle w:val="80"/>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Qualcomm</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r>
              <w:rPr>
                <w:rFonts w:hint="eastAsia"/>
              </w:rPr>
              <w:t>O</w:t>
            </w:r>
            <w:r>
              <w:t>PPO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CATT</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Lenovo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GB"/>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pPr>
              <w:pStyle w:val="80"/>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LG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Fraunhofer</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prefer that a session is related to one target UE. With this approach, there can be multiple sessions for each target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pending SA3 design</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sv-SE"/>
              </w:rPr>
              <w:t>Spreadtrum</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also would like to first have solutions for a single target UE. And if there is time lift, we can discuss multiple target UEs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ZTE</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s location estimate and sends all of them to another UE which can reach LMF via LPP. However this is complex scenario which should be deprioritized.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Xiaomi</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Nokia</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but</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r>
              <w:rPr>
                <w:lang w:val="en-US"/>
              </w:rPr>
              <w:t xml:space="preserve">While we currently prefer the focus on a single target UE, we also see this proposal technically feasible in both RAN2 and SA3. However, we see a need for further study of specific technical details, for example on how exactly payload is encrypted to ensure session/group-specific protection. We analyze the basic principles in R2-2300254 based on reusing the Uu design for LMF in relation to ciphering key management which may have some impact on SLPP itself.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H</w:t>
            </w:r>
            <w:r>
              <w:rPr>
                <w:lang w:val="en-US"/>
              </w:rPr>
              <w:t>uawei</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InterDigital</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We would like to know how the SLPP signalling work for the scenario first. Besides, we share the view with Intel with regard to security aspects.</w:t>
            </w:r>
          </w:p>
          <w:p>
            <w:pPr>
              <w:pStyle w:val="80"/>
              <w:spacing w:before="20" w:after="20"/>
              <w:ind w:left="57" w:right="57"/>
              <w:jc w:val="left"/>
              <w:rPr>
                <w:lang w:val="en-US"/>
              </w:rPr>
            </w:pPr>
            <w:r>
              <w:rPr>
                <w:lang w:val="en-US"/>
              </w:rPr>
              <w:t>Down-prioritising the multiple target UEs scenario sounds good idea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v</w:t>
            </w:r>
            <w:r>
              <w:rPr>
                <w:lang w:val="en-US"/>
              </w:rPr>
              <w:t>ivo</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Down prioritize this scenario for now</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F</w:t>
            </w:r>
            <w:r>
              <w:rPr>
                <w:lang w:val="en-US"/>
              </w:rPr>
              <w:t>or now, RAN2 should not discuss it before the work for single target UE case is completed.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Samsung</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Yes for first part with comments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 our understanding, a UE which is reporting positioning results, and multiple Target UEs to be reported are in a same group in this context. Reporting positioning results of multiple Target UEs within a message (e.g., to LMF or initiator UE) is technically feasible. SA3 should address security issue when group members are allowed to share their location information via groupcast, or collect information for reporting. However, as SA3 mentioned, detailed scenario or procedure need to be confirmed before addressing security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C</w:t>
            </w:r>
            <w:r>
              <w:rPr>
                <w:lang w:val="en-US"/>
              </w:rPr>
              <w:t>MCC</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w:t>
            </w:r>
            <w:r>
              <w:rPr>
                <w:lang w:val="en-US"/>
              </w:rPr>
              <w:t>es</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rFonts w:hint="eastAsia"/>
                <w:lang w:val="en-US"/>
              </w:rPr>
              <w:t>Y</w:t>
            </w:r>
            <w:r>
              <w:rPr>
                <w:lang w:val="en-US"/>
              </w:rPr>
              <w:t xml:space="preserve">es, it is feasible from RAN2’s perspective. Especially </w:t>
            </w:r>
            <w:r>
              <w:rPr>
                <w:rFonts w:hint="eastAsia"/>
                <w:lang w:val="en-US"/>
              </w:rPr>
              <w:t>f</w:t>
            </w:r>
            <w:r>
              <w:rPr>
                <w:lang w:val="en-US"/>
              </w:rPr>
              <w:t>or the case of centerized calculation, the calculation node could send positioning results of multiple Target UEs in the same SLPP message or separate SLPP messages.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GB"/>
              </w:rPr>
            </w:pPr>
            <w:r>
              <w:rPr>
                <w:lang w:val="en-GB"/>
              </w:rPr>
              <w:t xml:space="preserve">Philips </w:t>
            </w:r>
          </w:p>
        </w:tc>
        <w:tc>
          <w:tcPr>
            <w:tcW w:w="1101"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rPr>
            </w:pPr>
            <w:r>
              <w:rPr>
                <w:lang w:val="en-US"/>
              </w:rPr>
              <w:t>Downprioritise</w:t>
            </w:r>
          </w:p>
        </w:tc>
        <w:tc>
          <w:tcPr>
            <w:tcW w:w="3176" w:type="pct"/>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eastAsia"/>
                <w:lang w:val="en-US"/>
              </w:rPr>
            </w:pPr>
            <w:r>
              <w:rPr>
                <w:lang w:val="en-US"/>
              </w:rPr>
              <w:t>It’s not clear why we would need to do this for distributed positioning. We do agree that SA3 should be consulted on privacy/security issues related to positioning but see this as a general requirement, not specific to this proposal.</w:t>
            </w:r>
          </w:p>
        </w:tc>
      </w:tr>
    </w:tbl>
    <w:p>
      <w:pPr>
        <w:widowControl w:val="0"/>
        <w:spacing w:after="0"/>
        <w:jc w:val="both"/>
        <w:rPr>
          <w:rFonts w:ascii="等线" w:hAnsi="等线" w:eastAsia="等线"/>
          <w:kern w:val="2"/>
          <w:sz w:val="21"/>
          <w:szCs w:val="22"/>
          <w:lang w:val="en-US" w:eastAsia="zh-CN" w:bidi="ar"/>
        </w:rPr>
      </w:pPr>
    </w:p>
    <w:p>
      <w:pPr>
        <w:pStyle w:val="74"/>
        <w:numPr>
          <w:ilvl w:val="0"/>
          <w:numId w:val="0"/>
        </w:numPr>
        <w:ind w:leftChars="0"/>
        <w:rPr>
          <w:rFonts w:hint="default" w:eastAsia="宋体"/>
          <w:lang w:val="en-US" w:eastAsia="zh-CN"/>
        </w:rPr>
      </w:pPr>
      <w:r>
        <w:rPr>
          <w:rFonts w:hint="eastAsia"/>
          <w:lang w:val="en-US" w:eastAsia="zh-CN"/>
        </w:rPr>
        <w:t>Rapporteur</w:t>
      </w:r>
      <w:r>
        <w:rPr>
          <w:rFonts w:hint="default"/>
          <w:lang w:val="en-US" w:eastAsia="zh-CN"/>
        </w:rPr>
        <w:t>’</w:t>
      </w:r>
      <w:r>
        <w:rPr>
          <w:rFonts w:hint="eastAsia"/>
          <w:lang w:val="en-US" w:eastAsia="zh-CN"/>
        </w:rPr>
        <w:t xml:space="preserve">s summary: </w:t>
      </w:r>
      <w:r>
        <w:rPr>
          <w:rFonts w:hint="eastAsia"/>
          <w:b w:val="0"/>
          <w:bCs w:val="0"/>
          <w:lang w:val="en-US" w:eastAsia="zh-CN"/>
        </w:rPr>
        <w:t>10/18 companies think it is feasible from RAN2 point of view. 9/18 companies say to deprioritise the scenario. Rapporteur suggests to provide views from technical feasibility point of view, can clarify that RAN2 may deprioritise this scenario.</w:t>
      </w:r>
    </w:p>
    <w:p>
      <w:pPr>
        <w:pStyle w:val="74"/>
        <w:numPr>
          <w:ilvl w:val="0"/>
          <w:numId w:val="16"/>
        </w:numPr>
        <w:rPr>
          <w:lang w:val="en-US" w:eastAsia="zh-CN"/>
        </w:rPr>
      </w:pPr>
      <w:r>
        <w:rPr>
          <w:rFonts w:hint="eastAsia"/>
          <w:lang w:val="en-US" w:eastAsia="zh-CN"/>
        </w:rPr>
        <w:t>(10/18) RAN2 thinks i</w:t>
      </w:r>
      <w:r>
        <w:rPr>
          <w:b/>
          <w:bCs/>
        </w:rPr>
        <w:t>t is technically feasible</w:t>
      </w:r>
      <w:r>
        <w:rPr>
          <w:rFonts w:hint="eastAsia"/>
          <w:b/>
          <w:bCs/>
          <w:lang w:val="en-US" w:eastAsia="zh-CN"/>
        </w:rPr>
        <w:t xml:space="preserve"> </w:t>
      </w:r>
      <w:r>
        <w:rPr>
          <w:b/>
          <w:bCs/>
        </w:rPr>
        <w:t xml:space="preserve">to signal the positioning results of multiple Target UEs in the same SLPP message, </w:t>
      </w:r>
      <w:r>
        <w:rPr>
          <w:rFonts w:hint="eastAsia"/>
          <w:b/>
          <w:bCs/>
          <w:lang w:val="en-US" w:eastAsia="zh-CN"/>
        </w:rPr>
        <w:t>but if there is any</w:t>
      </w:r>
      <w:r>
        <w:rPr>
          <w:b/>
          <w:bCs/>
        </w:rPr>
        <w:t xml:space="preserve"> security/privacy</w:t>
      </w:r>
      <w:r>
        <w:rPr>
          <w:rFonts w:hint="eastAsia"/>
          <w:b/>
          <w:bCs/>
          <w:lang w:val="en-US" w:eastAsia="zh-CN"/>
        </w:rPr>
        <w:t xml:space="preserve"> </w:t>
      </w:r>
      <w:r>
        <w:rPr>
          <w:b/>
          <w:bCs/>
        </w:rPr>
        <w:t xml:space="preserve">issue, </w:t>
      </w:r>
      <w:r>
        <w:rPr>
          <w:rFonts w:hint="eastAsia"/>
          <w:b/>
          <w:bCs/>
          <w:lang w:val="en-US" w:eastAsia="zh-CN"/>
        </w:rPr>
        <w:t xml:space="preserve">it </w:t>
      </w:r>
      <w:r>
        <w:rPr>
          <w:b/>
          <w:bCs/>
        </w:rPr>
        <w:t xml:space="preserve">should be </w:t>
      </w:r>
      <w:r>
        <w:rPr>
          <w:rFonts w:hint="eastAsia"/>
          <w:b/>
          <w:bCs/>
          <w:lang w:val="en-US" w:eastAsia="zh-CN"/>
        </w:rPr>
        <w:t>evaluated</w:t>
      </w:r>
      <w:r>
        <w:rPr>
          <w:b/>
          <w:bCs/>
        </w:rPr>
        <w:t xml:space="preserve"> by SA3</w:t>
      </w:r>
      <w:r>
        <w:rPr>
          <w:rFonts w:hint="eastAsia"/>
          <w:lang w:val="en-US" w:eastAsia="zh-CN"/>
        </w:rPr>
        <w:t>. Besides, RAN2 may deprioritise this scenario.</w:t>
      </w:r>
    </w:p>
    <w:p>
      <w:pPr>
        <w:pStyle w:val="2"/>
        <w:numPr>
          <w:ilvl w:val="0"/>
          <w:numId w:val="14"/>
        </w:numPr>
      </w:pPr>
      <w:r>
        <w:rPr>
          <w:rFonts w:hint="eastAsia"/>
          <w:lang w:val="en-US" w:eastAsia="zh-CN"/>
        </w:rPr>
        <w:t>Conclusions</w:t>
      </w:r>
    </w:p>
    <w:p>
      <w:pPr>
        <w:pStyle w:val="74"/>
        <w:numPr>
          <w:ilvl w:val="0"/>
          <w:numId w:val="17"/>
        </w:numPr>
      </w:pPr>
      <w:bookmarkStart w:id="5" w:name="OLE_LINK3"/>
      <w:r>
        <w:rPr>
          <w:rFonts w:hint="eastAsia"/>
          <w:lang w:val="en-US" w:eastAsia="zh-CN"/>
        </w:rPr>
        <w:t xml:space="preserve">Group positioning is to acquire location estimates of multiple target UEs (absolute positioning) or multiple UE pairs (Ranging/relative positioning) per location request. </w:t>
      </w:r>
    </w:p>
    <w:p>
      <w:pPr>
        <w:pStyle w:val="74"/>
        <w:numPr>
          <w:ilvl w:val="0"/>
          <w:numId w:val="17"/>
        </w:numPr>
      </w:pPr>
      <w:r>
        <w:rPr>
          <w:rFonts w:hint="eastAsia"/>
          <w:lang w:val="en-US" w:eastAsia="zh-CN"/>
        </w:rPr>
        <w:t xml:space="preserve">(15/18) At least part of the group management for group positioning is performed at upper/application layer. FFS on whether part of the group management is done at SLPP layer. </w:t>
      </w:r>
    </w:p>
    <w:p>
      <w:pPr>
        <w:pStyle w:val="74"/>
        <w:numPr>
          <w:ilvl w:val="0"/>
          <w:numId w:val="17"/>
        </w:numPr>
      </w:pPr>
      <w:r>
        <w:rPr>
          <w:rFonts w:hint="eastAsia"/>
          <w:lang w:val="en-US" w:eastAsia="zh-CN"/>
        </w:rPr>
        <w:t xml:space="preserve">(13/18) If group management for group positioning is performed at upper/application layer, group ID is coming from upper/application layer. L2 Destination ID is coming from ProSe/V2X layer. </w:t>
      </w:r>
    </w:p>
    <w:p>
      <w:pPr>
        <w:pStyle w:val="74"/>
        <w:numPr>
          <w:ilvl w:val="0"/>
          <w:numId w:val="17"/>
        </w:numPr>
      </w:pPr>
      <w:r>
        <w:rPr>
          <w:rFonts w:hint="eastAsia"/>
          <w:lang w:val="en-US" w:eastAsia="zh-CN"/>
        </w:rPr>
        <w:t>(13/18) F</w:t>
      </w:r>
      <w:r>
        <w:rPr>
          <w:rFonts w:hint="eastAsia"/>
          <w:lang w:val="en-US"/>
        </w:rPr>
        <w:t>rom RAN2 point of view, it is technically feasible to support multiple target UEs in one SLPP session, but RAN2 requires further discussion to decide whether to support multiple target UEs case</w:t>
      </w:r>
      <w:r>
        <w:rPr>
          <w:rFonts w:hint="eastAsia"/>
          <w:lang w:val="en-US" w:eastAsia="zh-CN"/>
        </w:rPr>
        <w:t xml:space="preserve">. </w:t>
      </w:r>
    </w:p>
    <w:p>
      <w:pPr>
        <w:pStyle w:val="74"/>
        <w:numPr>
          <w:ilvl w:val="0"/>
          <w:numId w:val="17"/>
        </w:numPr>
        <w:rPr>
          <w:lang w:val="en-US" w:eastAsia="zh-CN"/>
        </w:rPr>
      </w:pPr>
      <w:r>
        <w:rPr>
          <w:rFonts w:hint="eastAsia"/>
          <w:lang w:val="en-US" w:eastAsia="zh-CN"/>
        </w:rPr>
        <w:t>(10/18) RAN2 thinks i</w:t>
      </w:r>
      <w:r>
        <w:rPr>
          <w:b/>
          <w:bCs/>
        </w:rPr>
        <w:t>t is technically feasible</w:t>
      </w:r>
      <w:r>
        <w:rPr>
          <w:rFonts w:hint="eastAsia"/>
          <w:b/>
          <w:bCs/>
          <w:lang w:val="en-US" w:eastAsia="zh-CN"/>
        </w:rPr>
        <w:t xml:space="preserve"> </w:t>
      </w:r>
      <w:r>
        <w:rPr>
          <w:b/>
          <w:bCs/>
        </w:rPr>
        <w:t xml:space="preserve">to signal the positioning results of multiple Target UEs in the same SLPP message, </w:t>
      </w:r>
      <w:r>
        <w:rPr>
          <w:rFonts w:hint="eastAsia"/>
          <w:b/>
          <w:bCs/>
          <w:lang w:val="en-US" w:eastAsia="zh-CN"/>
        </w:rPr>
        <w:t>but if there is any</w:t>
      </w:r>
      <w:r>
        <w:rPr>
          <w:b/>
          <w:bCs/>
        </w:rPr>
        <w:t xml:space="preserve"> security/privacy</w:t>
      </w:r>
      <w:r>
        <w:rPr>
          <w:rFonts w:hint="eastAsia"/>
          <w:b/>
          <w:bCs/>
          <w:lang w:val="en-US" w:eastAsia="zh-CN"/>
        </w:rPr>
        <w:t xml:space="preserve"> </w:t>
      </w:r>
      <w:r>
        <w:rPr>
          <w:b/>
          <w:bCs/>
        </w:rPr>
        <w:t xml:space="preserve">issue, </w:t>
      </w:r>
      <w:r>
        <w:rPr>
          <w:rFonts w:hint="eastAsia"/>
          <w:b/>
          <w:bCs/>
          <w:lang w:val="en-US" w:eastAsia="zh-CN"/>
        </w:rPr>
        <w:t xml:space="preserve">it </w:t>
      </w:r>
      <w:r>
        <w:rPr>
          <w:b/>
          <w:bCs/>
        </w:rPr>
        <w:t xml:space="preserve">should be </w:t>
      </w:r>
      <w:r>
        <w:rPr>
          <w:rFonts w:hint="eastAsia"/>
          <w:b/>
          <w:bCs/>
          <w:lang w:val="en-US" w:eastAsia="zh-CN"/>
        </w:rPr>
        <w:t>evaluated</w:t>
      </w:r>
      <w:r>
        <w:rPr>
          <w:b/>
          <w:bCs/>
        </w:rPr>
        <w:t xml:space="preserve"> by SA3</w:t>
      </w:r>
      <w:r>
        <w:rPr>
          <w:rFonts w:hint="eastAsia"/>
          <w:lang w:val="en-US" w:eastAsia="zh-CN"/>
        </w:rPr>
        <w:t>. Besides, RAN2 may deprioritise this scenario.</w:t>
      </w:r>
      <w:bookmarkEnd w:id="5"/>
    </w:p>
    <w:p/>
    <w:p>
      <w:pPr>
        <w:pStyle w:val="2"/>
        <w:numPr>
          <w:ilvl w:val="0"/>
          <w:numId w:val="14"/>
        </w:numPr>
      </w:pPr>
      <w:r>
        <w:rPr>
          <w:rFonts w:hint="eastAsia"/>
          <w:lang w:val="en-US" w:eastAsia="zh-CN"/>
        </w:rPr>
        <w:t>Reference</w:t>
      </w:r>
    </w:p>
    <w:p>
      <w:pPr>
        <w:pStyle w:val="3"/>
        <w:numPr>
          <w:ilvl w:val="0"/>
          <w:numId w:val="18"/>
        </w:numPr>
        <w:ind w:left="0" w:firstLine="0"/>
        <w:rPr>
          <w:rFonts w:ascii="Times New Roman" w:hAnsi="Times New Roman"/>
          <w:sz w:val="20"/>
          <w:lang w:val="en-US" w:eastAsia="zh-CN"/>
        </w:rPr>
      </w:pPr>
      <w:r>
        <w:rPr>
          <w:rFonts w:hint="eastAsia" w:ascii="Times New Roman" w:hAnsi="Times New Roman"/>
          <w:sz w:val="20"/>
          <w:lang w:val="en-US" w:eastAsia="zh-CN"/>
        </w:rPr>
        <w:t xml:space="preserve"> R2-2302448</w:t>
      </w:r>
      <w:r>
        <w:rPr>
          <w:rFonts w:hint="eastAsia" w:ascii="Times New Roman" w:hAnsi="Times New Roman"/>
          <w:sz w:val="20"/>
          <w:lang w:val="en-US" w:eastAsia="zh-CN"/>
        </w:rPr>
        <w:tab/>
      </w:r>
      <w:r>
        <w:rPr>
          <w:rFonts w:hint="eastAsia" w:ascii="Times New Roman" w:hAnsi="Times New Roman"/>
          <w:sz w:val="20"/>
          <w:lang w:val="en-US" w:eastAsia="zh-CN"/>
        </w:rPr>
        <w:t>LS on support of multiple Target UEs (S2-2303837; contact: Qualcomm)</w:t>
      </w:r>
      <w:r>
        <w:rPr>
          <w:rFonts w:hint="eastAsia" w:ascii="Times New Roman" w:hAnsi="Times New Roman"/>
          <w:sz w:val="20"/>
          <w:lang w:val="en-US" w:eastAsia="zh-CN"/>
        </w:rPr>
        <w:tab/>
      </w:r>
      <w:r>
        <w:rPr>
          <w:rFonts w:hint="eastAsia" w:ascii="Times New Roman" w:hAnsi="Times New Roman"/>
          <w:sz w:val="20"/>
          <w:lang w:val="en-US" w:eastAsia="zh-CN"/>
        </w:rPr>
        <w:t>SA2</w:t>
      </w:r>
      <w:r>
        <w:rPr>
          <w:rFonts w:hint="eastAsia" w:ascii="Times New Roman" w:hAnsi="Times New Roman"/>
          <w:sz w:val="20"/>
          <w:lang w:val="en-US" w:eastAsia="zh-CN"/>
        </w:rPr>
        <w:tab/>
      </w:r>
      <w:r>
        <w:rPr>
          <w:rFonts w:hint="eastAsia" w:ascii="Times New Roman" w:hAnsi="Times New Roman"/>
          <w:sz w:val="20"/>
          <w:lang w:val="en-US" w:eastAsia="zh-CN"/>
        </w:rPr>
        <w:t>LS in</w:t>
      </w:r>
      <w:r>
        <w:rPr>
          <w:rFonts w:hint="eastAsia" w:ascii="Times New Roman" w:hAnsi="Times New Roman"/>
          <w:sz w:val="20"/>
          <w:lang w:val="en-US" w:eastAsia="zh-CN"/>
        </w:rPr>
        <w:tab/>
      </w:r>
      <w:r>
        <w:rPr>
          <w:rFonts w:hint="eastAsia" w:ascii="Times New Roman" w:hAnsi="Times New Roman"/>
          <w:sz w:val="20"/>
          <w:lang w:val="en-US" w:eastAsia="zh-CN"/>
        </w:rPr>
        <w:t>Rel-18</w:t>
      </w:r>
      <w:r>
        <w:rPr>
          <w:rFonts w:hint="eastAsia" w:ascii="Times New Roman" w:hAnsi="Times New Roman"/>
          <w:sz w:val="20"/>
          <w:lang w:val="en-US" w:eastAsia="zh-CN"/>
        </w:rPr>
        <w:tab/>
      </w:r>
      <w:r>
        <w:rPr>
          <w:rFonts w:hint="eastAsia" w:ascii="Times New Roman" w:hAnsi="Times New Roman"/>
          <w:sz w:val="20"/>
          <w:lang w:val="en-US" w:eastAsia="zh-CN"/>
        </w:rPr>
        <w:t>Ranging_SL</w:t>
      </w:r>
      <w:r>
        <w:rPr>
          <w:rFonts w:hint="eastAsia" w:ascii="Times New Roman" w:hAnsi="Times New Roman"/>
          <w:sz w:val="20"/>
          <w:lang w:val="en-US" w:eastAsia="zh-CN"/>
        </w:rPr>
        <w:tab/>
      </w:r>
      <w:r>
        <w:rPr>
          <w:rFonts w:hint="eastAsia" w:ascii="Times New Roman" w:hAnsi="Times New Roman"/>
          <w:sz w:val="20"/>
          <w:lang w:val="en-US" w:eastAsia="zh-CN"/>
        </w:rPr>
        <w:t>To:RAN2</w:t>
      </w:r>
      <w:r>
        <w:rPr>
          <w:rFonts w:hint="eastAsia" w:ascii="Times New Roman" w:hAnsi="Times New Roman"/>
          <w:sz w:val="20"/>
          <w:lang w:val="en-US" w:eastAsia="zh-CN"/>
        </w:rPr>
        <w:tab/>
      </w:r>
      <w:r>
        <w:rPr>
          <w:rFonts w:hint="eastAsia" w:ascii="Times New Roman" w:hAnsi="Times New Roman"/>
          <w:sz w:val="20"/>
          <w:lang w:val="en-US" w:eastAsia="zh-CN"/>
        </w:rPr>
        <w:t>Cc:RAN1</w:t>
      </w:r>
    </w:p>
    <w:p>
      <w:pPr>
        <w:numPr>
          <w:ilvl w:val="0"/>
          <w:numId w:val="18"/>
        </w:numPr>
        <w:rPr>
          <w:lang w:val="en-US" w:eastAsia="zh-CN"/>
        </w:rPr>
      </w:pPr>
      <w:r>
        <w:rPr>
          <w:lang w:val="en-US" w:eastAsia="zh-CN"/>
        </w:rPr>
        <w:t>R2-2302503</w:t>
      </w:r>
      <w:r>
        <w:rPr>
          <w:lang w:val="en-US" w:eastAsia="zh-CN"/>
        </w:rPr>
        <w:tab/>
      </w:r>
      <w:r>
        <w:rPr>
          <w:lang w:val="en-US" w:eastAsia="zh-CN"/>
        </w:rPr>
        <w:t>Discussion on sidelink positioning</w:t>
      </w:r>
      <w:r>
        <w:rPr>
          <w:lang w:val="en-US" w:eastAsia="zh-CN"/>
        </w:rPr>
        <w:tab/>
      </w:r>
      <w:r>
        <w:rPr>
          <w:lang w:val="en-US" w:eastAsia="zh-CN"/>
        </w:rPr>
        <w:t>CATT</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8"/>
        </w:numPr>
        <w:rPr>
          <w:lang w:val="en-US" w:eastAsia="zh-CN"/>
        </w:rPr>
      </w:pPr>
      <w:r>
        <w:rPr>
          <w:lang w:val="en-US" w:eastAsia="zh-CN"/>
        </w:rPr>
        <w:t>R2-2302740</w:t>
      </w:r>
      <w:r>
        <w:rPr>
          <w:lang w:val="en-US" w:eastAsia="zh-CN"/>
        </w:rPr>
        <w:tab/>
      </w:r>
      <w:r>
        <w:rPr>
          <w:lang w:val="en-US" w:eastAsia="zh-CN"/>
        </w:rPr>
        <w:t>Further considerations on sidelink positioning</w:t>
      </w:r>
      <w:r>
        <w:rPr>
          <w:lang w:val="en-US" w:eastAsia="zh-CN"/>
        </w:rPr>
        <w:tab/>
      </w:r>
      <w:r>
        <w:rPr>
          <w:lang w:val="en-US" w:eastAsia="zh-CN"/>
        </w:rPr>
        <w:t>Intel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8"/>
        </w:numPr>
        <w:rPr>
          <w:lang w:val="en-US" w:eastAsia="zh-CN"/>
        </w:rPr>
      </w:pPr>
      <w:r>
        <w:rPr>
          <w:lang w:val="en-US" w:eastAsia="zh-CN"/>
        </w:rPr>
        <w:t>R2-2302958</w:t>
      </w:r>
      <w:r>
        <w:rPr>
          <w:lang w:val="en-US" w:eastAsia="zh-CN"/>
        </w:rPr>
        <w:tab/>
      </w:r>
      <w:r>
        <w:rPr>
          <w:lang w:val="en-US" w:eastAsia="zh-CN"/>
        </w:rPr>
        <w:t>Discussion on sidelink positioning</w:t>
      </w:r>
      <w:r>
        <w:rPr>
          <w:lang w:val="en-US" w:eastAsia="zh-CN"/>
        </w:rPr>
        <w:tab/>
      </w:r>
      <w:r>
        <w:rPr>
          <w:lang w:val="en-US" w:eastAsia="zh-CN"/>
        </w:rPr>
        <w:t>vivo</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FS_NR_pos_enh2</w:t>
      </w:r>
    </w:p>
    <w:p>
      <w:pPr>
        <w:numPr>
          <w:ilvl w:val="0"/>
          <w:numId w:val="18"/>
        </w:numPr>
        <w:rPr>
          <w:lang w:val="en-US" w:eastAsia="zh-CN"/>
        </w:rPr>
      </w:pPr>
      <w:r>
        <w:rPr>
          <w:lang w:val="en-US" w:eastAsia="zh-CN"/>
        </w:rPr>
        <w:t>R2-2303497</w:t>
      </w:r>
      <w:r>
        <w:rPr>
          <w:lang w:val="en-US" w:eastAsia="zh-CN"/>
        </w:rPr>
        <w:tab/>
      </w:r>
      <w:r>
        <w:rPr>
          <w:lang w:val="en-US" w:eastAsia="zh-CN"/>
        </w:rPr>
        <w:t>Discussion on sidelink positioning</w:t>
      </w:r>
      <w:r>
        <w:rPr>
          <w:lang w:val="en-US" w:eastAsia="zh-CN"/>
        </w:rPr>
        <w:tab/>
      </w:r>
      <w:r>
        <w:rPr>
          <w:lang w:val="en-US" w:eastAsia="zh-CN"/>
        </w:rPr>
        <w:t>ZTE Corporation</w:t>
      </w:r>
      <w:r>
        <w:rPr>
          <w:lang w:val="en-US" w:eastAsia="zh-CN"/>
        </w:rPr>
        <w:tab/>
      </w:r>
      <w:r>
        <w:rPr>
          <w:lang w:val="en-US" w:eastAsia="zh-CN"/>
        </w:rPr>
        <w:t>discussion</w:t>
      </w:r>
      <w:r>
        <w:rPr>
          <w:lang w:val="en-US" w:eastAsia="zh-CN"/>
        </w:rPr>
        <w:tab/>
      </w:r>
      <w:r>
        <w:rPr>
          <w:lang w:val="en-US" w:eastAsia="zh-CN"/>
        </w:rPr>
        <w:t>Rel-18</w:t>
      </w:r>
      <w:r>
        <w:rPr>
          <w:lang w:val="en-US" w:eastAsia="zh-CN"/>
        </w:rPr>
        <w:tab/>
      </w:r>
      <w:r>
        <w:rPr>
          <w:lang w:val="en-US" w:eastAsia="zh-CN"/>
        </w:rPr>
        <w:t>NR_pos_enh2</w:t>
      </w:r>
    </w:p>
    <w:p>
      <w:pPr>
        <w:numPr>
          <w:ilvl w:val="0"/>
          <w:numId w:val="18"/>
        </w:numPr>
        <w:rPr>
          <w:lang w:val="en-US" w:eastAsia="zh-CN"/>
        </w:rPr>
      </w:pPr>
      <w:r>
        <w:rPr>
          <w:lang w:val="en-US" w:eastAsia="zh-CN"/>
        </w:rPr>
        <w:t>R2-2303591</w:t>
      </w:r>
      <w:r>
        <w:rPr>
          <w:lang w:val="en-US" w:eastAsia="zh-CN"/>
        </w:rPr>
        <w:tab/>
      </w:r>
      <w:r>
        <w:rPr>
          <w:lang w:val="en-US" w:eastAsia="zh-CN"/>
        </w:rPr>
        <w:t>Sidelink Positioning Protocol (SLPP) Signaling and Procedures</w:t>
      </w:r>
      <w:r>
        <w:rPr>
          <w:lang w:val="en-US" w:eastAsia="zh-CN"/>
        </w:rPr>
        <w:tab/>
      </w:r>
      <w:r>
        <w:rPr>
          <w:lang w:val="en-US" w:eastAsia="zh-CN"/>
        </w:rPr>
        <w:t>Qualcomm Incorporated</w:t>
      </w:r>
      <w:r>
        <w:rPr>
          <w:lang w:val="en-US" w:eastAsia="zh-CN"/>
        </w:rPr>
        <w:tab/>
      </w:r>
      <w:r>
        <w:rPr>
          <w:lang w:val="en-US" w:eastAsia="zh-CN"/>
        </w:rPr>
        <w:t>discussion</w:t>
      </w:r>
    </w:p>
    <w:p>
      <w:pPr>
        <w:numPr>
          <w:ilvl w:val="0"/>
          <w:numId w:val="18"/>
        </w:numPr>
        <w:rPr>
          <w:lang w:val="en-US" w:eastAsia="zh-CN"/>
        </w:rPr>
      </w:pPr>
      <w:r>
        <w:rPr>
          <w:lang w:val="en-US" w:eastAsia="zh-CN"/>
        </w:rPr>
        <w:t>R2-2304033</w:t>
      </w:r>
      <w:r>
        <w:rPr>
          <w:lang w:val="en-US" w:eastAsia="zh-CN"/>
        </w:rPr>
        <w:tab/>
      </w:r>
      <w:r>
        <w:rPr>
          <w:lang w:val="en-US" w:eastAsia="zh-CN"/>
        </w:rPr>
        <w:t>Discussion on SL positioning</w:t>
      </w:r>
      <w:r>
        <w:rPr>
          <w:lang w:val="en-US" w:eastAsia="zh-CN"/>
        </w:rPr>
        <w:tab/>
      </w:r>
      <w:r>
        <w:rPr>
          <w:lang w:val="en-US" w:eastAsia="zh-CN"/>
        </w:rPr>
        <w:t>Xiaomi</w:t>
      </w:r>
      <w:r>
        <w:rPr>
          <w:lang w:val="en-US" w:eastAsia="zh-CN"/>
        </w:rPr>
        <w:tab/>
      </w:r>
      <w:r>
        <w:rPr>
          <w:lang w:val="en-US" w:eastAsia="zh-CN"/>
        </w:rPr>
        <w:t>discussion</w:t>
      </w:r>
      <w:r>
        <w:rPr>
          <w:lang w:val="en-US" w:eastAsia="zh-CN"/>
        </w:rPr>
        <w:tab/>
      </w:r>
      <w:r>
        <w:rPr>
          <w:lang w:val="en-US" w:eastAsia="zh-CN"/>
        </w:rPr>
        <w:t>Rel-18</w:t>
      </w:r>
    </w:p>
    <w:p>
      <w:pPr>
        <w:numPr>
          <w:ilvl w:val="0"/>
          <w:numId w:val="18"/>
        </w:numPr>
        <w:rPr>
          <w:lang w:val="en-US" w:eastAsia="zh-CN"/>
        </w:rPr>
      </w:pPr>
      <w:r>
        <w:rPr>
          <w:lang w:val="en-US" w:eastAsia="zh-CN"/>
        </w:rPr>
        <w:t xml:space="preserve">S2-2301786, Reply LS on SL positioning groupcast and broadcast. </w:t>
      </w:r>
    </w:p>
    <w:p>
      <w:pPr>
        <w:rPr>
          <w:lang w:val="en-US" w:eastAsia="zh-CN"/>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variable"/>
    <w:sig w:usb0="E00002FF" w:usb1="6AC7FDFB" w:usb2="08000012" w:usb3="00000000" w:csb0="4002009F" w:csb1="DFD70000"/>
  </w:font>
  <w:font w:name="Cambria Math">
    <w:panose1 w:val="02040503050406030204"/>
    <w:charset w:val="00"/>
    <w:family w:val="auto"/>
    <w:pitch w:val="variable"/>
    <w:sig w:usb0="E00006FF" w:usb1="420024FF" w:usb2="02000000" w:usb3="00000000" w:csb0="2000019F" w:csb1="00000000"/>
  </w:font>
  <w:font w:name="MS PGothic">
    <w:panose1 w:val="020B0600070205080204"/>
    <w:charset w:val="80"/>
    <w:family w:val="auto"/>
    <w:pitch w:val="variable"/>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08FAC"/>
    <w:multiLevelType w:val="multilevel"/>
    <w:tmpl w:val="B1208FAC"/>
    <w:lvl w:ilvl="0" w:tentative="0">
      <w:start w:val="1"/>
      <w:numFmt w:val="decimal"/>
      <w:lvlText w:val="Proposal %1"/>
      <w:lvlJc w:val="left"/>
      <w:pPr>
        <w:tabs>
          <w:tab w:val="left" w:pos="1304"/>
        </w:tabs>
        <w:ind w:left="1304" w:hanging="1304"/>
      </w:pPr>
      <w:rPr>
        <w:rFonts w:hint="default"/>
        <w:lang w:val="en-GB"/>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D72BBD07"/>
    <w:multiLevelType w:val="singleLevel"/>
    <w:tmpl w:val="D72BBD07"/>
    <w:lvl w:ilvl="0" w:tentative="0">
      <w:start w:val="3"/>
      <w:numFmt w:val="decimal"/>
      <w:lvlText w:val="%1"/>
      <w:lvlJc w:val="left"/>
    </w:lvl>
  </w:abstractNum>
  <w:abstractNum w:abstractNumId="2">
    <w:nsid w:val="E1A2B5E1"/>
    <w:multiLevelType w:val="multilevel"/>
    <w:tmpl w:val="E1A2B5E1"/>
    <w:lvl w:ilvl="0" w:tentative="0">
      <w:start w:val="1"/>
      <w:numFmt w:val="decimal"/>
      <w:lvlText w:val="%1."/>
      <w:lvlJc w:val="left"/>
      <w:pPr>
        <w:ind w:left="360" w:hanging="360"/>
      </w:pPr>
      <w:rPr>
        <w:rFonts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FFFF7E"/>
    <w:multiLevelType w:val="singleLevel"/>
    <w:tmpl w:val="FFFFFF7E"/>
    <w:lvl w:ilvl="0" w:tentative="0">
      <w:start w:val="1"/>
      <w:numFmt w:val="lowerRoman"/>
      <w:pStyle w:val="32"/>
      <w:lvlText w:val="%1."/>
      <w:lvlJc w:val="right"/>
      <w:pPr>
        <w:ind w:left="926" w:hanging="360"/>
      </w:pPr>
    </w:lvl>
  </w:abstractNum>
  <w:abstractNum w:abstractNumId="4">
    <w:nsid w:val="0B0BC360"/>
    <w:multiLevelType w:val="singleLevel"/>
    <w:tmpl w:val="0B0BC360"/>
    <w:lvl w:ilvl="0" w:tentative="0">
      <w:start w:val="1"/>
      <w:numFmt w:val="decimal"/>
      <w:suff w:val="space"/>
      <w:lvlText w:val="[%1]"/>
      <w:lvlJc w:val="left"/>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AF36CD6"/>
    <w:multiLevelType w:val="multilevel"/>
    <w:tmpl w:val="2AF36CD6"/>
    <w:lvl w:ilvl="0" w:tentative="0">
      <w:start w:val="1"/>
      <w:numFmt w:val="decimal"/>
      <w:lvlText w:val="Proposal %1"/>
      <w:lvlJc w:val="left"/>
      <w:pPr>
        <w:tabs>
          <w:tab w:val="left" w:pos="1304"/>
        </w:tabs>
        <w:ind w:left="1304" w:hanging="1304"/>
      </w:pPr>
      <w:rPr>
        <w:rFonts w:hint="default"/>
        <w:lang w:val="en-GB"/>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9"/>
  </w:num>
  <w:num w:numId="3">
    <w:abstractNumId w:val="5"/>
  </w:num>
  <w:num w:numId="4">
    <w:abstractNumId w:val="7"/>
  </w:num>
  <w:num w:numId="5">
    <w:abstractNumId w:val="6"/>
  </w:num>
  <w:num w:numId="6">
    <w:abstractNumId w:val="15"/>
  </w:num>
  <w:num w:numId="7">
    <w:abstractNumId w:val="3"/>
  </w:num>
  <w:num w:numId="8">
    <w:abstractNumId w:val="17"/>
  </w:num>
  <w:num w:numId="9">
    <w:abstractNumId w:val="12"/>
  </w:num>
  <w:num w:numId="10">
    <w:abstractNumId w:val="10"/>
  </w:num>
  <w:num w:numId="11">
    <w:abstractNumId w:val="13"/>
  </w:num>
  <w:num w:numId="12">
    <w:abstractNumId w:val="14"/>
  </w:num>
  <w:num w:numId="13">
    <w:abstractNumId w:val="11"/>
  </w:num>
  <w:num w:numId="14">
    <w:abstractNumId w:val="1"/>
  </w:num>
  <w:num w:numId="15">
    <w:abstractNumId w:val="2"/>
  </w:num>
  <w:num w:numId="16">
    <w:abstractNumId w:val="8"/>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tDA0NjIyNLC0NDRV0lEKTi0uzszPAykwrAUAgnY8lSwAAAA="/>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37A6D"/>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B6520"/>
    <w:rsid w:val="000C165A"/>
    <w:rsid w:val="000C2AE9"/>
    <w:rsid w:val="000C2E19"/>
    <w:rsid w:val="000C3585"/>
    <w:rsid w:val="000C7E1D"/>
    <w:rsid w:val="000D0D07"/>
    <w:rsid w:val="000D4797"/>
    <w:rsid w:val="000D608C"/>
    <w:rsid w:val="000D70E1"/>
    <w:rsid w:val="000E0527"/>
    <w:rsid w:val="000E1E92"/>
    <w:rsid w:val="000E3E45"/>
    <w:rsid w:val="000E6D9F"/>
    <w:rsid w:val="000E7D44"/>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00BF"/>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E16"/>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0690"/>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37268"/>
    <w:rsid w:val="00342BD7"/>
    <w:rsid w:val="00345AAB"/>
    <w:rsid w:val="00346DB5"/>
    <w:rsid w:val="003477B1"/>
    <w:rsid w:val="0035604D"/>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2A4"/>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E7FB7"/>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AE0"/>
    <w:rsid w:val="00553EA2"/>
    <w:rsid w:val="00554E19"/>
    <w:rsid w:val="005561FA"/>
    <w:rsid w:val="005603E5"/>
    <w:rsid w:val="0056121F"/>
    <w:rsid w:val="00563A29"/>
    <w:rsid w:val="005724D5"/>
    <w:rsid w:val="00572505"/>
    <w:rsid w:val="00573666"/>
    <w:rsid w:val="00573AE9"/>
    <w:rsid w:val="00580158"/>
    <w:rsid w:val="0058280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24D7"/>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16F72"/>
    <w:rsid w:val="00620A71"/>
    <w:rsid w:val="00620D80"/>
    <w:rsid w:val="00622430"/>
    <w:rsid w:val="006234A6"/>
    <w:rsid w:val="006238BE"/>
    <w:rsid w:val="00626186"/>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42C2"/>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23C"/>
    <w:rsid w:val="00876B4D"/>
    <w:rsid w:val="00877F18"/>
    <w:rsid w:val="00882604"/>
    <w:rsid w:val="00885D0A"/>
    <w:rsid w:val="008905A1"/>
    <w:rsid w:val="008928B1"/>
    <w:rsid w:val="008936A6"/>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E48BA"/>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267F"/>
    <w:rsid w:val="00953920"/>
    <w:rsid w:val="00953D47"/>
    <w:rsid w:val="009549BF"/>
    <w:rsid w:val="009567EA"/>
    <w:rsid w:val="0095681E"/>
    <w:rsid w:val="009572D4"/>
    <w:rsid w:val="00961921"/>
    <w:rsid w:val="0096430A"/>
    <w:rsid w:val="0096554B"/>
    <w:rsid w:val="0096584A"/>
    <w:rsid w:val="00967BAF"/>
    <w:rsid w:val="00971F08"/>
    <w:rsid w:val="009731C4"/>
    <w:rsid w:val="0097603D"/>
    <w:rsid w:val="00976949"/>
    <w:rsid w:val="00980477"/>
    <w:rsid w:val="00980B26"/>
    <w:rsid w:val="009824B2"/>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4E1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300C"/>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768"/>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0D6"/>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96BAB"/>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5F03"/>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4D64"/>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0D3C"/>
    <w:rsid w:val="00FC3426"/>
    <w:rsid w:val="00FC4C0A"/>
    <w:rsid w:val="00FC7429"/>
    <w:rsid w:val="00FD07F6"/>
    <w:rsid w:val="00FD1EC8"/>
    <w:rsid w:val="00FD47ED"/>
    <w:rsid w:val="00FD612F"/>
    <w:rsid w:val="00FD61CE"/>
    <w:rsid w:val="00FD74DB"/>
    <w:rsid w:val="00FD7660"/>
    <w:rsid w:val="00FE0655"/>
    <w:rsid w:val="00FE2365"/>
    <w:rsid w:val="00FE2412"/>
    <w:rsid w:val="00FE37D7"/>
    <w:rsid w:val="00FE4C7B"/>
    <w:rsid w:val="00FE7336"/>
    <w:rsid w:val="00FE787C"/>
    <w:rsid w:val="00FF45A5"/>
    <w:rsid w:val="00FF5247"/>
    <w:rsid w:val="00FF5C91"/>
    <w:rsid w:val="00FF6A4A"/>
    <w:rsid w:val="018C44F4"/>
    <w:rsid w:val="06835FE6"/>
    <w:rsid w:val="085B1D6F"/>
    <w:rsid w:val="0B5806FB"/>
    <w:rsid w:val="0F0F5662"/>
    <w:rsid w:val="16981D2F"/>
    <w:rsid w:val="18920F2E"/>
    <w:rsid w:val="1FA015D5"/>
    <w:rsid w:val="1FAF6930"/>
    <w:rsid w:val="208F4DF7"/>
    <w:rsid w:val="21946915"/>
    <w:rsid w:val="29242C9F"/>
    <w:rsid w:val="2E7A4E8A"/>
    <w:rsid w:val="34F5482E"/>
    <w:rsid w:val="362F5B1E"/>
    <w:rsid w:val="3A533DC4"/>
    <w:rsid w:val="3BD8694B"/>
    <w:rsid w:val="42695144"/>
    <w:rsid w:val="4B6B2E89"/>
    <w:rsid w:val="584C5D08"/>
    <w:rsid w:val="58D208F6"/>
    <w:rsid w:val="5ADE5CB5"/>
    <w:rsid w:val="5C790782"/>
    <w:rsid w:val="5CD70CB9"/>
    <w:rsid w:val="5DFB7676"/>
    <w:rsid w:val="5EEA65BA"/>
    <w:rsid w:val="5EFE7E5C"/>
    <w:rsid w:val="61283D1F"/>
    <w:rsid w:val="6860709A"/>
    <w:rsid w:val="6BE948F1"/>
    <w:rsid w:val="748A7DE8"/>
    <w:rsid w:val="782D00A1"/>
    <w:rsid w:val="78414C61"/>
    <w:rsid w:val="7BE97AEA"/>
    <w:rsid w:val="7FF97C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49"/>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19"/>
    <w:link w:val="150"/>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rFonts w:cs="Arial"/>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99"/>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character" w:customStyle="1" w:styleId="149">
    <w:name w:val="TAC Char"/>
    <w:link w:val="80"/>
    <w:qFormat/>
    <w:locked/>
    <w:uiPriority w:val="0"/>
    <w:rPr>
      <w:rFonts w:ascii="Arial" w:hAnsi="Arial"/>
      <w:sz w:val="18"/>
      <w:lang w:val="zh-CN" w:eastAsia="zh-CN"/>
    </w:rPr>
  </w:style>
  <w:style w:type="character" w:customStyle="1" w:styleId="150">
    <w:name w:val="EmailDiscussion Char"/>
    <w:link w:val="118"/>
    <w:qFormat/>
    <w:locked/>
    <w:uiPriority w:val="0"/>
    <w:rPr>
      <w:rFonts w:ascii="Arial" w:hAnsi="Arial" w:eastAsia="MS Mincho"/>
      <w:b/>
      <w:szCs w:val="24"/>
    </w:rPr>
  </w:style>
  <w:style w:type="character" w:customStyle="1" w:styleId="151">
    <w:name w:val="normaltextrun"/>
    <w:basedOn w:val="53"/>
    <w:qFormat/>
    <w:uiPriority w:val="0"/>
  </w:style>
  <w:style w:type="character" w:customStyle="1" w:styleId="152">
    <w:name w:val="eop"/>
    <w:basedOn w:val="53"/>
    <w:qFormat/>
    <w:uiPriority w:val="0"/>
  </w:style>
  <w:style w:type="character" w:customStyle="1" w:styleId="153">
    <w:name w:val="3GPP Text Char"/>
    <w:link w:val="154"/>
    <w:qFormat/>
    <w:locked/>
    <w:uiPriority w:val="0"/>
    <w:rPr>
      <w:rFonts w:ascii="Times New Roman" w:hAnsi="Times New Roman" w:eastAsia="宋体"/>
    </w:rPr>
  </w:style>
  <w:style w:type="paragraph" w:customStyle="1" w:styleId="154">
    <w:name w:val="3GPP Text"/>
    <w:basedOn w:val="1"/>
    <w:link w:val="153"/>
    <w:qFormat/>
    <w:uiPriority w:val="0"/>
    <w:pPr>
      <w:spacing w:before="120" w:after="120"/>
      <w:jc w:val="both"/>
      <w:textAlignment w:val="auto"/>
    </w:pPr>
    <w:rPr>
      <w:lang w:eastAsia="en-GB"/>
    </w:rPr>
  </w:style>
  <w:style w:type="character" w:customStyle="1" w:styleId="155">
    <w:name w:val="B1 Char"/>
    <w:qFormat/>
    <w:locked/>
    <w:uiPriority w:val="0"/>
    <w:rPr>
      <w:lang w:eastAsia="en-US"/>
    </w:rPr>
  </w:style>
  <w:style w:type="paragraph" w:customStyle="1" w:styleId="156">
    <w:name w:val="3GPP Agreements"/>
    <w:basedOn w:val="1"/>
    <w:link w:val="157"/>
    <w:qFormat/>
    <w:uiPriority w:val="0"/>
    <w:pPr>
      <w:numPr>
        <w:ilvl w:val="0"/>
        <w:numId w:val="13"/>
      </w:numPr>
      <w:spacing w:before="60" w:after="60"/>
      <w:jc w:val="both"/>
    </w:pPr>
    <w:rPr>
      <w:sz w:val="22"/>
      <w:lang w:val="en-US" w:eastAsia="zh-CN"/>
    </w:rPr>
  </w:style>
  <w:style w:type="character" w:customStyle="1" w:styleId="157">
    <w:name w:val="3GPP Agreements Char"/>
    <w:link w:val="156"/>
    <w:qFormat/>
    <w:uiPriority w:val="0"/>
    <w:rPr>
      <w:rFonts w:ascii="Times New Roman" w:hAnsi="Times New Roman"/>
      <w:sz w:val="22"/>
      <w:lang w:val="en-US" w:eastAsia="zh-CN"/>
    </w:rPr>
  </w:style>
  <w:style w:type="character" w:customStyle="1" w:styleId="158">
    <w:name w:val="Doc-title Char"/>
    <w:link w:val="159"/>
    <w:qFormat/>
    <w:locked/>
    <w:uiPriority w:val="0"/>
    <w:rPr>
      <w:rFonts w:ascii="Arial" w:hAnsi="Arial" w:eastAsia="MS Mincho" w:cs="Arial"/>
      <w:szCs w:val="24"/>
    </w:rPr>
  </w:style>
  <w:style w:type="paragraph" w:customStyle="1" w:styleId="159">
    <w:name w:val="Doc-title"/>
    <w:basedOn w:val="1"/>
    <w:next w:val="1"/>
    <w:link w:val="158"/>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paragraph" w:customStyle="1" w:styleId="160">
    <w:name w:val="msolistparagraph"/>
    <w:basedOn w:val="1"/>
    <w:qFormat/>
    <w:uiPriority w:val="0"/>
    <w:pPr>
      <w:widowControl w:val="0"/>
      <w:spacing w:after="0"/>
      <w:ind w:firstLine="420" w:firstLineChars="200"/>
      <w:jc w:val="both"/>
    </w:pPr>
    <w:rPr>
      <w:rFonts w:hint="eastAsia" w:ascii="等线" w:hAnsi="等线" w:eastAsia="等线"/>
      <w:kern w:val="2"/>
      <w:sz w:val="21"/>
      <w:szCs w:val="22"/>
      <w:lang w:val="en-US" w:eastAsia="zh-CN"/>
    </w:rPr>
  </w:style>
  <w:style w:type="paragraph" w:customStyle="1" w:styleId="161">
    <w:name w:val="Bibliography1"/>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datastoreItem>
</file>

<file path=customXml/itemProps2.xml><?xml version="1.0" encoding="utf-8"?>
<ds:datastoreItem xmlns:ds="http://schemas.openxmlformats.org/officeDocument/2006/customXml" ds:itemID="{1F45F8FC-89C0-4339-8515-533CA97F071E}">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6060FA74-3EE0-4BEF-8543-EB2E8F6A49D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12</Pages>
  <Words>4968</Words>
  <Characters>28318</Characters>
  <Lines>235</Lines>
  <Paragraphs>66</Paragraphs>
  <TotalTime>5</TotalTime>
  <ScaleCrop>false</ScaleCrop>
  <LinksUpToDate>false</LinksUpToDate>
  <CharactersWithSpaces>33220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2023-04-21T08:46:00Z</dcterms:created>
  <dc:creator>Ali, Ansab</dc:creator>
  <cp:keywords>3GPP; Ericsson; TDoc</cp:keywords>
  <cp:lastModifiedBy>xiaowei-xiaomi</cp:lastModifiedBy>
  <cp:lastPrinted>2008-01-31T07:09:00Z</cp:lastPrinted>
  <dcterms:modified xsi:type="dcterms:W3CDTF">2023-04-21T11:26:33Z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