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8"/>
      </w:pPr>
      <w:r>
        <w:t>3GPP TSG-RAN WG2 Meeting #121-bis electronic</w:t>
      </w:r>
      <w:r>
        <w:tab/>
        <w:t>R2-2xxxxxx</w:t>
      </w:r>
    </w:p>
    <w:p>
      <w:pPr>
        <w:pStyle w:val="a8"/>
      </w:pPr>
      <w:r>
        <w:t>April 17-26, 2023</w:t>
      </w:r>
    </w:p>
    <w:p>
      <w:pPr>
        <w:pStyle w:val="Comments"/>
      </w:pPr>
    </w:p>
    <w:p>
      <w:pPr>
        <w:pStyle w:val="a8"/>
      </w:pPr>
      <w:r>
        <w:t xml:space="preserve">Source: </w:t>
      </w:r>
      <w:r>
        <w:tab/>
        <w:t>Session Chair (CATT)</w:t>
      </w:r>
    </w:p>
    <w:p>
      <w:pPr>
        <w:pStyle w:val="a8"/>
        <w:rPr>
          <w:rFonts w:eastAsia="宋体"/>
          <w:lang w:eastAsia="zh-CN"/>
        </w:rPr>
      </w:pPr>
      <w:r>
        <w:t>Title:</w:t>
      </w:r>
      <w:r>
        <w:tab/>
        <w:t>Report from NR MIMO evolution session</w:t>
      </w:r>
    </w:p>
    <w:p>
      <w:pPr>
        <w:pStyle w:val="Comments"/>
        <w:rPr>
          <w:rFonts w:eastAsia="宋体"/>
          <w:lang w:eastAsia="zh-CN"/>
        </w:rPr>
      </w:pPr>
    </w:p>
    <w:p>
      <w:pPr>
        <w:pStyle w:val="Comments"/>
        <w:rPr>
          <w:rFonts w:eastAsia="宋体"/>
          <w:lang w:eastAsia="zh-CN"/>
        </w:rPr>
      </w:pPr>
    </w:p>
    <w:p>
      <w:pPr>
        <w:pStyle w:val="2"/>
      </w:pPr>
      <w:r>
        <w:rPr>
          <w:lang w:val="en-US"/>
        </w:rPr>
        <w:t>Status of At-Meeting Email Discussions</w:t>
      </w:r>
    </w:p>
    <w:p>
      <w:pPr>
        <w:pStyle w:val="Comments"/>
        <w:rPr>
          <w:rFonts w:eastAsia="宋体"/>
          <w:lang w:eastAsia="zh-CN"/>
        </w:rPr>
      </w:pPr>
      <w:r>
        <w:rPr>
          <w:lang w:val="en-US"/>
        </w:rPr>
        <w:t>This subclause is not an Agenda Item. It contains a running summary of the email discussions assigned to take place during the meeting weeks.</w:t>
      </w:r>
      <w:r>
        <w:rPr>
          <w:rFonts w:eastAsia="宋体" w:hint="eastAsia"/>
          <w:lang w:val="en-US" w:eastAsia="zh-CN"/>
        </w:rPr>
        <w:t xml:space="preserve"> </w:t>
      </w:r>
      <w:bookmarkStart w:id="0" w:name="_GoBack"/>
      <w:bookmarkEnd w:id="0"/>
      <w:r>
        <w:rPr>
          <w:lang w:val="en-US"/>
        </w:rPr>
        <w:t>This section will be moved to an appendix in the final version of the report.</w:t>
      </w:r>
    </w:p>
    <w:p>
      <w:pPr>
        <w:pStyle w:val="Comments"/>
        <w:rPr>
          <w:rFonts w:eastAsia="宋体"/>
          <w:lang w:eastAsia="zh-CN"/>
        </w:rPr>
      </w:pPr>
    </w:p>
    <w:p>
      <w:pPr>
        <w:pStyle w:val="EmailDiscussion"/>
        <w:numPr>
          <w:ilvl w:val="0"/>
          <w:numId w:val="0"/>
        </w:numPr>
        <w:ind w:leftChars="352" w:left="704"/>
      </w:pPr>
      <w:bookmarkStart w:id="1" w:name="_Hlk41901868"/>
      <w:bookmarkStart w:id="2" w:name="_Hlk93314208"/>
      <w:r>
        <w:t>[</w:t>
      </w:r>
      <w:bookmarkStart w:id="3" w:name="_Hlk93314176"/>
      <w:r>
        <w:t xml:space="preserve">AT121bis-e][850] Organizational </w:t>
      </w:r>
      <w:bookmarkEnd w:id="3"/>
      <w:r>
        <w:t xml:space="preserve">- MIMO </w:t>
      </w:r>
      <w:proofErr w:type="spellStart"/>
      <w:r>
        <w:t>evo</w:t>
      </w:r>
      <w:proofErr w:type="spellEnd"/>
      <w:r>
        <w:t xml:space="preserve"> (CATT)</w:t>
      </w:r>
    </w:p>
    <w:bookmarkEnd w:id="1"/>
    <w:p>
      <w:pPr>
        <w:pStyle w:val="EmailDiscussion2"/>
        <w:ind w:leftChars="336" w:left="672" w:firstLine="0"/>
      </w:pPr>
      <w:r>
        <w:t>Scope:</w:t>
      </w:r>
    </w:p>
    <w:p>
      <w:pPr>
        <w:pStyle w:val="EmailDiscussion2"/>
        <w:ind w:leftChars="418" w:left="1196" w:hanging="360"/>
        <w:rPr>
          <w:rFonts w:eastAsia="宋体"/>
          <w:lang w:eastAsia="zh-CN"/>
        </w:rPr>
      </w:pPr>
      <w:r>
        <w:rPr>
          <w:rFonts w:ascii="Wingdings" w:hAnsi="Wingdings"/>
        </w:rPr>
        <w:t></w:t>
      </w:r>
      <w:r>
        <w:rPr>
          <w:rFonts w:ascii="Times New Roman" w:hAnsi="Times New Roman"/>
          <w:sz w:val="14"/>
          <w:szCs w:val="14"/>
        </w:rPr>
        <w:t xml:space="preserve">  </w:t>
      </w:r>
      <w:r>
        <w:t xml:space="preserve">Share plans for the meeting and list of </w:t>
      </w:r>
      <w:proofErr w:type="spellStart"/>
      <w:r>
        <w:t>ongoing</w:t>
      </w:r>
      <w:proofErr w:type="spellEnd"/>
      <w:r>
        <w:t xml:space="preserve"> email discussions</w:t>
      </w:r>
    </w:p>
    <w:p>
      <w:pPr>
        <w:pStyle w:val="EmailDiscussion2"/>
        <w:ind w:leftChars="418" w:left="1196" w:hanging="360"/>
      </w:pPr>
      <w:r>
        <w:rPr>
          <w:rFonts w:ascii="Wingdings" w:hAnsi="Wingdings"/>
        </w:rPr>
        <w:t></w:t>
      </w:r>
      <w:r>
        <w:rPr>
          <w:rFonts w:ascii="Times New Roman" w:hAnsi="Times New Roman"/>
          <w:sz w:val="14"/>
          <w:szCs w:val="14"/>
        </w:rPr>
        <w:t xml:space="preserve">  </w:t>
      </w:r>
      <w:r>
        <w:t xml:space="preserve">Share meetings notes and agreements for review and endorsement </w:t>
      </w:r>
    </w:p>
    <w:p>
      <w:pPr>
        <w:pStyle w:val="EmailDiscussion2"/>
        <w:ind w:leftChars="172" w:left="707"/>
        <w:rPr>
          <w:rFonts w:eastAsia="宋体"/>
          <w:lang w:eastAsia="zh-CN"/>
        </w:rPr>
      </w:pPr>
      <w:r>
        <w:t>      Intended outcome:</w:t>
      </w:r>
      <w:r>
        <w:rPr>
          <w:rFonts w:ascii="Times New Roman" w:hAnsi="Times New Roman"/>
          <w:sz w:val="14"/>
          <w:szCs w:val="14"/>
        </w:rPr>
        <w:t xml:space="preserve"> </w:t>
      </w:r>
      <w:r>
        <w:t>General information sharing about the sessions</w:t>
      </w:r>
    </w:p>
    <w:p>
      <w:pPr>
        <w:pStyle w:val="EmailDiscussion2"/>
        <w:ind w:leftChars="172" w:left="707"/>
      </w:pPr>
      <w:r>
        <w:rPr>
          <w:rFonts w:eastAsia="宋体" w:hint="eastAsia"/>
          <w:lang w:eastAsia="zh-CN"/>
        </w:rPr>
        <w:tab/>
      </w:r>
      <w:r>
        <w:t>Deadline:</w:t>
      </w:r>
      <w:bookmarkEnd w:id="2"/>
      <w:r>
        <w:rPr>
          <w:rFonts w:eastAsia="宋体" w:hint="eastAsia"/>
          <w:lang w:eastAsia="zh-CN"/>
        </w:rPr>
        <w:t xml:space="preserve"> </w:t>
      </w:r>
      <w:r>
        <w:t>EOM</w:t>
      </w:r>
    </w:p>
    <w:p>
      <w:pPr>
        <w:pStyle w:val="Comments"/>
        <w:rPr>
          <w:rFonts w:eastAsia="宋体"/>
          <w:lang w:eastAsia="zh-CN"/>
        </w:rPr>
      </w:pPr>
    </w:p>
    <w:p>
      <w:pPr>
        <w:pStyle w:val="Comments"/>
        <w:rPr>
          <w:rFonts w:eastAsia="宋体"/>
          <w:b/>
          <w:i w:val="0"/>
          <w:noProof w:val="0"/>
          <w:sz w:val="20"/>
          <w:lang w:eastAsia="zh-CN"/>
        </w:rPr>
      </w:pPr>
    </w:p>
    <w:p>
      <w:pPr>
        <w:pStyle w:val="Comments"/>
        <w:rPr>
          <w:rFonts w:eastAsia="宋体"/>
          <w:lang w:eastAsia="zh-CN"/>
        </w:rPr>
      </w:pPr>
    </w:p>
    <w:p>
      <w:pPr>
        <w:pStyle w:val="Comments"/>
        <w:rPr>
          <w:rFonts w:eastAsia="宋体"/>
          <w:lang w:eastAsia="zh-CN"/>
        </w:rPr>
      </w:pPr>
    </w:p>
    <w:p>
      <w:pPr>
        <w:pStyle w:val="2"/>
      </w:pPr>
      <w:r>
        <w:t>7.20</w:t>
      </w:r>
      <w:r>
        <w:tab/>
        <w:t>NR MIMO evolution</w:t>
      </w:r>
    </w:p>
    <w:p>
      <w:pPr>
        <w:pStyle w:val="Comments"/>
      </w:pPr>
      <w:r>
        <w:t>(NR_MIMO_evo_DL_UL-Core; leading WG: RAN1; REL-18; WID: RP-223276)</w:t>
      </w:r>
    </w:p>
    <w:p>
      <w:pPr>
        <w:pStyle w:val="Comments"/>
      </w:pPr>
      <w:r>
        <w:t>Time budget: 0.5 TU</w:t>
      </w:r>
    </w:p>
    <w:p>
      <w:pPr>
        <w:pStyle w:val="Comments"/>
      </w:pPr>
      <w:r>
        <w:t>Tdoc Limitation: 2 tdoc</w:t>
      </w:r>
    </w:p>
    <w:p>
      <w:pPr>
        <w:pStyle w:val="30"/>
      </w:pPr>
      <w:r>
        <w:rPr>
          <w:rFonts w:eastAsia="宋体" w:hint="eastAsia"/>
          <w:lang w:eastAsia="zh-CN"/>
        </w:rPr>
        <w:t>7</w:t>
      </w:r>
      <w:r>
        <w:t>.20.1</w:t>
      </w:r>
      <w:r>
        <w:tab/>
        <w:t>Organizational</w:t>
      </w:r>
    </w:p>
    <w:p>
      <w:pPr>
        <w:pStyle w:val="Comments"/>
        <w:rPr>
          <w:rFonts w:ascii="Times New Roman" w:hAnsi="Times New Roman"/>
          <w:i w:val="0"/>
          <w:iCs/>
          <w:sz w:val="20"/>
          <w:szCs w:val="20"/>
          <w:lang w:val="en-US" w:eastAsia="zh-CN"/>
        </w:rPr>
      </w:pPr>
      <w:r>
        <w:t>Rapporteur input, incoming LS etc.</w:t>
      </w:r>
    </w:p>
    <w:p>
      <w:pPr>
        <w:pStyle w:val="Doc-title"/>
        <w:rPr>
          <w:rFonts w:eastAsia="宋体"/>
          <w:lang w:eastAsia="zh-CN"/>
        </w:rPr>
      </w:pPr>
      <w:r>
        <w:t>R2-2302455</w:t>
      </w:r>
      <w:r>
        <w:tab/>
        <w:t>LS to RAN2/4 on Agreements for Rel-18 MIMO (R1-2302226; contact: Samsung)</w:t>
      </w:r>
      <w:r>
        <w:tab/>
        <w:t>RAN1</w:t>
      </w:r>
      <w:r>
        <w:tab/>
        <w:t>LS in</w:t>
      </w:r>
      <w:r>
        <w:tab/>
        <w:t>Rel-18</w:t>
      </w:r>
      <w:r>
        <w:tab/>
        <w:t>NR_MIMO_evo_DL_UL</w:t>
      </w:r>
      <w:r>
        <w:tab/>
        <w:t>To:RAN2, RAN4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R2-2302616</w:t>
      </w:r>
      <w:r>
        <w:rPr>
          <w:lang w:eastAsia="zh-CN"/>
        </w:rPr>
        <w:tab/>
        <w:t>RAN2 work plan for MIMO evolution</w:t>
      </w:r>
      <w:r>
        <w:rPr>
          <w:lang w:eastAsia="zh-CN"/>
        </w:rPr>
        <w:tab/>
        <w:t>NTT DOCOMO, INC., Samsung, Huawei, HiSilicon</w:t>
      </w:r>
      <w:r>
        <w:rPr>
          <w:lang w:eastAsia="zh-CN"/>
        </w:rPr>
        <w:tab/>
        <w:t>Work Plan</w:t>
      </w:r>
      <w:r>
        <w:rPr>
          <w:lang w:eastAsia="zh-CN"/>
        </w:rPr>
        <w:tab/>
        <w:t>Rel-18</w:t>
      </w:r>
    </w:p>
    <w:p>
      <w:pPr>
        <w:pStyle w:val="Doc-text2"/>
        <w:rPr>
          <w:rFonts w:eastAsia="宋体"/>
          <w:lang w:eastAsia="zh-CN"/>
        </w:rPr>
      </w:pPr>
    </w:p>
    <w:p>
      <w:pPr>
        <w:pStyle w:val="30"/>
      </w:pPr>
      <w:r>
        <w:rPr>
          <w:rFonts w:eastAsia="宋体" w:hint="eastAsia"/>
          <w:lang w:eastAsia="zh-CN"/>
        </w:rPr>
        <w:t>7</w:t>
      </w:r>
      <w:r>
        <w:t>.20.2</w:t>
      </w:r>
      <w:r>
        <w:tab/>
        <w:t>Two TAs for multi-DCI multi-TRP</w:t>
      </w:r>
    </w:p>
    <w:p>
      <w:pPr>
        <w:pStyle w:val="Comments"/>
        <w:rPr>
          <w:rFonts w:ascii="Times New Roman" w:hAnsi="Times New Roman"/>
          <w:sz w:val="20"/>
          <w:szCs w:val="20"/>
          <w:lang w:val="en-US"/>
        </w:rPr>
      </w:pPr>
      <w:r>
        <w:t>Includes discussion on whether to support per TRP UE-initiated RACH procedure, other RAN2 impacts of Two TAs for multi-DCI multi-TRP operation, etc.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R2-2302568</w:t>
      </w:r>
      <w:r>
        <w:rPr>
          <w:lang w:eastAsia="zh-CN"/>
        </w:rPr>
        <w:tab/>
        <w:t>Discussion on multiple TAG</w:t>
      </w:r>
      <w:r>
        <w:rPr>
          <w:lang w:eastAsia="zh-CN"/>
        </w:rPr>
        <w:tab/>
        <w:t>OPPO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R2-2302692</w:t>
      </w:r>
      <w:r>
        <w:rPr>
          <w:lang w:eastAsia="zh-CN"/>
        </w:rPr>
        <w:tab/>
        <w:t>Discussion on multi-DCI multi-TRP with two TAs</w:t>
      </w:r>
      <w:r>
        <w:rPr>
          <w:lang w:eastAsia="zh-CN"/>
        </w:rPr>
        <w:tab/>
        <w:t>Intel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R2-2302879</w:t>
      </w:r>
      <w:r>
        <w:rPr>
          <w:lang w:eastAsia="zh-CN"/>
        </w:rPr>
        <w:tab/>
        <w:t>Two TAs for multi-DCI multi-TRP</w:t>
      </w:r>
      <w:r>
        <w:rPr>
          <w:lang w:eastAsia="zh-CN"/>
        </w:rPr>
        <w:tab/>
        <w:t>Huawei, HiSilicon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R2-2302939</w:t>
      </w:r>
      <w:r>
        <w:rPr>
          <w:lang w:eastAsia="zh-CN"/>
        </w:rPr>
        <w:tab/>
        <w:t>Discussion on Multi-TRP with two TAs</w:t>
      </w:r>
      <w:r>
        <w:rPr>
          <w:lang w:eastAsia="zh-CN"/>
        </w:rPr>
        <w:tab/>
        <w:t>SHARP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R2-2302975</w:t>
      </w:r>
      <w:r>
        <w:rPr>
          <w:lang w:eastAsia="zh-CN"/>
        </w:rPr>
        <w:tab/>
        <w:t>Discussion on two TAs for multi-TRP</w:t>
      </w:r>
      <w:r>
        <w:rPr>
          <w:lang w:eastAsia="zh-CN"/>
        </w:rPr>
        <w:tab/>
        <w:t>NEC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R2-2303016</w:t>
      </w:r>
      <w:r>
        <w:rPr>
          <w:lang w:eastAsia="zh-CN"/>
        </w:rPr>
        <w:tab/>
        <w:t>Considerations on multi-DCI multi-TRP operation with two TAs</w:t>
      </w:r>
      <w:r>
        <w:rPr>
          <w:lang w:eastAsia="zh-CN"/>
        </w:rPr>
        <w:tab/>
        <w:t>Fujitsu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</w:t>
      </w:r>
      <w:r>
        <w:rPr>
          <w:lang w:eastAsia="zh-CN"/>
        </w:rPr>
        <w:tab/>
        <w:t>R2-2301035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R2-2303022</w:t>
      </w:r>
      <w:r>
        <w:rPr>
          <w:lang w:eastAsia="zh-CN"/>
        </w:rPr>
        <w:tab/>
        <w:t>Discussions on Two TAs for multi-DCI multi-TRP</w:t>
      </w:r>
      <w:r>
        <w:rPr>
          <w:lang w:eastAsia="zh-CN"/>
        </w:rPr>
        <w:tab/>
        <w:t>CATT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R2-2303248</w:t>
      </w:r>
      <w:r>
        <w:rPr>
          <w:lang w:eastAsia="zh-CN"/>
        </w:rPr>
        <w:tab/>
        <w:t>Discussion on the impacts of Two TAs for multi-DCI multi-TRP operation</w:t>
      </w:r>
      <w:r>
        <w:rPr>
          <w:lang w:eastAsia="zh-CN"/>
        </w:rPr>
        <w:tab/>
        <w:t>Lenovo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</w:p>
    <w:p>
      <w:pPr>
        <w:pStyle w:val="Doc-title"/>
        <w:rPr>
          <w:lang w:eastAsia="zh-CN"/>
        </w:rPr>
      </w:pPr>
      <w:r>
        <w:rPr>
          <w:lang w:eastAsia="zh-CN"/>
        </w:rPr>
        <w:lastRenderedPageBreak/>
        <w:t>R2-2303249</w:t>
      </w:r>
      <w:r>
        <w:rPr>
          <w:lang w:eastAsia="zh-CN"/>
        </w:rPr>
        <w:tab/>
        <w:t>Discussion on the UE-initiated RACH procedure in multi-TRP operation</w:t>
      </w:r>
      <w:r>
        <w:rPr>
          <w:lang w:eastAsia="zh-CN"/>
        </w:rPr>
        <w:tab/>
        <w:t>Lenovo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R2-2303422</w:t>
      </w:r>
      <w:r>
        <w:rPr>
          <w:lang w:eastAsia="zh-CN"/>
        </w:rPr>
        <w:tab/>
        <w:t>Support of Two TAs for multi-DCI multi-TRP</w:t>
      </w:r>
      <w:r>
        <w:rPr>
          <w:lang w:eastAsia="zh-CN"/>
        </w:rPr>
        <w:tab/>
        <w:t>Apple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R2-2303560</w:t>
      </w:r>
      <w:r>
        <w:rPr>
          <w:lang w:eastAsia="zh-CN"/>
        </w:rPr>
        <w:tab/>
        <w:t>Discussion on multi-DCI multi-TRP with two TAs</w:t>
      </w:r>
      <w:r>
        <w:rPr>
          <w:lang w:eastAsia="zh-CN"/>
        </w:rPr>
        <w:tab/>
        <w:t>Qualcomm Incorporated</w:t>
      </w:r>
      <w:r>
        <w:rPr>
          <w:lang w:eastAsia="zh-CN"/>
        </w:rPr>
        <w:tab/>
        <w:t>discussion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R2-2303690</w:t>
      </w:r>
      <w:r>
        <w:rPr>
          <w:lang w:eastAsia="zh-CN"/>
        </w:rPr>
        <w:tab/>
        <w:t>On multi-DCI multi-TRP with two TAs</w:t>
      </w:r>
      <w:r>
        <w:rPr>
          <w:lang w:eastAsia="zh-CN"/>
        </w:rPr>
        <w:tab/>
        <w:t>Nokia, Nokia Shanghai Bell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R2-2303691</w:t>
      </w:r>
      <w:r>
        <w:rPr>
          <w:lang w:eastAsia="zh-CN"/>
        </w:rPr>
        <w:tab/>
        <w:t>RA procedure while SpCell is configured with 2 TAGs</w:t>
      </w:r>
      <w:r>
        <w:rPr>
          <w:lang w:eastAsia="zh-CN"/>
        </w:rPr>
        <w:tab/>
        <w:t>Nokia, Nokia Shanghai Bell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R2-2303708</w:t>
      </w:r>
      <w:r>
        <w:rPr>
          <w:lang w:eastAsia="zh-CN"/>
        </w:rPr>
        <w:tab/>
        <w:t>On 2TA operation</w:t>
      </w:r>
      <w:r>
        <w:rPr>
          <w:lang w:eastAsia="zh-CN"/>
        </w:rPr>
        <w:tab/>
        <w:t>Ericsson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R2-2303732</w:t>
      </w:r>
      <w:r>
        <w:rPr>
          <w:lang w:eastAsia="zh-CN"/>
        </w:rPr>
        <w:tab/>
        <w:t>UL time alignment in multi-DCI based multi-TRP with two TAs</w:t>
      </w:r>
      <w:r>
        <w:rPr>
          <w:lang w:eastAsia="zh-CN"/>
        </w:rPr>
        <w:tab/>
        <w:t>InterDigital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R2-2303757</w:t>
      </w:r>
      <w:r>
        <w:rPr>
          <w:lang w:eastAsia="zh-CN"/>
        </w:rPr>
        <w:tab/>
        <w:t>Discussion on TA maintenance in two TAs for multi-TRP</w:t>
      </w:r>
      <w:r>
        <w:rPr>
          <w:lang w:eastAsia="zh-CN"/>
        </w:rPr>
        <w:tab/>
        <w:t>LG Electronics Inc.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R2-2303769</w:t>
      </w:r>
      <w:r>
        <w:rPr>
          <w:lang w:eastAsia="zh-CN"/>
        </w:rPr>
        <w:tab/>
        <w:t>Discussion on two TAs for multi-DCI multi-TRP</w:t>
      </w:r>
      <w:r>
        <w:rPr>
          <w:lang w:eastAsia="zh-CN"/>
        </w:rPr>
        <w:tab/>
        <w:t>Samsung Research America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R2-2304042</w:t>
      </w:r>
      <w:r>
        <w:rPr>
          <w:lang w:eastAsia="zh-CN"/>
        </w:rPr>
        <w:tab/>
        <w:t>Discussion on two TAs for multi-TRP</w:t>
      </w:r>
      <w:r>
        <w:rPr>
          <w:lang w:eastAsia="zh-CN"/>
        </w:rPr>
        <w:tab/>
        <w:t>Xiaomi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R2-2304131</w:t>
      </w:r>
      <w:r>
        <w:rPr>
          <w:lang w:eastAsia="zh-CN"/>
        </w:rPr>
        <w:tab/>
        <w:t>Intial Discussion On 2TA for unified TCI state based mPDCCH mTRP</w:t>
      </w:r>
      <w:r>
        <w:rPr>
          <w:lang w:eastAsia="zh-CN"/>
        </w:rPr>
        <w:tab/>
        <w:t>ZTE Corporation,Sanechips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R2-2304132</w:t>
      </w:r>
      <w:r>
        <w:rPr>
          <w:lang w:eastAsia="zh-CN"/>
        </w:rPr>
        <w:tab/>
        <w:t>Considerations on the PDCCH order RACH for acquiring the TRP sepcific TA</w:t>
      </w:r>
      <w:r>
        <w:rPr>
          <w:lang w:eastAsia="zh-CN"/>
        </w:rPr>
        <w:tab/>
        <w:t>ZTE Corporation,Sanechips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ext2"/>
        <w:rPr>
          <w:lang w:eastAsia="zh-CN"/>
        </w:rPr>
      </w:pPr>
    </w:p>
    <w:p>
      <w:pPr>
        <w:pStyle w:val="30"/>
      </w:pPr>
      <w:r>
        <w:rPr>
          <w:rFonts w:eastAsia="宋体" w:hint="eastAsia"/>
          <w:lang w:eastAsia="zh-CN"/>
        </w:rPr>
        <w:t>7</w:t>
      </w:r>
      <w:r>
        <w:t>.20.3</w:t>
      </w:r>
      <w:r>
        <w:tab/>
        <w:t>Other</w:t>
      </w:r>
    </w:p>
    <w:p>
      <w:pPr>
        <w:pStyle w:val="Comments"/>
        <w:rPr>
          <w:rFonts w:eastAsia="宋体"/>
          <w:lang w:eastAsia="zh-CN"/>
        </w:rPr>
      </w:pPr>
      <w:r>
        <w:t xml:space="preserve">Other RAN2 impacts than those discussed in </w:t>
      </w:r>
      <w:r>
        <w:rPr>
          <w:rFonts w:eastAsia="宋体" w:hint="eastAsia"/>
          <w:lang w:eastAsia="zh-CN"/>
        </w:rPr>
        <w:t>7</w:t>
      </w:r>
      <w:r>
        <w:t xml:space="preserve">.20.1 and </w:t>
      </w:r>
      <w:r>
        <w:rPr>
          <w:rFonts w:eastAsia="宋体" w:hint="eastAsia"/>
          <w:lang w:eastAsia="zh-CN"/>
        </w:rPr>
        <w:t>7</w:t>
      </w:r>
      <w:r>
        <w:t>.20.2</w:t>
      </w:r>
      <w:r>
        <w:rPr>
          <w:rFonts w:hint="eastAsia"/>
        </w:rPr>
        <w:t xml:space="preserve">. </w:t>
      </w:r>
    </w:p>
    <w:p>
      <w:pPr>
        <w:pStyle w:val="Comments"/>
        <w:rPr>
          <w:rFonts w:eastAsia="宋体"/>
          <w:lang w:eastAsia="zh-CN"/>
        </w:rPr>
      </w:pPr>
      <w:r>
        <w:rPr>
          <w:rFonts w:hint="eastAsia"/>
        </w:rPr>
        <w:t xml:space="preserve">Note: </w:t>
      </w:r>
      <w:r>
        <w:t>This</w:t>
      </w:r>
      <w:r>
        <w:rPr>
          <w:rFonts w:hint="eastAsia"/>
        </w:rPr>
        <w:t xml:space="preserve"> agenda item is with lower priority, i.e., it is treated only if time allows.</w:t>
      </w:r>
    </w:p>
    <w:p>
      <w:pPr>
        <w:pStyle w:val="Comments"/>
        <w:rPr>
          <w:lang w:eastAsia="zh-CN"/>
        </w:rPr>
      </w:pPr>
    </w:p>
    <w:p>
      <w:pPr>
        <w:pStyle w:val="Doc-title"/>
      </w:pPr>
      <w:r>
        <w:t>R2-2302880</w:t>
      </w:r>
      <w:r>
        <w:tab/>
        <w:t>Extension of unified TCI framework for mTRP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R2-2303023</w:t>
      </w:r>
      <w:r>
        <w:tab/>
        <w:t>Discussion on Unified TCI Framework Extension for Multi-TRP</w:t>
      </w:r>
      <w:r>
        <w:tab/>
        <w:t>CATT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R2-2303064</w:t>
      </w:r>
      <w:r>
        <w:tab/>
        <w:t>MAC impacts on the enhancements of the unified TCI state framework</w:t>
      </w:r>
      <w:r>
        <w:tab/>
        <w:t>Samsung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R2-2303725</w:t>
      </w:r>
      <w:r>
        <w:tab/>
        <w:t>On incoming LSs on Rel-18 MIMO</w:t>
      </w:r>
      <w:r>
        <w:tab/>
        <w:t>Ericsson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R2-2303758</w:t>
      </w:r>
      <w:r>
        <w:tab/>
        <w:t>Discussion on power control for multi-TRP</w:t>
      </w:r>
      <w:r>
        <w:tab/>
        <w:t>LG Electronics Inc.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R2-2303939</w:t>
      </w:r>
      <w:r>
        <w:tab/>
        <w:t>Intra-UE prioritization for simultaneous multi-panel transmission</w:t>
      </w:r>
      <w:r>
        <w:tab/>
        <w:t>ASUSTeK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ext2"/>
      </w:pPr>
    </w:p>
    <w:p>
      <w:pPr>
        <w:pStyle w:val="Comments"/>
        <w:rPr>
          <w:rFonts w:eastAsia="宋体"/>
          <w:lang w:eastAsia="zh-CN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  <w:p/>
  </w:endnote>
  <w:endnote w:type="continuationSeparator" w:id="0">
    <w:p>
      <w:r>
        <w:continuationSeparator/>
      </w:r>
    </w:p>
    <w:p/>
  </w:endnote>
  <w:endnote w:type="continuationNotice" w:id="1">
    <w:p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  <w:p/>
  </w:footnote>
  <w:footnote w:type="continuationSeparator" w:id="0">
    <w:p>
      <w:r>
        <w:continuationSeparator/>
      </w:r>
    </w:p>
    <w:p/>
  </w:footnote>
  <w:footnote w:type="continuationNotice" w:id="1">
    <w:p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7pt;height:24.35pt" o:bullet="t">
        <v:imagedata r:id="rId1" o:title="art711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5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18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5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0"/>
  </w:num>
  <w:num w:numId="4">
    <w:abstractNumId w:val="35"/>
  </w:num>
  <w:num w:numId="5">
    <w:abstractNumId w:val="21"/>
  </w:num>
  <w:num w:numId="6">
    <w:abstractNumId w:val="0"/>
  </w:num>
  <w:num w:numId="7">
    <w:abstractNumId w:val="22"/>
  </w:num>
  <w:num w:numId="8">
    <w:abstractNumId w:val="18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25"/>
  </w:num>
  <w:num w:numId="14">
    <w:abstractNumId w:val="27"/>
  </w:num>
  <w:num w:numId="15">
    <w:abstractNumId w:val="16"/>
  </w:num>
  <w:num w:numId="16">
    <w:abstractNumId w:val="23"/>
  </w:num>
  <w:num w:numId="17">
    <w:abstractNumId w:val="13"/>
  </w:num>
  <w:num w:numId="18">
    <w:abstractNumId w:val="15"/>
  </w:num>
  <w:num w:numId="19">
    <w:abstractNumId w:val="6"/>
  </w:num>
  <w:num w:numId="20">
    <w:abstractNumId w:val="11"/>
  </w:num>
  <w:num w:numId="21">
    <w:abstractNumId w:val="32"/>
  </w:num>
  <w:num w:numId="22">
    <w:abstractNumId w:val="17"/>
  </w:num>
  <w:num w:numId="23">
    <w:abstractNumId w:val="14"/>
  </w:num>
  <w:num w:numId="24">
    <w:abstractNumId w:val="2"/>
  </w:num>
  <w:num w:numId="25">
    <w:abstractNumId w:val="19"/>
  </w:num>
  <w:num w:numId="26">
    <w:abstractNumId w:val="20"/>
  </w:num>
  <w:num w:numId="27">
    <w:abstractNumId w:val="5"/>
  </w:num>
  <w:num w:numId="28">
    <w:abstractNumId w:val="30"/>
  </w:num>
  <w:num w:numId="29">
    <w:abstractNumId w:val="24"/>
  </w:num>
  <w:num w:numId="30">
    <w:abstractNumId w:val="26"/>
  </w:num>
  <w:num w:numId="31">
    <w:abstractNumId w:val="1"/>
  </w:num>
  <w:num w:numId="32">
    <w:abstractNumId w:val="33"/>
  </w:num>
  <w:num w:numId="33">
    <w:abstractNumId w:val="4"/>
  </w:num>
  <w:num w:numId="34">
    <w:abstractNumId w:val="31"/>
  </w:num>
  <w:num w:numId="35">
    <w:abstractNumId w:val="29"/>
  </w:num>
  <w:num w:numId="36">
    <w:abstractNumId w:val="1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leton v2 - delegate">
    <w15:presenceInfo w15:providerId="None" w15:userId="Skeleton v2 - delegate"/>
  </w15:person>
  <w15:person w15:author="Skeleton v3 - delegate">
    <w15:presenceInfo w15:providerId="None" w15:userId="Skeleton v3 - delegate"/>
  </w15:person>
  <w15:person w15:author="Skeleton v3 - session chair">
    <w15:presenceInfo w15:providerId="None" w15:userId="Skeleton v3 - session chair"/>
  </w15:person>
  <w15:person w15:author="Skeleton v2 - session chair">
    <w15:presenceInfo w15:providerId="None" w15:userId="Skeleton v2 - session chair"/>
  </w15:person>
  <w15:person w15:author="Skeleton v3 - MCC">
    <w15:presenceInfo w15:providerId="None" w15:userId="Skeleton v3 - MCC"/>
  </w15:person>
  <w15:person w15:author="Skeleton v4 - MCC">
    <w15:presenceInfo w15:providerId="None" w15:userId="Skeleton v4 - MCC"/>
  </w15:person>
  <w15:person w15:author="Skeleton v2 - MCC">
    <w15:presenceInfo w15:providerId="None" w15:userId="Skeleton v2 - MCC"/>
  </w15:person>
  <w15:person w15:author="Skeleton v4 - chair">
    <w15:presenceInfo w15:providerId="None" w15:userId="Skeleton v4 - chair"/>
  </w15:person>
  <w15:person w15:author="Skeleton v4 - delegate">
    <w15:presenceInfo w15:providerId="None" w15:userId="Skeleton v4 - delegate"/>
  </w15:person>
  <w15:person w15:author="Skeleton v4 - session chair">
    <w15:presenceInfo w15:providerId="None" w15:userId="Skeleton v4 - session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dOfflineDiscCount" w:val="1"/>
    <w:docVar w:name="SavedOfflineDiscCountTime" w:val="26/04/2022 13:40:28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Doc-title"/>
    <w:link w:val="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</w:style>
  <w:style w:type="paragraph" w:styleId="20">
    <w:name w:val="toc 2"/>
    <w:basedOn w:val="a0"/>
    <w:next w:val="a0"/>
    <w:autoRedefine/>
    <w:uiPriority w:val="39"/>
    <w:pPr>
      <w:ind w:left="200"/>
    </w:pPr>
  </w:style>
  <w:style w:type="paragraph" w:styleId="3">
    <w:name w:val="toc 3"/>
    <w:basedOn w:val="a0"/>
    <w:next w:val="a0"/>
    <w:autoRedefine/>
    <w:semiHidden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9">
    <w:name w:val="footer"/>
    <w:basedOn w:val="a0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pPr>
      <w:ind w:left="283" w:hanging="283"/>
    </w:p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1">
    <w:name w:val="纯文本 Char"/>
    <w:link w:val="ae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0"/>
    <w:semiHidden/>
    <w:rPr>
      <w:szCs w:val="20"/>
    </w:r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2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Pr>
      <w:color w:val="808080"/>
    </w:rPr>
  </w:style>
  <w:style w:type="character" w:customStyle="1" w:styleId="1Char">
    <w:name w:val="标题 1 Char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Calibri" w:hAnsi="Calibri"/>
      <w:sz w:val="22"/>
      <w:szCs w:val="22"/>
    </w:rPr>
  </w:style>
  <w:style w:type="paragraph" w:styleId="af8">
    <w:name w:val="Date"/>
    <w:basedOn w:val="a0"/>
    <w:next w:val="a0"/>
    <w:link w:val="Char3"/>
  </w:style>
  <w:style w:type="character" w:customStyle="1" w:styleId="Char3">
    <w:name w:val="日期 Char"/>
    <w:basedOn w:val="a1"/>
    <w:link w:val="af8"/>
    <w:rPr>
      <w:rFonts w:ascii="Arial" w:eastAsia="MS Mincho" w:hAnsi="Arial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Doc-title"/>
    <w:link w:val="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</w:style>
  <w:style w:type="paragraph" w:styleId="20">
    <w:name w:val="toc 2"/>
    <w:basedOn w:val="a0"/>
    <w:next w:val="a0"/>
    <w:autoRedefine/>
    <w:uiPriority w:val="39"/>
    <w:pPr>
      <w:ind w:left="200"/>
    </w:pPr>
  </w:style>
  <w:style w:type="paragraph" w:styleId="3">
    <w:name w:val="toc 3"/>
    <w:basedOn w:val="a0"/>
    <w:next w:val="a0"/>
    <w:autoRedefine/>
    <w:semiHidden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9">
    <w:name w:val="footer"/>
    <w:basedOn w:val="a0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pPr>
      <w:ind w:left="283" w:hanging="283"/>
    </w:p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1">
    <w:name w:val="纯文本 Char"/>
    <w:link w:val="ae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0"/>
    <w:semiHidden/>
    <w:rPr>
      <w:szCs w:val="20"/>
    </w:r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2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Pr>
      <w:color w:val="808080"/>
    </w:rPr>
  </w:style>
  <w:style w:type="character" w:customStyle="1" w:styleId="1Char">
    <w:name w:val="标题 1 Char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Calibri" w:hAnsi="Calibri"/>
      <w:sz w:val="22"/>
      <w:szCs w:val="22"/>
    </w:rPr>
  </w:style>
  <w:style w:type="paragraph" w:styleId="af8">
    <w:name w:val="Date"/>
    <w:basedOn w:val="a0"/>
    <w:next w:val="a0"/>
    <w:link w:val="Char3"/>
  </w:style>
  <w:style w:type="character" w:customStyle="1" w:styleId="Char3">
    <w:name w:val="日期 Char"/>
    <w:basedOn w:val="a1"/>
    <w:link w:val="af8"/>
    <w:rPr>
      <w:rFonts w:ascii="Arial" w:eastAsia="MS Mincho" w:hAnsi="Arial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94285-2476-42F7-8E1A-26065B68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2023-04-17T08:45:00Z</dcterms:created>
  <dcterms:modified xsi:type="dcterms:W3CDTF">2023-04-17T09:29:00Z</dcterms:modified>
</cp:coreProperties>
</file>