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uawei, HiSiclion</w:t>
            </w:r>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r>
              <w:rPr>
                <w:rFonts w:eastAsia="SimSun" w:hint="eastAsia"/>
                <w:lang w:val="en-US" w:eastAsia="zh-CN"/>
              </w:rPr>
              <w:t>Y</w:t>
            </w:r>
            <w:r>
              <w:rPr>
                <w:rFonts w:eastAsia="SimSun"/>
                <w:lang w:val="en-US" w:eastAsia="zh-CN"/>
              </w:rPr>
              <w:t>inghao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Default="005728DF" w:rsidP="005728DF">
            <w:pPr>
              <w:pStyle w:val="TAC"/>
              <w:rPr>
                <w:lang w:val="sv-SE" w:eastAsia="zh-CN"/>
              </w:rPr>
            </w:pPr>
            <w:r>
              <w:rPr>
                <w:lang w:val="sv-SE"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Therefore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Sidelink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rFonts w:hint="eastAsia"/>
                <w:sz w:val="20"/>
                <w:szCs w:val="20"/>
                <w:lang w:eastAsia="zh-CN"/>
              </w:rPr>
            </w:pPr>
            <w:r>
              <w:rPr>
                <w:sz w:val="20"/>
                <w:szCs w:val="20"/>
              </w:rPr>
              <w:t>Lenovo</w:t>
            </w:r>
          </w:p>
        </w:tc>
        <w:tc>
          <w:tcPr>
            <w:tcW w:w="1339" w:type="dxa"/>
          </w:tcPr>
          <w:p w14:paraId="6B029379" w14:textId="2CA7A6DD" w:rsidR="005728DF" w:rsidRDefault="005728DF" w:rsidP="005728DF">
            <w:pPr>
              <w:jc w:val="both"/>
              <w:rPr>
                <w:rFonts w:hint="eastAsia"/>
                <w:sz w:val="20"/>
                <w:szCs w:val="20"/>
                <w:lang w:eastAsia="zh-CN"/>
              </w:rPr>
            </w:pPr>
            <w:r>
              <w:rPr>
                <w:sz w:val="20"/>
                <w:szCs w:val="20"/>
              </w:rPr>
              <w:t>Yes with comments</w:t>
            </w:r>
          </w:p>
        </w:tc>
        <w:tc>
          <w:tcPr>
            <w:tcW w:w="6133" w:type="dxa"/>
          </w:tcPr>
          <w:p w14:paraId="36B9290E" w14:textId="77777777" w:rsidR="005728DF" w:rsidRDefault="005728DF" w:rsidP="005728DF">
            <w:pPr>
              <w:jc w:val="both"/>
              <w:rPr>
                <w:sz w:val="20"/>
                <w:szCs w:val="20"/>
              </w:rPr>
            </w:pPr>
            <w:r>
              <w:rPr>
                <w:sz w:val="20"/>
                <w:szCs w:val="20"/>
              </w:rPr>
              <w:t>For clause 4 and 5 we are ok to re-use LPP as baseline. Based on the future agreements we make for SLPP we have to sort out later whether we need to deviate from it or not.</w:t>
            </w:r>
          </w:p>
          <w:p w14:paraId="5CE07C32" w14:textId="7868BD79" w:rsidR="005728DF" w:rsidRDefault="005728DF" w:rsidP="005728DF">
            <w:pPr>
              <w:jc w:val="both"/>
              <w:rPr>
                <w:sz w:val="20"/>
                <w:szCs w:val="20"/>
                <w:lang w:eastAsia="zh-CN"/>
              </w:rPr>
            </w:pPr>
            <w:r>
              <w:rPr>
                <w:sz w:val="20"/>
                <w:szCs w:val="20"/>
              </w:rPr>
              <w:t>For clause 6 we think more discussion is needed, see our comments to Q2. Basically, we prefer to adopt a simpler approach for SLPP ASN.1 compared to LPP or RRC, e.g. we are not convinced in applying delta signaling for SLPP messages.</w:t>
            </w:r>
          </w:p>
        </w:tc>
      </w:tr>
      <w:tr w:rsidR="005728DF" w14:paraId="1094B9A6" w14:textId="77777777" w:rsidTr="005728DF">
        <w:tc>
          <w:tcPr>
            <w:tcW w:w="1878" w:type="dxa"/>
          </w:tcPr>
          <w:p w14:paraId="00F983E4" w14:textId="77777777" w:rsidR="005728DF" w:rsidRDefault="005728DF" w:rsidP="00C72D8D">
            <w:pPr>
              <w:jc w:val="both"/>
              <w:rPr>
                <w:rFonts w:hint="eastAsia"/>
                <w:sz w:val="20"/>
                <w:szCs w:val="20"/>
                <w:lang w:eastAsia="zh-CN"/>
              </w:rPr>
            </w:pPr>
          </w:p>
        </w:tc>
        <w:tc>
          <w:tcPr>
            <w:tcW w:w="1339" w:type="dxa"/>
          </w:tcPr>
          <w:p w14:paraId="7F456856" w14:textId="77777777" w:rsidR="005728DF" w:rsidRDefault="005728DF" w:rsidP="00C72D8D">
            <w:pPr>
              <w:jc w:val="both"/>
              <w:rPr>
                <w:rFonts w:hint="eastAsia"/>
                <w:sz w:val="20"/>
                <w:szCs w:val="20"/>
                <w:lang w:eastAsia="zh-CN"/>
              </w:rPr>
            </w:pPr>
          </w:p>
        </w:tc>
        <w:tc>
          <w:tcPr>
            <w:tcW w:w="6133" w:type="dxa"/>
          </w:tcPr>
          <w:p w14:paraId="24C0B962" w14:textId="77777777" w:rsidR="005728DF" w:rsidRDefault="005728DF" w:rsidP="00C72D8D">
            <w:pPr>
              <w:jc w:val="both"/>
              <w:rPr>
                <w:sz w:val="20"/>
                <w:szCs w:val="20"/>
                <w:lang w:eastAsia="zh-CN"/>
              </w:rPr>
            </w:pPr>
          </w:p>
        </w:tc>
      </w:tr>
      <w:tr w:rsidR="005728DF" w14:paraId="2A83306A" w14:textId="77777777" w:rsidTr="005728DF">
        <w:tc>
          <w:tcPr>
            <w:tcW w:w="1878" w:type="dxa"/>
          </w:tcPr>
          <w:p w14:paraId="78CD6855" w14:textId="77777777" w:rsidR="005728DF" w:rsidRDefault="005728DF" w:rsidP="00C72D8D">
            <w:pPr>
              <w:jc w:val="both"/>
              <w:rPr>
                <w:rFonts w:hint="eastAsia"/>
                <w:sz w:val="20"/>
                <w:szCs w:val="20"/>
                <w:lang w:eastAsia="zh-CN"/>
              </w:rPr>
            </w:pPr>
          </w:p>
        </w:tc>
        <w:tc>
          <w:tcPr>
            <w:tcW w:w="1339" w:type="dxa"/>
          </w:tcPr>
          <w:p w14:paraId="7B28859A" w14:textId="77777777" w:rsidR="005728DF" w:rsidRDefault="005728DF" w:rsidP="00C72D8D">
            <w:pPr>
              <w:jc w:val="both"/>
              <w:rPr>
                <w:rFonts w:hint="eastAsia"/>
                <w:sz w:val="20"/>
                <w:szCs w:val="20"/>
                <w:lang w:eastAsia="zh-CN"/>
              </w:rPr>
            </w:pPr>
          </w:p>
        </w:tc>
        <w:tc>
          <w:tcPr>
            <w:tcW w:w="6133" w:type="dxa"/>
          </w:tcPr>
          <w:p w14:paraId="5C9A678B" w14:textId="77777777" w:rsidR="005728DF" w:rsidRDefault="005728DF" w:rsidP="00C72D8D">
            <w:pPr>
              <w:jc w:val="both"/>
              <w:rPr>
                <w:sz w:val="20"/>
                <w:szCs w:val="20"/>
                <w:lang w:eastAsia="zh-CN"/>
              </w:rPr>
            </w:pPr>
          </w:p>
        </w:tc>
      </w:tr>
      <w:tr w:rsidR="005728DF" w14:paraId="79A82189" w14:textId="77777777" w:rsidTr="005728DF">
        <w:tc>
          <w:tcPr>
            <w:tcW w:w="1878" w:type="dxa"/>
          </w:tcPr>
          <w:p w14:paraId="73D0B58E" w14:textId="77777777" w:rsidR="005728DF" w:rsidRDefault="005728DF" w:rsidP="00C72D8D">
            <w:pPr>
              <w:jc w:val="both"/>
              <w:rPr>
                <w:rFonts w:hint="eastAsia"/>
                <w:sz w:val="20"/>
                <w:szCs w:val="20"/>
                <w:lang w:eastAsia="zh-CN"/>
              </w:rPr>
            </w:pPr>
          </w:p>
        </w:tc>
        <w:tc>
          <w:tcPr>
            <w:tcW w:w="1339" w:type="dxa"/>
          </w:tcPr>
          <w:p w14:paraId="28D210E2" w14:textId="77777777" w:rsidR="005728DF" w:rsidRDefault="005728DF" w:rsidP="00C72D8D">
            <w:pPr>
              <w:jc w:val="both"/>
              <w:rPr>
                <w:rFonts w:hint="eastAsia"/>
                <w:sz w:val="20"/>
                <w:szCs w:val="20"/>
                <w:lang w:eastAsia="zh-CN"/>
              </w:rPr>
            </w:pPr>
          </w:p>
        </w:tc>
        <w:tc>
          <w:tcPr>
            <w:tcW w:w="6133" w:type="dxa"/>
          </w:tcPr>
          <w:p w14:paraId="1DDE712A" w14:textId="77777777" w:rsidR="005728DF" w:rsidRDefault="005728DF" w:rsidP="00C72D8D">
            <w:pPr>
              <w:jc w:val="both"/>
              <w:rPr>
                <w:sz w:val="20"/>
                <w:szCs w:val="20"/>
                <w:lang w:eastAsia="zh-CN"/>
              </w:rPr>
            </w:pP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ListParagraph"/>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r w:rsidRPr="007205B3">
              <w:t>nonCriticalExtension</w:t>
            </w:r>
            <w:r>
              <w:t>” ;</w:t>
            </w:r>
          </w:p>
          <w:p w14:paraId="666902B5" w14:textId="77777777" w:rsidR="005D5752" w:rsidRDefault="005D5752" w:rsidP="005D5752">
            <w:pPr>
              <w:ind w:left="720"/>
              <w:jc w:val="both"/>
              <w:rPr>
                <w:sz w:val="20"/>
                <w:szCs w:val="20"/>
              </w:rPr>
            </w:pPr>
            <w:r>
              <w:rPr>
                <w:sz w:val="20"/>
                <w:szCs w:val="20"/>
              </w:rPr>
              <w:lastRenderedPageBreak/>
              <w:t xml:space="preserve">“nonCriticalExtension” in message level can group the IEs introduced in a new release together with less overhead, especially for size critical message, e.g. system information, initial setup, etc. But “nonCriticalExtension”  </w:t>
            </w:r>
            <w:r w:rsidRPr="00BE6313">
              <w:rPr>
                <w:sz w:val="20"/>
                <w:szCs w:val="20"/>
              </w:rPr>
              <w:t xml:space="preserve">can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setup/release, addition/modification are not used in LPP; However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on  common session for constrains, Fields in the field description are sorted based on alphabet order and  </w:t>
            </w:r>
            <w:r w:rsidRPr="00DF2C4B">
              <w:rPr>
                <w:b/>
                <w:bCs/>
                <w:sz w:val="20"/>
                <w:szCs w:val="20"/>
              </w:rPr>
              <w:t xml:space="preserve">“nonCriticalExtension”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(i.e.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SetupRelease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2" w:name="_Toc20425919"/>
                  <w:bookmarkStart w:id="3" w:name="_Toc29321315"/>
                  <w:bookmarkStart w:id="4" w:name="_Toc36757041"/>
                  <w:bookmarkStart w:id="5" w:name="_Toc36836582"/>
                  <w:bookmarkStart w:id="6" w:name="_Toc36843559"/>
                  <w:bookmarkStart w:id="7" w:name="_Toc37067848"/>
                  <w:r w:rsidRPr="00455AD1">
                    <w:rPr>
                      <w:lang w:val="en-US"/>
                    </w:rPr>
                    <w:t>–</w:t>
                  </w:r>
                  <w:r w:rsidRPr="00455AD1">
                    <w:rPr>
                      <w:lang w:val="en-US"/>
                    </w:rPr>
                    <w:tab/>
                  </w:r>
                  <w:r w:rsidRPr="00455AD1">
                    <w:rPr>
                      <w:i/>
                      <w:lang w:val="en-US"/>
                    </w:rPr>
                    <w:t>SetupRelease</w:t>
                  </w:r>
                  <w:bookmarkEnd w:id="2"/>
                  <w:bookmarkEnd w:id="3"/>
                  <w:bookmarkEnd w:id="4"/>
                  <w:bookmarkEnd w:id="5"/>
                  <w:bookmarkEnd w:id="6"/>
                  <w:bookmarkEnd w:id="7"/>
                </w:p>
                <w:p w14:paraId="69562803" w14:textId="77777777" w:rsidR="005D5752" w:rsidRPr="00F537EB" w:rsidRDefault="005D5752" w:rsidP="005D5752">
                  <w:pPr>
                    <w:spacing w:after="0"/>
                  </w:pPr>
                  <w:r w:rsidRPr="00F537EB">
                    <w:rPr>
                      <w:i/>
                    </w:rPr>
                    <w:t>SetupRelease</w:t>
                  </w:r>
                  <w:r w:rsidRPr="00F537EB">
                    <w:t xml:space="preserve"> allows the </w:t>
                  </w:r>
                  <w:r w:rsidRPr="00F537EB">
                    <w:rPr>
                      <w:i/>
                    </w:rPr>
                    <w:t>ElementTypeParam</w:t>
                  </w:r>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r w:rsidRPr="00F537EB">
                    <w:t>SetupRelease { ElementTypeParam } ::= CHOICE {</w:t>
                  </w:r>
                </w:p>
                <w:p w14:paraId="0D555454" w14:textId="77777777" w:rsidR="005D5752" w:rsidRDefault="005D5752" w:rsidP="005D5752">
                  <w:pPr>
                    <w:pStyle w:val="PL"/>
                    <w:spacing w:after="0"/>
                    <w:ind w:firstLine="384"/>
                  </w:pPr>
                  <w:r w:rsidRPr="00F537EB">
                    <w:lastRenderedPageBreak/>
                    <w:t>release         NULL,</w:t>
                  </w:r>
                </w:p>
                <w:p w14:paraId="1D90BF9C" w14:textId="77777777" w:rsidR="005D5752" w:rsidRPr="00F537EB" w:rsidRDefault="005D5752" w:rsidP="005D5752">
                  <w:pPr>
                    <w:pStyle w:val="PL"/>
                    <w:spacing w:after="0"/>
                    <w:ind w:firstLine="384"/>
                  </w:pPr>
                  <w:r w:rsidRPr="00F537EB">
                    <w:t xml:space="preserve">    setup           ElementTypeParam</w:t>
                  </w:r>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 xml:space="preserve">Define ASN.1 elements for UE capabilities in a dedicated section (i.e.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(i.e.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(i.e.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For the need code, the issue is that it is absent for UL and mandatorily needed for optional DL fields for Uu. While for PC5, there is no UL/DL difference. So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For the setupRelease, it should be discussed together with NeedM and AddModList mechanism that allow delta signaling. From spec point of view, SetupRelease has to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lastRenderedPageBreak/>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code-efficient.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5728DF" w14:paraId="2E5979FE" w14:textId="77777777" w:rsidTr="005728DF">
        <w:tc>
          <w:tcPr>
            <w:tcW w:w="1877" w:type="dxa"/>
          </w:tcPr>
          <w:p w14:paraId="4D97F3FE" w14:textId="77777777" w:rsidR="005728DF" w:rsidRDefault="005728DF" w:rsidP="005728DF">
            <w:pPr>
              <w:jc w:val="both"/>
              <w:rPr>
                <w:sz w:val="20"/>
                <w:szCs w:val="20"/>
              </w:rPr>
            </w:pPr>
          </w:p>
        </w:tc>
        <w:tc>
          <w:tcPr>
            <w:tcW w:w="1332" w:type="dxa"/>
          </w:tcPr>
          <w:p w14:paraId="5978365B" w14:textId="77777777" w:rsidR="005728DF" w:rsidRDefault="005728DF" w:rsidP="005728DF">
            <w:pPr>
              <w:jc w:val="both"/>
              <w:rPr>
                <w:sz w:val="20"/>
                <w:szCs w:val="20"/>
              </w:rPr>
            </w:pPr>
          </w:p>
        </w:tc>
        <w:tc>
          <w:tcPr>
            <w:tcW w:w="6141" w:type="dxa"/>
          </w:tcPr>
          <w:p w14:paraId="73CA2E27" w14:textId="77777777" w:rsidR="005728DF" w:rsidRDefault="005728DF" w:rsidP="005728DF">
            <w:pPr>
              <w:jc w:val="both"/>
              <w:rPr>
                <w:sz w:val="20"/>
                <w:szCs w:val="20"/>
              </w:rPr>
            </w:pPr>
          </w:p>
        </w:tc>
      </w:tr>
      <w:tr w:rsidR="005728DF" w14:paraId="6B253144" w14:textId="77777777" w:rsidTr="005728DF">
        <w:tc>
          <w:tcPr>
            <w:tcW w:w="1877" w:type="dxa"/>
          </w:tcPr>
          <w:p w14:paraId="5B813F17" w14:textId="77777777" w:rsidR="005728DF" w:rsidRDefault="005728DF" w:rsidP="005728DF">
            <w:pPr>
              <w:jc w:val="both"/>
              <w:rPr>
                <w:sz w:val="20"/>
                <w:szCs w:val="20"/>
              </w:rPr>
            </w:pPr>
          </w:p>
        </w:tc>
        <w:tc>
          <w:tcPr>
            <w:tcW w:w="1332" w:type="dxa"/>
          </w:tcPr>
          <w:p w14:paraId="085E47C6" w14:textId="77777777" w:rsidR="005728DF" w:rsidRDefault="005728DF" w:rsidP="005728DF">
            <w:pPr>
              <w:jc w:val="both"/>
              <w:rPr>
                <w:sz w:val="20"/>
                <w:szCs w:val="20"/>
              </w:rPr>
            </w:pPr>
          </w:p>
        </w:tc>
        <w:tc>
          <w:tcPr>
            <w:tcW w:w="6141" w:type="dxa"/>
          </w:tcPr>
          <w:p w14:paraId="23F4386B" w14:textId="77777777" w:rsidR="005728DF" w:rsidRDefault="005728DF" w:rsidP="005728DF">
            <w:pPr>
              <w:jc w:val="both"/>
              <w:rPr>
                <w:sz w:val="20"/>
                <w:szCs w:val="20"/>
              </w:rPr>
            </w:pPr>
          </w:p>
        </w:tc>
      </w:tr>
      <w:tr w:rsidR="005728DF" w14:paraId="30650C07" w14:textId="77777777" w:rsidTr="005728DF">
        <w:tc>
          <w:tcPr>
            <w:tcW w:w="1877" w:type="dxa"/>
          </w:tcPr>
          <w:p w14:paraId="12EE76CB" w14:textId="77777777" w:rsidR="005728DF" w:rsidRDefault="005728DF" w:rsidP="005728DF">
            <w:pPr>
              <w:jc w:val="both"/>
              <w:rPr>
                <w:sz w:val="20"/>
                <w:szCs w:val="20"/>
              </w:rPr>
            </w:pPr>
          </w:p>
        </w:tc>
        <w:tc>
          <w:tcPr>
            <w:tcW w:w="1332" w:type="dxa"/>
          </w:tcPr>
          <w:p w14:paraId="61500949" w14:textId="77777777" w:rsidR="005728DF" w:rsidRDefault="005728DF" w:rsidP="005728DF">
            <w:pPr>
              <w:jc w:val="both"/>
              <w:rPr>
                <w:sz w:val="20"/>
                <w:szCs w:val="20"/>
              </w:rPr>
            </w:pPr>
          </w:p>
        </w:tc>
        <w:tc>
          <w:tcPr>
            <w:tcW w:w="6141" w:type="dxa"/>
          </w:tcPr>
          <w:p w14:paraId="5681108E" w14:textId="77777777" w:rsidR="005728DF" w:rsidRDefault="005728DF" w:rsidP="005728DF">
            <w:pPr>
              <w:jc w:val="both"/>
              <w:rPr>
                <w:sz w:val="20"/>
                <w:szCs w:val="20"/>
              </w:rPr>
            </w:pPr>
          </w:p>
        </w:tc>
      </w:tr>
      <w:tr w:rsidR="005728DF" w14:paraId="3AF56A0D" w14:textId="77777777" w:rsidTr="005728DF">
        <w:tc>
          <w:tcPr>
            <w:tcW w:w="1877" w:type="dxa"/>
          </w:tcPr>
          <w:p w14:paraId="0D0AEBAF" w14:textId="77777777" w:rsidR="005728DF" w:rsidRDefault="005728DF" w:rsidP="005728DF">
            <w:pPr>
              <w:jc w:val="both"/>
              <w:rPr>
                <w:sz w:val="20"/>
                <w:szCs w:val="20"/>
              </w:rPr>
            </w:pPr>
          </w:p>
        </w:tc>
        <w:tc>
          <w:tcPr>
            <w:tcW w:w="1332" w:type="dxa"/>
          </w:tcPr>
          <w:p w14:paraId="77004AB3" w14:textId="77777777" w:rsidR="005728DF" w:rsidRDefault="005728DF" w:rsidP="005728DF">
            <w:pPr>
              <w:jc w:val="both"/>
              <w:rPr>
                <w:sz w:val="20"/>
                <w:szCs w:val="20"/>
              </w:rPr>
            </w:pPr>
          </w:p>
        </w:tc>
        <w:tc>
          <w:tcPr>
            <w:tcW w:w="6141" w:type="dxa"/>
          </w:tcPr>
          <w:p w14:paraId="613EA2B8" w14:textId="77777777" w:rsidR="005728DF" w:rsidRDefault="005728DF" w:rsidP="005728DF">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8" w:name="_Ref434066290"/>
      <w:r>
        <w:rPr>
          <w:rFonts w:ascii="Times New Roman" w:hAnsi="Times New Roman"/>
        </w:rPr>
        <w:t>Reference</w:t>
      </w:r>
      <w:bookmarkEnd w:id="8"/>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5650" w14:textId="77777777" w:rsidR="0050691E" w:rsidRDefault="0050691E" w:rsidP="008A375A">
      <w:pPr>
        <w:spacing w:after="0" w:line="240" w:lineRule="auto"/>
      </w:pPr>
      <w:r>
        <w:separator/>
      </w:r>
    </w:p>
  </w:endnote>
  <w:endnote w:type="continuationSeparator" w:id="0">
    <w:p w14:paraId="34481935" w14:textId="77777777" w:rsidR="0050691E" w:rsidRDefault="0050691E" w:rsidP="008A375A">
      <w:pPr>
        <w:spacing w:after="0" w:line="240" w:lineRule="auto"/>
      </w:pPr>
      <w:r>
        <w:continuationSeparator/>
      </w:r>
    </w:p>
  </w:endnote>
  <w:endnote w:type="continuationNotice" w:id="1">
    <w:p w14:paraId="763E0579" w14:textId="77777777" w:rsidR="0050691E" w:rsidRDefault="00506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55CA" w14:textId="77777777" w:rsidR="0050691E" w:rsidRDefault="0050691E" w:rsidP="008A375A">
      <w:pPr>
        <w:spacing w:after="0" w:line="240" w:lineRule="auto"/>
      </w:pPr>
      <w:r>
        <w:separator/>
      </w:r>
    </w:p>
  </w:footnote>
  <w:footnote w:type="continuationSeparator" w:id="0">
    <w:p w14:paraId="04D063D0" w14:textId="77777777" w:rsidR="0050691E" w:rsidRDefault="0050691E" w:rsidP="008A375A">
      <w:pPr>
        <w:spacing w:after="0" w:line="240" w:lineRule="auto"/>
      </w:pPr>
      <w:r>
        <w:continuationSeparator/>
      </w:r>
    </w:p>
  </w:footnote>
  <w:footnote w:type="continuationNotice" w:id="1">
    <w:p w14:paraId="7B7C676A" w14:textId="77777777" w:rsidR="0050691E" w:rsidRDefault="005069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99503060">
    <w:abstractNumId w:val="7"/>
  </w:num>
  <w:num w:numId="2" w16cid:durableId="2036886391">
    <w:abstractNumId w:val="9"/>
  </w:num>
  <w:num w:numId="3" w16cid:durableId="1324894745">
    <w:abstractNumId w:val="8"/>
  </w:num>
  <w:num w:numId="4" w16cid:durableId="1077436530">
    <w:abstractNumId w:val="15"/>
  </w:num>
  <w:num w:numId="5" w16cid:durableId="2040275039">
    <w:abstractNumId w:val="20"/>
  </w:num>
  <w:num w:numId="6" w16cid:durableId="1295017717">
    <w:abstractNumId w:val="11"/>
  </w:num>
  <w:num w:numId="7" w16cid:durableId="1629974799">
    <w:abstractNumId w:val="12"/>
  </w:num>
  <w:num w:numId="8" w16cid:durableId="341514667">
    <w:abstractNumId w:val="18"/>
  </w:num>
  <w:num w:numId="9" w16cid:durableId="1206261496">
    <w:abstractNumId w:val="4"/>
  </w:num>
  <w:num w:numId="10" w16cid:durableId="1581015023">
    <w:abstractNumId w:val="14"/>
  </w:num>
  <w:num w:numId="11" w16cid:durableId="1099445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5687008">
    <w:abstractNumId w:val="16"/>
  </w:num>
  <w:num w:numId="13" w16cid:durableId="1747071963">
    <w:abstractNumId w:val="6"/>
  </w:num>
  <w:num w:numId="14" w16cid:durableId="712079409">
    <w:abstractNumId w:val="19"/>
  </w:num>
  <w:num w:numId="15" w16cid:durableId="1507793776">
    <w:abstractNumId w:val="10"/>
  </w:num>
  <w:num w:numId="16" w16cid:durableId="652178542">
    <w:abstractNumId w:val="2"/>
  </w:num>
  <w:num w:numId="17" w16cid:durableId="709458210">
    <w:abstractNumId w:val="17"/>
  </w:num>
  <w:num w:numId="18" w16cid:durableId="213927446">
    <w:abstractNumId w:val="1"/>
  </w:num>
  <w:num w:numId="19" w16cid:durableId="2060082988">
    <w:abstractNumId w:val="3"/>
  </w:num>
  <w:num w:numId="20" w16cid:durableId="1140995462">
    <w:abstractNumId w:val="5"/>
  </w:num>
  <w:num w:numId="21" w16cid:durableId="2110008695">
    <w:abstractNumId w:val="0"/>
  </w:num>
  <w:num w:numId="22" w16cid:durableId="208483919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62464B-DF72-4A77-9578-FCED3062E01A}">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8386</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Lenovo</cp:lastModifiedBy>
  <cp:revision>4</cp:revision>
  <dcterms:created xsi:type="dcterms:W3CDTF">2023-03-01T08:36:00Z</dcterms:created>
  <dcterms:modified xsi:type="dcterms:W3CDTF">2023-03-01T08:41:00Z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