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rPr>
                <w:rFonts w:eastAsiaTheme="minorEastAsia"/>
                <w:b/>
              </w:rPr>
            </w:pPr>
            <w:r>
              <w:rPr>
                <w:rFonts w:eastAsiaTheme="minorEastAsia"/>
                <w:b/>
              </w:rPr>
              <w:t>Company</w:t>
            </w:r>
          </w:p>
        </w:tc>
        <w:tc>
          <w:tcPr>
            <w:tcW w:w="2552" w:type="dxa"/>
          </w:tcPr>
          <w:p>
            <w:pPr>
              <w:spacing w:after="0"/>
              <w:rPr>
                <w:rFonts w:eastAsiaTheme="minorEastAsia"/>
                <w:b/>
              </w:rPr>
            </w:pPr>
            <w:r>
              <w:rPr>
                <w:rFonts w:eastAsiaTheme="minorEastAsia"/>
                <w:b/>
              </w:rPr>
              <w:t>Name</w:t>
            </w:r>
          </w:p>
        </w:tc>
        <w:tc>
          <w:tcPr>
            <w:tcW w:w="4814"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OPPO</w:t>
            </w:r>
          </w:p>
        </w:tc>
        <w:tc>
          <w:tcPr>
            <w:tcW w:w="2552" w:type="dxa"/>
          </w:tcPr>
          <w:p>
            <w:pPr>
              <w:spacing w:after="0"/>
              <w:rPr>
                <w:rFonts w:eastAsiaTheme="minorEastAsia"/>
              </w:rPr>
            </w:pPr>
            <w:r>
              <w:rPr>
                <w:rFonts w:eastAsiaTheme="minorEastAsia"/>
              </w:rPr>
              <w:t>Haitao Li</w:t>
            </w:r>
          </w:p>
        </w:tc>
        <w:tc>
          <w:tcPr>
            <w:tcW w:w="4814" w:type="dxa"/>
          </w:tcPr>
          <w:p>
            <w:pPr>
              <w:spacing w:after="0"/>
              <w:rPr>
                <w:rFonts w:eastAsiaTheme="minorEastAsia"/>
              </w:rPr>
            </w:pPr>
            <w:r>
              <w:fldChar w:fldCharType="begin"/>
            </w:r>
            <w:r>
              <w:instrText xml:space="preserve"> HYPERLINK "mailto:lihaitao@oppo.com" </w:instrText>
            </w:r>
            <w:r>
              <w:fldChar w:fldCharType="separate"/>
            </w:r>
            <w:r>
              <w:rPr>
                <w:rStyle w:val="29"/>
                <w:rFonts w:eastAsiaTheme="minorEastAsia"/>
              </w:rPr>
              <w:t>lihaitao@oppo.com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3" w:type="dxa"/>
          </w:tcPr>
          <w:p>
            <w:pPr>
              <w:spacing w:after="0"/>
              <w:rPr>
                <w:rFonts w:eastAsiaTheme="minorEastAsia"/>
                <w:lang w:eastAsia="ko-KR"/>
              </w:rPr>
            </w:pPr>
            <w:r>
              <w:rPr>
                <w:rFonts w:hint="eastAsia" w:eastAsiaTheme="minorEastAsia"/>
                <w:lang w:eastAsia="ko-KR"/>
              </w:rPr>
              <w:t>LGE</w:t>
            </w:r>
          </w:p>
        </w:tc>
        <w:tc>
          <w:tcPr>
            <w:tcW w:w="2552" w:type="dxa"/>
          </w:tcPr>
          <w:p>
            <w:pPr>
              <w:spacing w:after="0"/>
              <w:rPr>
                <w:rFonts w:eastAsiaTheme="minorEastAsia"/>
                <w:lang w:eastAsia="ko-KR"/>
              </w:rPr>
            </w:pPr>
            <w:r>
              <w:rPr>
                <w:rFonts w:hint="eastAsia" w:eastAsiaTheme="minorEastAsia"/>
                <w:lang w:eastAsia="ko-KR"/>
              </w:rPr>
              <w:t>Han Cha</w:t>
            </w:r>
          </w:p>
        </w:tc>
        <w:tc>
          <w:tcPr>
            <w:tcW w:w="4814" w:type="dxa"/>
          </w:tcPr>
          <w:p>
            <w:pPr>
              <w:spacing w:after="0"/>
              <w:rPr>
                <w:rFonts w:eastAsiaTheme="minorEastAsia"/>
                <w:lang w:eastAsia="ko-KR"/>
              </w:rPr>
            </w:pPr>
            <w:r>
              <w:fldChar w:fldCharType="begin"/>
            </w:r>
            <w:r>
              <w:instrText xml:space="preserve"> HYPERLINK "mailto:Han.cha@lge.com" </w:instrText>
            </w:r>
            <w:r>
              <w:fldChar w:fldCharType="separate"/>
            </w:r>
            <w:r>
              <w:rPr>
                <w:rStyle w:val="29"/>
                <w:rFonts w:eastAsiaTheme="minorEastAsia"/>
                <w:lang w:eastAsia="ko-KR"/>
              </w:rPr>
              <w:t>H</w:t>
            </w:r>
            <w:r>
              <w:rPr>
                <w:rStyle w:val="29"/>
                <w:rFonts w:hint="eastAsia" w:eastAsiaTheme="minorEastAsia"/>
                <w:lang w:eastAsia="ko-KR"/>
              </w:rPr>
              <w:t>an.</w:t>
            </w:r>
            <w:r>
              <w:rPr>
                <w:rStyle w:val="29"/>
                <w:rFonts w:eastAsiaTheme="minorEastAsia"/>
                <w:lang w:eastAsia="ko-KR"/>
              </w:rPr>
              <w:t>cha@lge.com</w:t>
            </w:r>
            <w:r>
              <w:rPr>
                <w:rStyle w:val="29"/>
                <w:rFonts w:eastAsiaTheme="minorEastAsia"/>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eastAsiaTheme="minorEastAsia"/>
                <w:lang w:val="en-US"/>
              </w:rPr>
              <w:t>Google</w:t>
            </w:r>
          </w:p>
        </w:tc>
        <w:tc>
          <w:tcPr>
            <w:tcW w:w="2552" w:type="dxa"/>
          </w:tcPr>
          <w:p>
            <w:pPr>
              <w:spacing w:after="0"/>
              <w:rPr>
                <w:rFonts w:eastAsiaTheme="minorEastAsia"/>
                <w:lang w:val="en-US"/>
              </w:rPr>
            </w:pPr>
            <w:r>
              <w:rPr>
                <w:rFonts w:eastAsiaTheme="minorEastAsia"/>
                <w:lang w:val="en-US"/>
              </w:rPr>
              <w:t>Ming-Hung Tao</w:t>
            </w:r>
          </w:p>
        </w:tc>
        <w:tc>
          <w:tcPr>
            <w:tcW w:w="4814" w:type="dxa"/>
          </w:tcPr>
          <w:p>
            <w:pPr>
              <w:spacing w:after="0"/>
              <w:rPr>
                <w:rFonts w:eastAsiaTheme="minorEastAsia"/>
                <w:lang w:val="en-US"/>
              </w:rPr>
            </w:pPr>
            <w:r>
              <w:fldChar w:fldCharType="begin"/>
            </w:r>
            <w:r>
              <w:instrText xml:space="preserve"> HYPERLINK "mailto:mhtao@google.com" </w:instrText>
            </w:r>
            <w:r>
              <w:fldChar w:fldCharType="separate"/>
            </w:r>
            <w:r>
              <w:rPr>
                <w:rStyle w:val="29"/>
                <w:rFonts w:eastAsiaTheme="minorEastAsia"/>
                <w:lang w:val="en-US"/>
              </w:rPr>
              <w:t>mhtao@google.com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Apple</w:t>
            </w:r>
          </w:p>
        </w:tc>
        <w:tc>
          <w:tcPr>
            <w:tcW w:w="2552" w:type="dxa"/>
          </w:tcPr>
          <w:p>
            <w:pPr>
              <w:spacing w:after="0"/>
              <w:rPr>
                <w:rFonts w:eastAsia="Malgun Gothic"/>
                <w:lang w:eastAsia="ko-KR"/>
              </w:rPr>
            </w:pPr>
            <w:r>
              <w:rPr>
                <w:rFonts w:eastAsia="Malgun Gothic"/>
                <w:lang w:eastAsia="ko-KR"/>
              </w:rPr>
              <w:t>Fangli XU</w:t>
            </w:r>
          </w:p>
        </w:tc>
        <w:tc>
          <w:tcPr>
            <w:tcW w:w="4814" w:type="dxa"/>
          </w:tcPr>
          <w:p>
            <w:pPr>
              <w:spacing w:after="0"/>
              <w:rPr>
                <w:rFonts w:eastAsia="Malgun Gothic"/>
                <w:lang w:eastAsia="ko-KR"/>
              </w:rPr>
            </w:pPr>
            <w:r>
              <w:fldChar w:fldCharType="begin"/>
            </w:r>
            <w:r>
              <w:instrText xml:space="preserve"> HYPERLINK "mailto:fangli_xu@apple.com" </w:instrText>
            </w:r>
            <w:r>
              <w:fldChar w:fldCharType="separate"/>
            </w:r>
            <w:r>
              <w:rPr>
                <w:rStyle w:val="29"/>
                <w:rFonts w:eastAsia="Malgun Gothic"/>
                <w:lang w:eastAsia="ko-KR"/>
              </w:rPr>
              <w:t>fangli_xu@apple.com</w:t>
            </w:r>
            <w:r>
              <w:rPr>
                <w:rStyle w:val="2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MediaTek</w:t>
            </w:r>
          </w:p>
        </w:tc>
        <w:tc>
          <w:tcPr>
            <w:tcW w:w="2552" w:type="dxa"/>
          </w:tcPr>
          <w:p>
            <w:pPr>
              <w:spacing w:after="0"/>
              <w:rPr>
                <w:rFonts w:eastAsiaTheme="minorEastAsia"/>
              </w:rPr>
            </w:pPr>
            <w:r>
              <w:rPr>
                <w:rFonts w:eastAsiaTheme="minorEastAsia"/>
              </w:rPr>
              <w:t>Abhishek Roy</w:t>
            </w:r>
          </w:p>
        </w:tc>
        <w:tc>
          <w:tcPr>
            <w:tcW w:w="4814" w:type="dxa"/>
          </w:tcPr>
          <w:p>
            <w:pPr>
              <w:spacing w:after="0"/>
              <w:rPr>
                <w:rFonts w:eastAsiaTheme="minorEastAsia"/>
              </w:rPr>
            </w:pPr>
            <w:r>
              <w:fldChar w:fldCharType="begin"/>
            </w:r>
            <w:r>
              <w:instrText xml:space="preserve"> HYPERLINK "mailto:Abhishek.Roy@mediatek.com" </w:instrText>
            </w:r>
            <w:r>
              <w:fldChar w:fldCharType="separate"/>
            </w:r>
            <w:r>
              <w:rPr>
                <w:rStyle w:val="29"/>
                <w:rFonts w:eastAsiaTheme="minorEastAsia"/>
              </w:rPr>
              <w:t>Abhishek.Roy@mediatek.com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Samsung</w:t>
            </w:r>
          </w:p>
        </w:tc>
        <w:tc>
          <w:tcPr>
            <w:tcW w:w="2552" w:type="dxa"/>
          </w:tcPr>
          <w:p>
            <w:pPr>
              <w:spacing w:after="0"/>
              <w:rPr>
                <w:rFonts w:eastAsiaTheme="minorEastAsia"/>
              </w:rPr>
            </w:pPr>
            <w:r>
              <w:rPr>
                <w:rFonts w:eastAsiaTheme="minorEastAsia"/>
              </w:rPr>
              <w:t>Shiyang Leng</w:t>
            </w:r>
          </w:p>
        </w:tc>
        <w:tc>
          <w:tcPr>
            <w:tcW w:w="4814" w:type="dxa"/>
          </w:tcPr>
          <w:p>
            <w:pPr>
              <w:spacing w:after="0"/>
              <w:rPr>
                <w:rFonts w:eastAsiaTheme="minorEastAsia"/>
              </w:rPr>
            </w:pPr>
            <w:r>
              <w:fldChar w:fldCharType="begin"/>
            </w:r>
            <w:r>
              <w:instrText xml:space="preserve"> HYPERLINK "mailto:Shiyang.leng@samsung.com" </w:instrText>
            </w:r>
            <w:r>
              <w:fldChar w:fldCharType="separate"/>
            </w:r>
            <w:r>
              <w:rPr>
                <w:rStyle w:val="29"/>
                <w:rFonts w:eastAsiaTheme="minorEastAsia"/>
              </w:rPr>
              <w:t>Shiyang.leng@samsung.com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552"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814" w:type="dxa"/>
          </w:tcPr>
          <w:p>
            <w:pPr>
              <w:spacing w:after="0"/>
              <w:rPr>
                <w:rFonts w:eastAsia="PMingLiU"/>
                <w:lang w:eastAsia="zh-TW"/>
              </w:rPr>
            </w:pPr>
            <w:r>
              <w:fldChar w:fldCharType="begin"/>
            </w:r>
            <w:r>
              <w:instrText xml:space="preserve"> HYPERLINK "mailto:cw.cheng@itri.org.tw" </w:instrText>
            </w:r>
            <w:r>
              <w:fldChar w:fldCharType="separate"/>
            </w:r>
            <w:r>
              <w:rPr>
                <w:rStyle w:val="29"/>
                <w:rFonts w:hint="eastAsia" w:eastAsia="PMingLiU"/>
                <w:lang w:eastAsia="zh-TW"/>
              </w:rPr>
              <w:t>c</w:t>
            </w:r>
            <w:r>
              <w:rPr>
                <w:rStyle w:val="29"/>
                <w:rFonts w:eastAsia="PMingLiU"/>
                <w:lang w:eastAsia="zh-TW"/>
              </w:rPr>
              <w:t>w.cheng@itri.org.tw</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Nokia</w:t>
            </w:r>
          </w:p>
        </w:tc>
        <w:tc>
          <w:tcPr>
            <w:tcW w:w="2552" w:type="dxa"/>
          </w:tcPr>
          <w:p>
            <w:pPr>
              <w:spacing w:after="0"/>
              <w:rPr>
                <w:rFonts w:eastAsiaTheme="minorEastAsia"/>
              </w:rPr>
            </w:pPr>
            <w:r>
              <w:rPr>
                <w:rFonts w:eastAsiaTheme="minorEastAsia"/>
              </w:rPr>
              <w:t>Jedrzej Stanczak</w:t>
            </w:r>
          </w:p>
        </w:tc>
        <w:tc>
          <w:tcPr>
            <w:tcW w:w="4814" w:type="dxa"/>
          </w:tcPr>
          <w:p>
            <w:pPr>
              <w:spacing w:after="0"/>
              <w:rPr>
                <w:rFonts w:eastAsiaTheme="minorEastAsia"/>
              </w:rPr>
            </w:pPr>
            <w:r>
              <w:fldChar w:fldCharType="begin"/>
            </w:r>
            <w:r>
              <w:instrText xml:space="preserve"> HYPERLINK "mailto:jedrzej.stanczak@nokia.com" </w:instrText>
            </w:r>
            <w:r>
              <w:fldChar w:fldCharType="separate"/>
            </w:r>
            <w:r>
              <w:rPr>
                <w:rStyle w:val="29"/>
                <w:rFonts w:eastAsiaTheme="minorEastAsia"/>
              </w:rPr>
              <w:t>jedrzej.stanczak@nokia.com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63" w:type="dxa"/>
          </w:tcPr>
          <w:p>
            <w:pPr>
              <w:spacing w:after="0"/>
              <w:rPr>
                <w:rFonts w:eastAsiaTheme="minorEastAsia"/>
                <w:lang w:val="en-US"/>
              </w:rPr>
            </w:pPr>
            <w:r>
              <w:rPr>
                <w:rFonts w:hint="eastAsia" w:eastAsiaTheme="minorEastAsia"/>
                <w:lang w:val="en-US"/>
              </w:rPr>
              <w:t>ZTE</w:t>
            </w:r>
          </w:p>
        </w:tc>
        <w:tc>
          <w:tcPr>
            <w:tcW w:w="2552" w:type="dxa"/>
          </w:tcPr>
          <w:p>
            <w:pPr>
              <w:spacing w:after="0"/>
              <w:rPr>
                <w:rFonts w:eastAsiaTheme="minorEastAsia"/>
                <w:lang w:val="en-US"/>
              </w:rPr>
            </w:pPr>
            <w:r>
              <w:rPr>
                <w:rFonts w:hint="eastAsia" w:eastAsiaTheme="minorEastAsia"/>
                <w:lang w:val="en-US"/>
              </w:rPr>
              <w:t>Zhihong Qiu</w:t>
            </w:r>
          </w:p>
        </w:tc>
        <w:tc>
          <w:tcPr>
            <w:tcW w:w="4814" w:type="dxa"/>
          </w:tcPr>
          <w:p>
            <w:pPr>
              <w:spacing w:after="0"/>
              <w:rPr>
                <w:rFonts w:eastAsiaTheme="minorEastAsia"/>
                <w:lang w:val="en-US"/>
              </w:rPr>
            </w:pPr>
            <w:r>
              <w:fldChar w:fldCharType="begin"/>
            </w:r>
            <w:r>
              <w:instrText xml:space="preserve"> HYPERLINK "mailto:qiu.zhihong@zte.com.cn" </w:instrText>
            </w:r>
            <w:r>
              <w:fldChar w:fldCharType="separate"/>
            </w:r>
            <w:r>
              <w:rPr>
                <w:rStyle w:val="29"/>
                <w:rFonts w:hint="eastAsia" w:eastAsiaTheme="minorEastAsia"/>
                <w:lang w:val="en-US"/>
              </w:rPr>
              <w:t>qiu.zhihong@zte.com.cn</w:t>
            </w:r>
            <w:r>
              <w:rPr>
                <w:rStyle w:val="29"/>
                <w:rFonts w:hint="eastAsia"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rPr>
        <w:tc>
          <w:tcPr>
            <w:tcW w:w="2263" w:type="dxa"/>
          </w:tcPr>
          <w:p>
            <w:pPr>
              <w:spacing w:after="0"/>
              <w:rPr>
                <w:rFonts w:eastAsiaTheme="minorEastAsia"/>
                <w:lang w:val="en-US"/>
              </w:rPr>
            </w:pPr>
            <w:r>
              <w:rPr>
                <w:rFonts w:hint="eastAsia" w:eastAsiaTheme="minorEastAsia"/>
                <w:lang w:val="en-US"/>
              </w:rPr>
              <w:t>T</w:t>
            </w:r>
            <w:r>
              <w:rPr>
                <w:rFonts w:eastAsiaTheme="minorEastAsia"/>
                <w:lang w:val="en-US"/>
              </w:rPr>
              <w:t>CL</w:t>
            </w:r>
          </w:p>
        </w:tc>
        <w:tc>
          <w:tcPr>
            <w:tcW w:w="2552" w:type="dxa"/>
          </w:tcPr>
          <w:p>
            <w:pPr>
              <w:spacing w:after="0"/>
              <w:rPr>
                <w:rFonts w:eastAsiaTheme="minorEastAsia"/>
                <w:lang w:val="en-US"/>
              </w:rPr>
            </w:pPr>
            <w:r>
              <w:rPr>
                <w:rFonts w:hint="eastAsia" w:eastAsiaTheme="minorEastAsia"/>
                <w:lang w:val="en-US"/>
              </w:rPr>
              <w:t>X</w:t>
            </w:r>
            <w:r>
              <w:rPr>
                <w:rFonts w:eastAsiaTheme="minorEastAsia"/>
                <w:lang w:val="en-US"/>
              </w:rPr>
              <w:t>in Zhang</w:t>
            </w:r>
          </w:p>
        </w:tc>
        <w:tc>
          <w:tcPr>
            <w:tcW w:w="4814" w:type="dxa"/>
          </w:tcPr>
          <w:p>
            <w:pPr>
              <w:spacing w:after="0"/>
              <w:rPr>
                <w:rFonts w:hint="eastAsia" w:eastAsiaTheme="minorEastAsia"/>
                <w:lang w:val="en-US"/>
              </w:rPr>
            </w:pPr>
            <w:r>
              <w:fldChar w:fldCharType="begin"/>
            </w:r>
            <w:r>
              <w:instrText xml:space="preserve"> HYPERLINK "mailto:suzanna.zhang@tcl.com" </w:instrText>
            </w:r>
            <w:r>
              <w:fldChar w:fldCharType="separate"/>
            </w:r>
            <w:r>
              <w:rPr>
                <w:rStyle w:val="29"/>
                <w:rFonts w:eastAsiaTheme="minorEastAsia"/>
                <w:lang w:val="en-US"/>
              </w:rPr>
              <w:t>suzanna.zhang@tcl.com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CAICT</w:t>
            </w:r>
          </w:p>
        </w:tc>
        <w:tc>
          <w:tcPr>
            <w:tcW w:w="2552" w:type="dxa"/>
          </w:tcPr>
          <w:p>
            <w:pPr>
              <w:spacing w:after="0"/>
              <w:rPr>
                <w:rFonts w:hint="default" w:eastAsiaTheme="minorEastAsia"/>
                <w:lang w:val="en-US" w:eastAsia="zh-CN"/>
              </w:rPr>
            </w:pPr>
            <w:r>
              <w:rPr>
                <w:rFonts w:hint="eastAsia" w:eastAsiaTheme="minorEastAsia"/>
                <w:lang w:val="en-US" w:eastAsia="zh-CN"/>
              </w:rPr>
              <w:t>Sidong Li</w:t>
            </w:r>
          </w:p>
        </w:tc>
        <w:tc>
          <w:tcPr>
            <w:tcW w:w="4814" w:type="dxa"/>
          </w:tcPr>
          <w:p>
            <w:pPr>
              <w:spacing w:after="0"/>
              <w:rPr>
                <w:rFonts w:hint="default" w:eastAsiaTheme="minorEastAsia"/>
                <w:lang w:val="en-US" w:eastAsia="zh-CN"/>
              </w:rPr>
            </w:pPr>
            <w:r>
              <w:rPr>
                <w:rStyle w:val="29"/>
                <w:rFonts w:hint="default" w:ascii="Arial" w:hAnsi="Arial" w:cs="Arial" w:eastAsiaTheme="minorEastAsia"/>
                <w:lang w:val="en-US" w:eastAsia="zh-CN"/>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p>
        </w:tc>
        <w:tc>
          <w:tcPr>
            <w:tcW w:w="2552" w:type="dxa"/>
          </w:tcPr>
          <w:p>
            <w:pPr>
              <w:spacing w:after="0"/>
              <w:rPr>
                <w:rFonts w:eastAsiaTheme="minorEastAsia"/>
              </w:rPr>
            </w:pPr>
          </w:p>
        </w:tc>
        <w:tc>
          <w:tcPr>
            <w:tcW w:w="4814" w:type="dxa"/>
          </w:tcPr>
          <w:p>
            <w:pPr>
              <w:spacing w:after="0"/>
              <w:rPr>
                <w:rFonts w:eastAsiaTheme="minorEastAsia"/>
              </w:rPr>
            </w:pPr>
          </w:p>
        </w:tc>
      </w:tr>
    </w:tbl>
    <w:p>
      <w:pPr>
        <w:pStyle w:val="48"/>
        <w:ind w:left="360"/>
        <w:rPr>
          <w:rFonts w:ascii="Arial" w:hAnsi="Arial" w:cs="Arial"/>
          <w:sz w:val="20"/>
          <w:szCs w:val="20"/>
          <w:lang w:eastAsia="zh-CN"/>
        </w:rPr>
      </w:pPr>
      <w:bookmarkStart w:id="16" w:name="_GoBack"/>
      <w:bookmarkEnd w:id="16"/>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Agree</w:t>
            </w:r>
          </w:p>
        </w:tc>
        <w:tc>
          <w:tcPr>
            <w:tcW w:w="7080" w:type="dxa"/>
          </w:tcPr>
          <w:p>
            <w:pPr>
              <w:rPr>
                <w:rFonts w:eastAsia="等线"/>
                <w:lang w:val="en-US"/>
              </w:rPr>
            </w:pPr>
            <w:r>
              <w:rPr>
                <w:rFonts w:hint="eastAsia" w:eastAsia="等线"/>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A</w:t>
            </w:r>
            <w:r>
              <w:rPr>
                <w:rFonts w:eastAsia="等线"/>
                <w:lang w:val="en-US"/>
              </w:rPr>
              <w:t>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default" w:eastAsia="等线"/>
                <w:lang w:val="en-US" w:eastAsia="zh-CN"/>
              </w:rPr>
            </w:pPr>
            <w:r>
              <w:rPr>
                <w:rFonts w:hint="eastAsia" w:eastAsia="等线"/>
                <w:lang w:val="en-US" w:eastAsia="zh-CN"/>
              </w:rPr>
              <w:t>No</w:t>
            </w:r>
          </w:p>
        </w:tc>
        <w:tc>
          <w:tcPr>
            <w:tcW w:w="7080" w:type="dxa"/>
          </w:tcPr>
          <w:p>
            <w:pPr>
              <w:rPr>
                <w:rFonts w:hint="default" w:eastAsiaTheme="minorEastAsia"/>
                <w:lang w:val="en-US" w:eastAsia="zh-CN"/>
              </w:rPr>
            </w:pPr>
            <w:r>
              <w:rPr>
                <w:rFonts w:hint="eastAsia" w:eastAsia="等线"/>
                <w:lang w:val="en-US" w:eastAsia="zh-CN"/>
              </w:rPr>
              <w:t>S</w:t>
            </w:r>
            <w:r>
              <w:rPr>
                <w:rFonts w:hint="eastAsia" w:ascii="Arial" w:hAnsi="Arial" w:eastAsia="等线"/>
                <w:lang w:val="en-US" w:eastAsia="zh-CN"/>
              </w:rPr>
              <w:t>ame view with lenovo and vivo. the trajectory of satellite is ellipse, so the speed of sub-satellite point is not stable on the ground. It is not accurate to calculate the serving cell reference location based on the satellite’s ephemeris and ephochTime.</w:t>
            </w: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eastAsiaTheme="minorEastAsia"/>
                <w:lang w:eastAsia="ko-KR"/>
              </w:rPr>
              <w:t>Yes</w:t>
            </w:r>
          </w:p>
        </w:tc>
        <w:tc>
          <w:tcPr>
            <w:tcW w:w="7151" w:type="dxa"/>
            <w:gridSpan w:val="2"/>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151" w:type="dxa"/>
            <w:gridSpan w:val="2"/>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gridSpan w:val="2"/>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gridSpan w:val="2"/>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gridSpan w:val="2"/>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No</w:t>
            </w:r>
          </w:p>
        </w:tc>
        <w:tc>
          <w:tcPr>
            <w:tcW w:w="7151" w:type="dxa"/>
            <w:gridSpan w:val="2"/>
          </w:tcPr>
          <w:p>
            <w:pPr>
              <w:rPr>
                <w:rFonts w:eastAsia="等线"/>
                <w:lang w:val="en-US"/>
              </w:rPr>
            </w:pPr>
            <w:r>
              <w:rPr>
                <w:rFonts w:hint="eastAsia" w:eastAsia="等线"/>
                <w:lang w:val="en-US"/>
              </w:rPr>
              <w:t>As commented in Q1, PVT is equivalent to orbit information, it is assumed they can be derived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gridSpan w:val="2"/>
          </w:tcPr>
          <w:p>
            <w:pPr>
              <w:rPr>
                <w:rFonts w:hint="eastAsia"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vAlign w:val="top"/>
          </w:tcPr>
          <w:p>
            <w:pPr>
              <w:rPr>
                <w:rFonts w:hint="default" w:ascii="Arial" w:hAnsi="Arial" w:eastAsia="等线" w:cs="Times New Roman"/>
                <w:lang w:val="en-US" w:eastAsia="zh-CN" w:bidi="ar-SA"/>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gridSpan w:val="2"/>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gridSpan w:val="2"/>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gridSpan w:val="2"/>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gridSpan w:val="2"/>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gridSpan w:val="2"/>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gridSpan w:val="2"/>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 or postponed</w:t>
            </w:r>
          </w:p>
        </w:tc>
        <w:tc>
          <w:tcPr>
            <w:tcW w:w="7151" w:type="dxa"/>
            <w:gridSpan w:val="2"/>
          </w:tcPr>
          <w:p>
            <w:pPr>
              <w:rPr>
                <w:rFonts w:eastAsia="等线"/>
                <w:lang w:val="en-US"/>
              </w:rPr>
            </w:pPr>
            <w:r>
              <w:rPr>
                <w:rFonts w:hint="eastAsia" w:eastAsia="等线"/>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eastAsia="等线"/>
                <w:lang w:val="en-US"/>
              </w:rPr>
            </w:pPr>
            <w:r>
              <w:rPr>
                <w:rFonts w:hint="eastAsia" w:eastAsia="等线"/>
                <w:lang w:val="en-US"/>
              </w:rPr>
              <w:t>But perhaps for now we can postpone the decision and sort it out during stage 3 since it is also not clear if they are any new parameters can be used to serve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eastAsia="等线"/>
                <w:lang w:val="en-US"/>
              </w:rPr>
              <w:t>TCL</w:t>
            </w:r>
          </w:p>
        </w:tc>
        <w:tc>
          <w:tcPr>
            <w:tcW w:w="1316" w:type="dxa"/>
          </w:tcPr>
          <w:p>
            <w:pPr>
              <w:rPr>
                <w:rFonts w:hint="eastAsia" w:eastAsia="等线"/>
                <w:lang w:val="en-US"/>
              </w:rPr>
            </w:pPr>
            <w:r>
              <w:rPr>
                <w:rFonts w:hint="eastAsia" w:eastAsia="等线"/>
                <w:lang w:val="en-US"/>
              </w:rPr>
              <w:t>N</w:t>
            </w:r>
            <w:r>
              <w:rPr>
                <w:rFonts w:eastAsia="等线"/>
                <w:lang w:val="en-US"/>
              </w:rPr>
              <w:t>o</w:t>
            </w:r>
          </w:p>
        </w:tc>
        <w:tc>
          <w:tcPr>
            <w:tcW w:w="7151" w:type="dxa"/>
            <w:gridSpan w:val="2"/>
          </w:tcPr>
          <w:p>
            <w:pPr>
              <w:rPr>
                <w:rFonts w:hint="eastAsia" w:eastAsia="等线"/>
                <w:lang w:val="en-US"/>
              </w:rPr>
            </w:pPr>
            <w:r>
              <w:rPr>
                <w:rFonts w:eastAsia="等线"/>
                <w:lang w:val="en-US"/>
              </w:rPr>
              <w:t>Agree with majority. A new field is a easy and clean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eastAsiaTheme="minorEastAsia"/>
              </w:rPr>
              <w:t>No</w:t>
            </w:r>
          </w:p>
        </w:tc>
        <w:tc>
          <w:tcPr>
            <w:tcW w:w="7080" w:type="dxa"/>
          </w:tcPr>
          <w:p>
            <w:pPr>
              <w:rPr>
                <w:rFonts w:hint="eastAsia" w:eastAsia="等线"/>
                <w:lang w:val="en-US"/>
              </w:rPr>
            </w:pP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gridSpan w:val="2"/>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gridSpan w:val="2"/>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gridSpan w:val="2"/>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gridSpan w:val="2"/>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7151" w:type="dxa"/>
            <w:gridSpan w:val="2"/>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gridSpan w:val="2"/>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Reuse</w:t>
            </w:r>
          </w:p>
        </w:tc>
        <w:tc>
          <w:tcPr>
            <w:tcW w:w="5772" w:type="dxa"/>
          </w:tcPr>
          <w:p>
            <w:pPr>
              <w:rPr>
                <w:rFonts w:eastAsia="等线"/>
                <w:lang w:val="en-US"/>
              </w:rPr>
            </w:pPr>
            <w:r>
              <w:rPr>
                <w:rFonts w:hint="eastAsia" w:eastAsia="等线"/>
                <w:lang w:val="en-US"/>
              </w:rPr>
              <w:t>But again, probably we can wait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int measurement initiation for moving cells and the 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Partially</w:t>
            </w:r>
          </w:p>
        </w:tc>
        <w:tc>
          <w:tcPr>
            <w:tcW w:w="1308" w:type="dxa"/>
          </w:tcPr>
          <w:p>
            <w:pPr>
              <w:rPr>
                <w:rFonts w:eastAsia="等线"/>
                <w:lang w:val="en-US"/>
              </w:rPr>
            </w:pPr>
            <w:r>
              <w:rPr>
                <w:rFonts w:hint="eastAsia" w:eastAsia="等线"/>
                <w:lang w:val="en-US"/>
              </w:rPr>
              <w:t>Case 2</w:t>
            </w:r>
          </w:p>
        </w:tc>
        <w:tc>
          <w:tcPr>
            <w:tcW w:w="5772" w:type="dxa"/>
          </w:tcPr>
          <w:p>
            <w:pPr>
              <w:rPr>
                <w:rFonts w:eastAsia="等线"/>
                <w:lang w:val="en-US"/>
              </w:rPr>
            </w:pPr>
            <w:r>
              <w:rPr>
                <w:rFonts w:hint="eastAsia" w:eastAsia="等线"/>
                <w:lang w:val="en-US"/>
              </w:rPr>
              <w:t>We can further study feederlink switch use case, but for moving cells perhaps only location based initiation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r>
              <w:rPr>
                <w:rFonts w:hint="eastAsia" w:eastAsia="等线"/>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p>
        </w:tc>
      </w:tr>
    </w:tbl>
    <w:p>
      <w:pPr>
        <w:rPr>
          <w:lang w:val="en-US"/>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316" w:type="dxa"/>
          </w:tcPr>
          <w:p>
            <w:pPr>
              <w:rPr>
                <w:rFonts w:eastAsiaTheme="minorEastAsia"/>
                <w:lang w:val="en-US"/>
              </w:rPr>
            </w:pPr>
            <w:r>
              <w:rPr>
                <w:rFonts w:hint="eastAsia" w:eastAsiaTheme="minorEastAsia"/>
                <w:lang w:val="en-US"/>
              </w:rPr>
              <w:t>Option 1</w:t>
            </w:r>
          </w:p>
        </w:tc>
        <w:tc>
          <w:tcPr>
            <w:tcW w:w="1443" w:type="dxa"/>
          </w:tcPr>
          <w:p>
            <w:pPr>
              <w:rPr>
                <w:rFonts w:eastAsiaTheme="minorEastAsia"/>
                <w:lang w:val="en-US"/>
              </w:rPr>
            </w:pPr>
            <w:r>
              <w:rPr>
                <w:rFonts w:hint="eastAsia" w:eastAsiaTheme="minorEastAsia"/>
                <w:lang w:val="en-US"/>
              </w:rPr>
              <w:t>Alt 1</w:t>
            </w:r>
          </w:p>
        </w:tc>
        <w:tc>
          <w:tcPr>
            <w:tcW w:w="5637" w:type="dxa"/>
          </w:tcPr>
          <w:p>
            <w:pPr>
              <w:rPr>
                <w:rFonts w:eastAsiaTheme="minorEastAsia"/>
                <w:lang w:val="en-US"/>
              </w:rPr>
            </w:pPr>
            <w:r>
              <w:rPr>
                <w:rFonts w:hint="eastAsia" w:eastAsiaTheme="minor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lang w:eastAsia="sv-SE"/>
              </w:rPr>
            </w:pPr>
          </w:p>
        </w:tc>
        <w:tc>
          <w:tcPr>
            <w:tcW w:w="5637"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429" w:type="dxa"/>
          </w:tcPr>
          <w:p>
            <w:pPr>
              <w:rPr>
                <w:rFonts w:eastAsiaTheme="minorEastAsia"/>
                <w:lang w:val="en-US"/>
              </w:rPr>
            </w:pPr>
            <w:r>
              <w:rPr>
                <w:rFonts w:hint="eastAsia" w:eastAsiaTheme="minorEastAsia"/>
                <w:lang w:val="en-US"/>
              </w:rPr>
              <w:t>Others</w:t>
            </w:r>
          </w:p>
        </w:tc>
        <w:tc>
          <w:tcPr>
            <w:tcW w:w="6850" w:type="dxa"/>
          </w:tcPr>
          <w:p>
            <w:pPr>
              <w:rPr>
                <w:rFonts w:eastAsiaTheme="minorEastAsia"/>
                <w:lang w:val="en-US"/>
              </w:rPr>
            </w:pPr>
            <w:r>
              <w:rPr>
                <w:rFonts w:hint="eastAsia" w:eastAsiaTheme="minor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bookmarkStart w:id="5"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5"/>
      <w:r>
        <w:tab/>
      </w:r>
      <w:r>
        <w:t>Consideration on cell reselection enhancements for NTN-NTN</w:t>
      </w:r>
      <w:r>
        <w:tab/>
      </w:r>
      <w:r>
        <w:t>ZTE Corporation, Sanechips</w:t>
      </w:r>
      <w:r>
        <w:tab/>
      </w:r>
      <w:r>
        <w:t>discussion</w:t>
      </w:r>
      <w:r>
        <w:tab/>
      </w:r>
      <w:r>
        <w:t>Rel-18</w:t>
      </w:r>
    </w:p>
    <w:p>
      <w:pPr>
        <w:pStyle w:val="88"/>
        <w:numPr>
          <w:ilvl w:val="0"/>
          <w:numId w:val="15"/>
        </w:numPr>
      </w:pPr>
      <w:bookmarkStart w:id="6"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6"/>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7" w:name="OLE_LINK144"/>
      <w:bookmarkStart w:id="8" w:name="OLE_LINK143"/>
      <w:bookmarkStart w:id="9" w:name="OLE_LINK145"/>
      <w:r>
        <w:t>ntn-Config</w:t>
      </w:r>
      <w:bookmarkEnd w:id="7"/>
      <w:bookmarkEnd w:id="8"/>
      <w:bookmarkEnd w:id="9"/>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1" w:name="_Toc124713245"/>
      <w:r>
        <w:t>–</w:t>
      </w:r>
      <w:r>
        <w:tab/>
      </w:r>
      <w:r>
        <w:rPr>
          <w:i/>
        </w:rPr>
        <w:t>NTN-Config</w:t>
      </w:r>
      <w:bookmarkEnd w:id="11"/>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2" w:name="OLE_LINK153"/>
      <w:bookmarkStart w:id="13" w:name="OLE_LINK154"/>
      <w:bookmarkStart w:id="14" w:name="OLE_LINK168"/>
      <w:bookmarkStart w:id="15" w:name="OLE_LINK167"/>
      <w:r>
        <w:t>epochTime</w:t>
      </w:r>
      <w:bookmarkEnd w:id="12"/>
      <w:bookmarkEnd w:id="13"/>
      <w:bookmarkEnd w:id="14"/>
      <w:bookmarkEnd w:id="15"/>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9</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16</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9F9"/>
    <w:rsid w:val="00AA5583"/>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3FF7992"/>
    <w:rsid w:val="041A301A"/>
    <w:rsid w:val="064A4F0E"/>
    <w:rsid w:val="07757861"/>
    <w:rsid w:val="07DA40F4"/>
    <w:rsid w:val="080E1592"/>
    <w:rsid w:val="09506A52"/>
    <w:rsid w:val="09F32C77"/>
    <w:rsid w:val="0A0E0F80"/>
    <w:rsid w:val="0A8966EF"/>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91D2592"/>
    <w:rsid w:val="2B711916"/>
    <w:rsid w:val="2C960D72"/>
    <w:rsid w:val="2CF769E9"/>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6F30089"/>
    <w:rsid w:val="57A87060"/>
    <w:rsid w:val="5891370E"/>
    <w:rsid w:val="58CB11D6"/>
    <w:rsid w:val="59273A2D"/>
    <w:rsid w:val="59300781"/>
    <w:rsid w:val="59945223"/>
    <w:rsid w:val="5E244444"/>
    <w:rsid w:val="5E6D6CB4"/>
    <w:rsid w:val="630318A6"/>
    <w:rsid w:val="63A466E2"/>
    <w:rsid w:val="64373BA5"/>
    <w:rsid w:val="652E111F"/>
    <w:rsid w:val="65456E33"/>
    <w:rsid w:val="667D1995"/>
    <w:rsid w:val="66C41623"/>
    <w:rsid w:val="671279D8"/>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出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16</Pages>
  <Words>6856</Words>
  <Characters>37306</Characters>
  <Lines>334</Lines>
  <Paragraphs>94</Paragraphs>
  <TotalTime>0</TotalTime>
  <ScaleCrop>false</ScaleCrop>
  <LinksUpToDate>false</LinksUpToDate>
  <CharactersWithSpaces>45172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2023-03-01T15:40:00Z</dcterms:created>
  <dc:creator>InterDigital</dc:creator>
  <cp:lastModifiedBy>A          Lisd</cp:lastModifiedBy>
  <dcterms:modified xsi:type="dcterms:W3CDTF">2023-03-02T01:57:33Z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2052-11.1.0.13703</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EDEF5A818EA44B169FD3CECB5B7C59F6</vt:lpwstr>
  </property>
</Properties>
</file>