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af9"/>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a7"/>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sidRPr="00356DC6">
        <w:rPr>
          <w:rFonts w:ascii="Wingdings" w:hAnsi="Wingdings" w:cs="宋体"/>
          <w:sz w:val="24"/>
          <w:szCs w:val="24"/>
          <w:lang w:val="en-US"/>
        </w:rPr>
        <w:t></w:t>
      </w:r>
      <w:r w:rsidRPr="00356DC6">
        <w:rPr>
          <w:rFonts w:ascii="Wingdings" w:hAnsi="Wingdings" w:cs="宋体"/>
          <w:sz w:val="24"/>
          <w:szCs w:val="24"/>
          <w:lang w:val="en-US"/>
        </w:rPr>
        <w:t></w:t>
      </w:r>
      <w:r w:rsidRPr="00356DC6">
        <w:rPr>
          <w:rFonts w:ascii="宋体" w:hAnsi="宋体" w:cs="宋体"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14:paraId="07677BEF" w14:textId="77777777" w:rsidR="00827710" w:rsidRDefault="00D03D6E">
      <w:pPr>
        <w:pStyle w:val="a7"/>
        <w:rPr>
          <w:color w:val="000000" w:themeColor="text1"/>
        </w:rPr>
      </w:pPr>
      <w:r>
        <w:rPr>
          <w:color w:val="000000" w:themeColor="text1"/>
        </w:rPr>
        <w:t xml:space="preserve"> </w:t>
      </w:r>
    </w:p>
    <w:bookmarkEnd w:id="1"/>
    <w:p w14:paraId="280A3F24" w14:textId="77777777" w:rsidR="00E13BC9" w:rsidRDefault="00E13BC9" w:rsidP="00E13BC9">
      <w:pPr>
        <w:pStyle w:val="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r>
              <w:rPr>
                <w:bCs/>
              </w:rPr>
              <w:t>InterDigital</w:t>
            </w:r>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77777777" w:rsidR="00B646FD" w:rsidRPr="00D41F8C" w:rsidRDefault="00B646FD" w:rsidP="00B646FD">
            <w:pPr>
              <w:spacing w:after="0"/>
              <w:jc w:val="center"/>
              <w:rPr>
                <w:bCs/>
              </w:rPr>
            </w:pPr>
          </w:p>
        </w:tc>
        <w:tc>
          <w:tcPr>
            <w:tcW w:w="2694" w:type="dxa"/>
          </w:tcPr>
          <w:p w14:paraId="1C55F6EE" w14:textId="77777777" w:rsidR="00B646FD" w:rsidRPr="00D41F8C" w:rsidRDefault="00B646FD" w:rsidP="00B646FD">
            <w:pPr>
              <w:spacing w:after="0"/>
              <w:jc w:val="center"/>
              <w:rPr>
                <w:bCs/>
              </w:rPr>
            </w:pPr>
          </w:p>
        </w:tc>
        <w:tc>
          <w:tcPr>
            <w:tcW w:w="4526" w:type="dxa"/>
            <w:shd w:val="clear" w:color="auto" w:fill="auto"/>
          </w:tcPr>
          <w:p w14:paraId="28EECB26" w14:textId="77777777" w:rsidR="00B646FD" w:rsidRPr="00D41F8C" w:rsidRDefault="00B646FD" w:rsidP="00B646FD">
            <w:pPr>
              <w:spacing w:after="0"/>
              <w:jc w:val="center"/>
              <w:rPr>
                <w:bCs/>
              </w:rPr>
            </w:pPr>
          </w:p>
        </w:tc>
      </w:tr>
      <w:tr w:rsidR="00B646FD" w:rsidRPr="00D41F8C" w14:paraId="2A9B4034" w14:textId="77777777" w:rsidTr="00504F9F">
        <w:trPr>
          <w:trHeight w:val="127"/>
        </w:trPr>
        <w:tc>
          <w:tcPr>
            <w:tcW w:w="2376" w:type="dxa"/>
            <w:shd w:val="clear" w:color="auto" w:fill="auto"/>
          </w:tcPr>
          <w:p w14:paraId="13EC441E" w14:textId="77777777" w:rsidR="00B646FD" w:rsidRPr="00D41F8C" w:rsidRDefault="00B646FD" w:rsidP="00B646FD">
            <w:pPr>
              <w:spacing w:after="0"/>
              <w:jc w:val="center"/>
              <w:rPr>
                <w:bCs/>
              </w:rPr>
            </w:pPr>
          </w:p>
        </w:tc>
        <w:tc>
          <w:tcPr>
            <w:tcW w:w="2694" w:type="dxa"/>
          </w:tcPr>
          <w:p w14:paraId="69FE0072" w14:textId="77777777" w:rsidR="00B646FD" w:rsidRPr="00D41F8C" w:rsidRDefault="00B646FD" w:rsidP="00B646FD">
            <w:pPr>
              <w:spacing w:after="0"/>
              <w:jc w:val="center"/>
              <w:rPr>
                <w:bCs/>
              </w:rPr>
            </w:pPr>
          </w:p>
        </w:tc>
        <w:tc>
          <w:tcPr>
            <w:tcW w:w="4526" w:type="dxa"/>
            <w:shd w:val="clear" w:color="auto" w:fill="auto"/>
          </w:tcPr>
          <w:p w14:paraId="5064158A" w14:textId="77777777" w:rsidR="00B646FD" w:rsidRPr="00D41F8C" w:rsidRDefault="00B646FD" w:rsidP="00B646FD">
            <w:pPr>
              <w:spacing w:after="0"/>
              <w:jc w:val="center"/>
              <w:rPr>
                <w:bCs/>
              </w:rPr>
            </w:pPr>
          </w:p>
        </w:tc>
      </w:tr>
      <w:tr w:rsidR="00B646FD" w:rsidRPr="00D41F8C" w14:paraId="50E1BD5F" w14:textId="77777777" w:rsidTr="00504F9F">
        <w:trPr>
          <w:trHeight w:val="127"/>
        </w:trPr>
        <w:tc>
          <w:tcPr>
            <w:tcW w:w="2376" w:type="dxa"/>
            <w:shd w:val="clear" w:color="auto" w:fill="auto"/>
          </w:tcPr>
          <w:p w14:paraId="20FAC20A" w14:textId="77777777" w:rsidR="00B646FD" w:rsidRPr="00D41F8C" w:rsidRDefault="00B646FD" w:rsidP="00B646FD">
            <w:pPr>
              <w:spacing w:after="0"/>
              <w:jc w:val="center"/>
              <w:rPr>
                <w:bCs/>
              </w:rPr>
            </w:pPr>
          </w:p>
        </w:tc>
        <w:tc>
          <w:tcPr>
            <w:tcW w:w="2694" w:type="dxa"/>
          </w:tcPr>
          <w:p w14:paraId="4EF2C77C" w14:textId="77777777" w:rsidR="00B646FD" w:rsidRPr="00D41F8C" w:rsidRDefault="00B646FD" w:rsidP="00B646FD">
            <w:pPr>
              <w:spacing w:after="0"/>
              <w:jc w:val="center"/>
              <w:rPr>
                <w:bCs/>
              </w:rPr>
            </w:pPr>
          </w:p>
        </w:tc>
        <w:tc>
          <w:tcPr>
            <w:tcW w:w="4526" w:type="dxa"/>
            <w:shd w:val="clear" w:color="auto" w:fill="auto"/>
          </w:tcPr>
          <w:p w14:paraId="52DBAF52" w14:textId="77777777" w:rsidR="00B646FD" w:rsidRPr="00D41F8C" w:rsidRDefault="00B646FD" w:rsidP="00B646FD">
            <w:pPr>
              <w:spacing w:after="0"/>
              <w:jc w:val="center"/>
              <w:rPr>
                <w:bCs/>
              </w:rPr>
            </w:pPr>
          </w:p>
        </w:tc>
      </w:tr>
      <w:tr w:rsidR="00B646FD" w:rsidRPr="00D41F8C" w14:paraId="0A43C639" w14:textId="77777777" w:rsidTr="00504F9F">
        <w:trPr>
          <w:trHeight w:val="127"/>
        </w:trPr>
        <w:tc>
          <w:tcPr>
            <w:tcW w:w="2376" w:type="dxa"/>
            <w:shd w:val="clear" w:color="auto" w:fill="auto"/>
          </w:tcPr>
          <w:p w14:paraId="7F2AC484" w14:textId="77777777" w:rsidR="00B646FD" w:rsidRPr="00D41F8C" w:rsidRDefault="00B646FD" w:rsidP="00B646FD">
            <w:pPr>
              <w:spacing w:after="0"/>
              <w:jc w:val="center"/>
              <w:rPr>
                <w:bCs/>
              </w:rPr>
            </w:pPr>
          </w:p>
        </w:tc>
        <w:tc>
          <w:tcPr>
            <w:tcW w:w="2694" w:type="dxa"/>
          </w:tcPr>
          <w:p w14:paraId="26C20872" w14:textId="77777777" w:rsidR="00B646FD" w:rsidRPr="00D41F8C" w:rsidRDefault="00B646FD" w:rsidP="00B646FD">
            <w:pPr>
              <w:spacing w:after="0"/>
              <w:jc w:val="center"/>
              <w:rPr>
                <w:bCs/>
              </w:rPr>
            </w:pPr>
          </w:p>
        </w:tc>
        <w:tc>
          <w:tcPr>
            <w:tcW w:w="4526" w:type="dxa"/>
            <w:shd w:val="clear" w:color="auto" w:fill="auto"/>
          </w:tcPr>
          <w:p w14:paraId="7CCAC711" w14:textId="77777777" w:rsidR="00B646FD" w:rsidRPr="00D41F8C" w:rsidRDefault="00B646FD" w:rsidP="00B646FD">
            <w:pPr>
              <w:spacing w:after="0"/>
              <w:jc w:val="center"/>
              <w:rPr>
                <w:bCs/>
              </w:rPr>
            </w:pPr>
          </w:p>
        </w:tc>
      </w:tr>
      <w:tr w:rsidR="00B646FD" w:rsidRPr="00D41F8C" w14:paraId="1AB724DF" w14:textId="77777777" w:rsidTr="00504F9F">
        <w:trPr>
          <w:trHeight w:val="127"/>
        </w:trPr>
        <w:tc>
          <w:tcPr>
            <w:tcW w:w="2376" w:type="dxa"/>
            <w:shd w:val="clear" w:color="auto" w:fill="auto"/>
          </w:tcPr>
          <w:p w14:paraId="651833AC" w14:textId="77777777" w:rsidR="00B646FD" w:rsidRPr="00D41F8C" w:rsidRDefault="00B646FD" w:rsidP="00B646FD">
            <w:pPr>
              <w:spacing w:after="0"/>
              <w:jc w:val="center"/>
              <w:rPr>
                <w:bCs/>
              </w:rPr>
            </w:pPr>
          </w:p>
        </w:tc>
        <w:tc>
          <w:tcPr>
            <w:tcW w:w="2694" w:type="dxa"/>
          </w:tcPr>
          <w:p w14:paraId="6C834BD0" w14:textId="77777777" w:rsidR="00B646FD" w:rsidRPr="00D41F8C" w:rsidRDefault="00B646FD" w:rsidP="00B646FD">
            <w:pPr>
              <w:spacing w:after="0"/>
              <w:jc w:val="center"/>
              <w:rPr>
                <w:bCs/>
              </w:rPr>
            </w:pPr>
          </w:p>
        </w:tc>
        <w:tc>
          <w:tcPr>
            <w:tcW w:w="4526" w:type="dxa"/>
            <w:shd w:val="clear" w:color="auto" w:fill="auto"/>
          </w:tcPr>
          <w:p w14:paraId="04004DD9" w14:textId="77777777" w:rsidR="00B646FD" w:rsidRPr="00D41F8C" w:rsidRDefault="00B646FD" w:rsidP="00B646FD">
            <w:pPr>
              <w:spacing w:after="0"/>
              <w:jc w:val="center"/>
              <w:rPr>
                <w:bCs/>
              </w:rPr>
            </w:pPr>
          </w:p>
        </w:tc>
      </w:tr>
      <w:tr w:rsidR="00B646FD" w:rsidRPr="00D41F8C" w14:paraId="11D191D0" w14:textId="77777777" w:rsidTr="00504F9F">
        <w:trPr>
          <w:trHeight w:val="127"/>
        </w:trPr>
        <w:tc>
          <w:tcPr>
            <w:tcW w:w="2376" w:type="dxa"/>
            <w:shd w:val="clear" w:color="auto" w:fill="auto"/>
          </w:tcPr>
          <w:p w14:paraId="7F0E4AD6" w14:textId="77777777" w:rsidR="00B646FD" w:rsidRPr="00D41F8C" w:rsidRDefault="00B646FD" w:rsidP="00B646FD">
            <w:pPr>
              <w:spacing w:after="0"/>
              <w:jc w:val="center"/>
              <w:rPr>
                <w:bCs/>
              </w:rPr>
            </w:pPr>
          </w:p>
        </w:tc>
        <w:tc>
          <w:tcPr>
            <w:tcW w:w="2694" w:type="dxa"/>
          </w:tcPr>
          <w:p w14:paraId="6259ED0D" w14:textId="77777777" w:rsidR="00B646FD" w:rsidRPr="00D41F8C" w:rsidRDefault="00B646FD" w:rsidP="00B646FD">
            <w:pPr>
              <w:spacing w:after="0"/>
              <w:jc w:val="center"/>
              <w:rPr>
                <w:bCs/>
              </w:rPr>
            </w:pPr>
          </w:p>
        </w:tc>
        <w:tc>
          <w:tcPr>
            <w:tcW w:w="4526" w:type="dxa"/>
            <w:shd w:val="clear" w:color="auto" w:fill="auto"/>
          </w:tcPr>
          <w:p w14:paraId="2EE7E88F" w14:textId="77777777" w:rsidR="00B646FD" w:rsidRPr="00D41F8C" w:rsidRDefault="00B646FD" w:rsidP="00B646FD">
            <w:pPr>
              <w:spacing w:after="0"/>
              <w:jc w:val="center"/>
              <w:rPr>
                <w:bCs/>
              </w:rPr>
            </w:pPr>
          </w:p>
        </w:tc>
      </w:tr>
      <w:tr w:rsidR="00B646FD" w:rsidRPr="00D41F8C" w14:paraId="7E7BAF92" w14:textId="77777777" w:rsidTr="00504F9F">
        <w:trPr>
          <w:trHeight w:val="127"/>
        </w:trPr>
        <w:tc>
          <w:tcPr>
            <w:tcW w:w="2376" w:type="dxa"/>
            <w:shd w:val="clear" w:color="auto" w:fill="auto"/>
          </w:tcPr>
          <w:p w14:paraId="2FD3A690" w14:textId="77777777" w:rsidR="00B646FD" w:rsidRPr="00D41F8C" w:rsidRDefault="00B646FD" w:rsidP="00B646FD">
            <w:pPr>
              <w:spacing w:after="0"/>
              <w:jc w:val="center"/>
              <w:rPr>
                <w:bCs/>
              </w:rPr>
            </w:pPr>
          </w:p>
        </w:tc>
        <w:tc>
          <w:tcPr>
            <w:tcW w:w="2694" w:type="dxa"/>
          </w:tcPr>
          <w:p w14:paraId="65A9BF85" w14:textId="77777777" w:rsidR="00B646FD" w:rsidRPr="00D41F8C" w:rsidRDefault="00B646FD" w:rsidP="00B646FD">
            <w:pPr>
              <w:spacing w:after="0"/>
              <w:jc w:val="center"/>
              <w:rPr>
                <w:bCs/>
              </w:rPr>
            </w:pPr>
          </w:p>
        </w:tc>
        <w:tc>
          <w:tcPr>
            <w:tcW w:w="4526" w:type="dxa"/>
            <w:shd w:val="clear" w:color="auto" w:fill="auto"/>
          </w:tcPr>
          <w:p w14:paraId="3C255005" w14:textId="77777777" w:rsidR="00B646FD" w:rsidRPr="00D41F8C" w:rsidRDefault="00B646FD" w:rsidP="00B646FD">
            <w:pPr>
              <w:spacing w:after="0"/>
              <w:jc w:val="center"/>
              <w:rPr>
                <w:bCs/>
              </w:rPr>
            </w:pPr>
          </w:p>
        </w:tc>
      </w:tr>
      <w:tr w:rsidR="00B646FD" w:rsidRPr="00D41F8C" w14:paraId="677548E5" w14:textId="77777777" w:rsidTr="00504F9F">
        <w:trPr>
          <w:trHeight w:val="127"/>
        </w:trPr>
        <w:tc>
          <w:tcPr>
            <w:tcW w:w="2376" w:type="dxa"/>
            <w:shd w:val="clear" w:color="auto" w:fill="auto"/>
          </w:tcPr>
          <w:p w14:paraId="6A0B797C" w14:textId="77777777" w:rsidR="00B646FD" w:rsidRPr="00D41F8C" w:rsidRDefault="00B646FD" w:rsidP="00B646FD">
            <w:pPr>
              <w:spacing w:after="0"/>
              <w:jc w:val="center"/>
              <w:rPr>
                <w:bCs/>
              </w:rPr>
            </w:pPr>
          </w:p>
        </w:tc>
        <w:tc>
          <w:tcPr>
            <w:tcW w:w="2694" w:type="dxa"/>
          </w:tcPr>
          <w:p w14:paraId="55407737" w14:textId="77777777" w:rsidR="00B646FD" w:rsidRPr="00D41F8C" w:rsidRDefault="00B646FD" w:rsidP="00B646FD">
            <w:pPr>
              <w:spacing w:after="0"/>
              <w:jc w:val="center"/>
              <w:rPr>
                <w:bCs/>
              </w:rPr>
            </w:pPr>
          </w:p>
        </w:tc>
        <w:tc>
          <w:tcPr>
            <w:tcW w:w="4526" w:type="dxa"/>
            <w:shd w:val="clear" w:color="auto" w:fill="auto"/>
          </w:tcPr>
          <w:p w14:paraId="252A6BC6" w14:textId="77777777" w:rsidR="00B646FD" w:rsidRPr="00D41F8C" w:rsidRDefault="00B646FD" w:rsidP="00B646FD">
            <w:pPr>
              <w:spacing w:after="0"/>
              <w:jc w:val="center"/>
              <w:rPr>
                <w:bCs/>
              </w:rPr>
            </w:pPr>
          </w:p>
        </w:tc>
      </w:tr>
    </w:tbl>
    <w:p w14:paraId="197A5B5A" w14:textId="77777777" w:rsidR="00E13BC9" w:rsidRPr="00E13BC9" w:rsidRDefault="00E13BC9" w:rsidP="00E13BC9"/>
    <w:p w14:paraId="060F3D3A" w14:textId="77777777" w:rsidR="00827710" w:rsidRDefault="00D03D6E">
      <w:pPr>
        <w:pStyle w:val="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ac"/>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ac"/>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ac"/>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3"/>
        <w:rPr>
          <w:u w:val="single"/>
        </w:rPr>
      </w:pPr>
      <w:r w:rsidRPr="00CE5F90">
        <w:rPr>
          <w:rFonts w:hint="eastAsia"/>
          <w:u w:val="single"/>
        </w:rPr>
        <w:t xml:space="preserve">Message to carry </w:t>
      </w:r>
      <w:r w:rsidRPr="00CE5F90">
        <w:rPr>
          <w:u w:val="single"/>
        </w:rPr>
        <w:t>GNSS position fix time duration for measurement</w:t>
      </w:r>
    </w:p>
    <w:tbl>
      <w:tblPr>
        <w:tblStyle w:val="a9"/>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ac"/>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ac"/>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3"/>
        <w:rPr>
          <w:u w:val="single"/>
        </w:rPr>
      </w:pPr>
      <w:r w:rsidRPr="001A095D">
        <w:rPr>
          <w:u w:val="single"/>
        </w:rPr>
        <w:t>T</w:t>
      </w:r>
      <w:r w:rsidRPr="001A095D">
        <w:rPr>
          <w:rFonts w:hint="eastAsia"/>
          <w:u w:val="single"/>
        </w:rPr>
        <w:t>rigger of GNSS measurement</w:t>
      </w:r>
    </w:p>
    <w:tbl>
      <w:tblPr>
        <w:tblStyle w:val="a9"/>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Introduce a new IE gnss-fixDuration for reporting “GNSS position fix time duration for measurement”. This report is 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lastRenderedPageBreak/>
              <w:t>Observation 3</w:t>
            </w:r>
            <w:r w:rsidRPr="00B6418B">
              <w:rPr>
                <w:rFonts w:eastAsiaTheme="minorEastAsia" w:cs="Arial"/>
                <w:b/>
                <w:bCs/>
                <w:color w:val="000000" w:themeColor="text1"/>
                <w:lang w:eastAsia="zh-CN"/>
              </w:rPr>
              <w:tab/>
              <w:t>Using RRC for reporting the GNSS validity duration and GNSS position fix time duration will trigger SR/BSR when reports are ready while a MAC CE will not trigger 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Introduce a new field gnss-positionFixReq in the UEInformationRequest 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Proposal 6 Introduce gnss-validityDuration and gnss-fixDuration in UEInformationResponse and UEInformationResponse-NB.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w:t>
            </w:r>
            <w:r>
              <w:rPr>
                <w:rFonts w:eastAsiaTheme="minorEastAsia"/>
                <w:bCs/>
              </w:rPr>
              <w:lastRenderedPageBreak/>
              <w:t xml:space="preserve">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r>
              <w:rPr>
                <w:rFonts w:eastAsiaTheme="minorEastAsia"/>
                <w:bCs/>
              </w:rPr>
              <w:lastRenderedPageBreak/>
              <w:t>InterDigital</w:t>
            </w:r>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r>
              <w:rPr>
                <w:rFonts w:eastAsiaTheme="minorEastAsia"/>
                <w:bCs/>
              </w:rPr>
              <w:t>InterDigital</w:t>
            </w:r>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(e.g. Rel-18 LTM uses MAC CE To trigger PCell change). As no permanent ID is expected to be contained in the MAC CE then the risk appears relatively small. On the other hand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77777777" w:rsidR="00EC3E97" w:rsidRDefault="00EC3E97" w:rsidP="00504F9F">
            <w:pPr>
              <w:spacing w:after="0"/>
              <w:rPr>
                <w:rFonts w:eastAsiaTheme="minorEastAsia"/>
                <w:bCs/>
              </w:rPr>
            </w:pPr>
          </w:p>
        </w:tc>
        <w:tc>
          <w:tcPr>
            <w:tcW w:w="1243" w:type="dxa"/>
          </w:tcPr>
          <w:p w14:paraId="03A21A0B" w14:textId="77777777" w:rsidR="00EC3E97" w:rsidRDefault="00EC3E97" w:rsidP="00504F9F">
            <w:pPr>
              <w:spacing w:after="0"/>
              <w:rPr>
                <w:rFonts w:eastAsiaTheme="minorEastAsia"/>
                <w:bCs/>
              </w:rPr>
            </w:pPr>
          </w:p>
        </w:tc>
        <w:tc>
          <w:tcPr>
            <w:tcW w:w="7087" w:type="dxa"/>
            <w:shd w:val="clear" w:color="auto" w:fill="auto"/>
          </w:tcPr>
          <w:p w14:paraId="7CCDC71F" w14:textId="77777777" w:rsidR="00EC3E97" w:rsidRPr="000342F8" w:rsidRDefault="00EC3E97" w:rsidP="00A82204">
            <w:pPr>
              <w:spacing w:afterLines="50" w:after="156"/>
              <w:rPr>
                <w:rFonts w:eastAsiaTheme="minorEastAsia"/>
                <w:bCs/>
              </w:rPr>
            </w:pP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3"/>
        <w:rPr>
          <w:u w:val="single"/>
        </w:rPr>
      </w:pPr>
      <w:r w:rsidRPr="008C42D6">
        <w:rPr>
          <w:u w:val="single"/>
        </w:rPr>
        <w:t>C</w:t>
      </w:r>
      <w:r w:rsidRPr="008C42D6">
        <w:rPr>
          <w:rFonts w:hint="eastAsia"/>
          <w:u w:val="single"/>
        </w:rPr>
        <w:t>ontent of GNSS measurement triggering MAC CE</w:t>
      </w:r>
    </w:p>
    <w:tbl>
      <w:tblPr>
        <w:tblStyle w:val="a9"/>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lastRenderedPageBreak/>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 xml:space="preserve">ut we can leave the actual format of the MAC CE open, for example, if the MAC CE indicates the </w:t>
      </w:r>
      <w:r w:rsidR="005708D1">
        <w:rPr>
          <w:rFonts w:hint="eastAsia"/>
          <w:bCs/>
          <w:iCs/>
        </w:rPr>
        <w:lastRenderedPageBreak/>
        <w:t>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ac"/>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3"/>
        <w:rPr>
          <w:u w:val="single"/>
        </w:rPr>
      </w:pPr>
      <w:r w:rsidRPr="000643B4">
        <w:rPr>
          <w:u w:val="single"/>
        </w:rPr>
        <w:t>R</w:t>
      </w:r>
      <w:r w:rsidRPr="000643B4">
        <w:rPr>
          <w:rFonts w:hint="eastAsia"/>
          <w:u w:val="single"/>
        </w:rPr>
        <w:t>eport of GNSS position fix time duration in connected</w:t>
      </w:r>
    </w:p>
    <w:tbl>
      <w:tblPr>
        <w:tblStyle w:val="a9"/>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lastRenderedPageBreak/>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ZTE Corporation, Sanechips</w:t>
            </w:r>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lastRenderedPageBreak/>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3"/>
        <w:rPr>
          <w:u w:val="single"/>
        </w:rPr>
      </w:pPr>
      <w:r w:rsidRPr="002E39F8">
        <w:rPr>
          <w:rFonts w:hint="eastAsia"/>
          <w:u w:val="single"/>
        </w:rPr>
        <w:t>Rel-18 UE behaviour if no connected GNSS measurement is triggered</w:t>
      </w:r>
    </w:p>
    <w:tbl>
      <w:tblPr>
        <w:tblStyle w:val="a9"/>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lastRenderedPageBreak/>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w:t>
            </w:r>
            <w:r w:rsidRPr="00C77844">
              <w:rPr>
                <w:rFonts w:eastAsiaTheme="minorEastAsia"/>
                <w:bCs/>
              </w:rPr>
              <w:t xml:space="preserve"> </w:t>
            </w:r>
            <w:r w:rsidRPr="00C77844">
              <w:rPr>
                <w:rFonts w:eastAsiaTheme="minorEastAsia"/>
                <w:bCs/>
              </w:rPr>
              <w:t>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a9"/>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lastRenderedPageBreak/>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lastRenderedPageBreak/>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r>
              <w:rPr>
                <w:rFonts w:eastAsiaTheme="minorEastAsia"/>
                <w:bCs/>
              </w:rPr>
              <w:t>InterDigital</w:t>
            </w:r>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lastRenderedPageBreak/>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r>
              <w:rPr>
                <w:rFonts w:eastAsiaTheme="minorEastAsia"/>
                <w:bCs/>
              </w:rPr>
              <w:t>InterDigital</w:t>
            </w:r>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a9"/>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lastRenderedPageBreak/>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10: RAN2 to postpone the discussion on whether the UE can reacquire the GNSS </w:t>
            </w:r>
            <w:r w:rsidRPr="001C39A2">
              <w:rPr>
                <w:rFonts w:eastAsiaTheme="minorEastAsia" w:cs="Arial"/>
                <w:b/>
                <w:bCs/>
                <w:color w:val="000000" w:themeColor="text1"/>
                <w:lang w:eastAsia="zh-CN"/>
              </w:rPr>
              <w:lastRenderedPageBreak/>
              <w:t>position fix outside the Connected DRX Active Time.</w:t>
            </w:r>
          </w:p>
        </w:tc>
        <w:tc>
          <w:tcPr>
            <w:tcW w:w="1609" w:type="dxa"/>
          </w:tcPr>
          <w:p w14:paraId="638EFAE4" w14:textId="77777777" w:rsidR="005D6BFB" w:rsidRDefault="005D6BFB" w:rsidP="00504F9F">
            <w:r>
              <w:lastRenderedPageBreak/>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ac"/>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ac"/>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ac"/>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lastRenderedPageBreak/>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ac"/>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ac"/>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a9"/>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lastRenderedPageBreak/>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lastRenderedPageBreak/>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000000"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lastRenderedPageBreak/>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ac"/>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ac"/>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ac"/>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ac"/>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ED6216" w:rsidRPr="00274625" w14:paraId="305E7153" w14:textId="77777777" w:rsidTr="00504F9F">
        <w:trPr>
          <w:trHeight w:val="132"/>
        </w:trPr>
        <w:tc>
          <w:tcPr>
            <w:tcW w:w="1309"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101"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722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504F9F">
        <w:trPr>
          <w:trHeight w:val="127"/>
        </w:trPr>
        <w:tc>
          <w:tcPr>
            <w:tcW w:w="1309"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101"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722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504F9F">
        <w:trPr>
          <w:trHeight w:val="127"/>
        </w:trPr>
        <w:tc>
          <w:tcPr>
            <w:tcW w:w="1309"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101"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722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9231EF">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r>
              <w:rPr>
                <w:rFonts w:eastAsiaTheme="minorEastAsia"/>
                <w:bCs/>
              </w:rPr>
              <w:t>InterDigital</w:t>
            </w:r>
          </w:p>
        </w:tc>
        <w:tc>
          <w:tcPr>
            <w:tcW w:w="1101"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9231EF">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01"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3"/>
        <w:rPr>
          <w:u w:val="single"/>
        </w:rPr>
      </w:pPr>
      <w:r w:rsidRPr="00250E86">
        <w:rPr>
          <w:rFonts w:hint="eastAsia"/>
          <w:u w:val="single"/>
        </w:rPr>
        <w:t xml:space="preserve">Report of GNSS </w:t>
      </w:r>
      <w:r w:rsidRPr="00250E86">
        <w:rPr>
          <w:u w:val="single"/>
        </w:rPr>
        <w:t>validity duration</w:t>
      </w:r>
    </w:p>
    <w:tbl>
      <w:tblPr>
        <w:tblStyle w:val="a9"/>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w:t>
            </w:r>
            <w:r w:rsidRPr="009D65EC">
              <w:rPr>
                <w:rFonts w:eastAsiaTheme="minorEastAsia" w:cs="Arial"/>
                <w:b/>
                <w:color w:val="000000" w:themeColor="text1"/>
              </w:rPr>
              <w:lastRenderedPageBreak/>
              <w:t xml:space="preserve">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lastRenderedPageBreak/>
              <w:t>ZTE Corporation, Sanechips</w:t>
            </w:r>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000000"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a9"/>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ac"/>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lastRenderedPageBreak/>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a9"/>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lastRenderedPageBreak/>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lastRenderedPageBreak/>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w:t>
            </w:r>
            <w:r w:rsidRPr="001C39A2">
              <w:rPr>
                <w:rFonts w:eastAsiaTheme="minorEastAsia" w:cs="Arial"/>
                <w:b/>
                <w:color w:val="000000" w:themeColor="text1"/>
              </w:rPr>
              <w:lastRenderedPageBreak/>
              <w:t>and re-acquires GNSS position fix during RLF procedure.</w:t>
            </w:r>
          </w:p>
        </w:tc>
        <w:tc>
          <w:tcPr>
            <w:tcW w:w="1609" w:type="dxa"/>
          </w:tcPr>
          <w:p w14:paraId="4364A53A" w14:textId="77777777" w:rsidR="007378F9" w:rsidRDefault="007378F9" w:rsidP="00CB3A7E">
            <w:r>
              <w:lastRenderedPageBreak/>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Wait for further RAN1 progress before deciding the value range for “GNSS position fix time duration for measurement” in gnss-fixDuration.</w:t>
            </w:r>
          </w:p>
        </w:tc>
        <w:tc>
          <w:tcPr>
            <w:tcW w:w="1609" w:type="dxa"/>
          </w:tcPr>
          <w:p w14:paraId="205D454C" w14:textId="77777777" w:rsidR="000F08C8" w:rsidRDefault="000F08C8" w:rsidP="00CB3A7E">
            <w:r>
              <w:t>Ericsson</w:t>
            </w:r>
          </w:p>
        </w:tc>
      </w:tr>
    </w:tbl>
    <w:p w14:paraId="49F5DCAB" w14:textId="77777777" w:rsidR="009D5931" w:rsidRDefault="004E2279" w:rsidP="004E2279">
      <w:pPr>
        <w:spacing w:beforeLines="100" w:before="312" w:after="240"/>
        <w:rPr>
          <w:rFonts w:eastAsiaTheme="minorEastAsia"/>
        </w:rPr>
      </w:pPr>
      <w:r>
        <w:rPr>
          <w:rFonts w:eastAsiaTheme="minorEastAsia"/>
        </w:rPr>
        <w:lastRenderedPageBreak/>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r>
              <w:rPr>
                <w:rFonts w:eastAsiaTheme="minorEastAsia"/>
                <w:bCs/>
              </w:rPr>
              <w:t>InterDigital</w:t>
            </w:r>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If time allows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No need to restrict for nnow.</w:t>
            </w: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a7"/>
        <w:spacing w:beforeLines="100" w:before="312"/>
        <w:rPr>
          <w:b/>
          <w:iCs/>
        </w:rPr>
      </w:pPr>
    </w:p>
    <w:p w14:paraId="0EC3454E" w14:textId="77777777" w:rsidR="00827710" w:rsidRDefault="00D03D6E">
      <w:pPr>
        <w:pStyle w:val="1"/>
        <w:rPr>
          <w:color w:val="000000" w:themeColor="text1"/>
        </w:rPr>
      </w:pPr>
      <w:r>
        <w:rPr>
          <w:color w:val="000000" w:themeColor="text1"/>
        </w:rPr>
        <w:t>3. Conclusion</w:t>
      </w:r>
    </w:p>
    <w:p w14:paraId="7446685F" w14:textId="77777777" w:rsidR="00827710" w:rsidRDefault="00D03D6E">
      <w:pPr>
        <w:pStyle w:val="a7"/>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a7"/>
        <w:spacing w:beforeLines="100" w:before="312"/>
        <w:rPr>
          <w:b/>
          <w:iCs/>
        </w:rPr>
      </w:pPr>
      <w:r w:rsidRPr="009328FA">
        <w:rPr>
          <w:rFonts w:hint="eastAsia"/>
          <w:b/>
          <w:iCs/>
          <w:highlight w:val="yellow"/>
        </w:rPr>
        <w:t>TBD</w:t>
      </w:r>
    </w:p>
    <w:p w14:paraId="5AEB2A56" w14:textId="77777777" w:rsidR="00827710" w:rsidRDefault="00827710">
      <w:pPr>
        <w:pStyle w:val="a7"/>
        <w:spacing w:beforeLines="100" w:before="312"/>
        <w:rPr>
          <w:b/>
          <w:iCs/>
        </w:rPr>
      </w:pPr>
    </w:p>
    <w:p w14:paraId="0AC40202" w14:textId="77777777" w:rsidR="009328FA" w:rsidRDefault="009328FA">
      <w:pPr>
        <w:pStyle w:val="a7"/>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1"/>
        <w:rPr>
          <w:color w:val="000000" w:themeColor="text1"/>
        </w:rPr>
      </w:pPr>
      <w:r>
        <w:rPr>
          <w:color w:val="000000" w:themeColor="text1"/>
        </w:rPr>
        <w:t>4. References</w:t>
      </w:r>
    </w:p>
    <w:p w14:paraId="6638D6EB" w14:textId="77777777" w:rsidR="00987D0B" w:rsidRDefault="00987D0B" w:rsidP="00987D0B">
      <w:pPr>
        <w:pStyle w:val="Reference"/>
      </w:pPr>
      <w:bookmarkStart w:id="2" w:name="_Ref128233090"/>
      <w:r>
        <w:t>R2-2300175</w:t>
      </w:r>
      <w:r>
        <w:tab/>
        <w:t>Discussion on GNSS operation in connected mode</w:t>
      </w:r>
      <w:r>
        <w:tab/>
        <w:t>OPPO</w:t>
      </w:r>
      <w:r>
        <w:tab/>
        <w:t>discussion</w:t>
      </w:r>
      <w:r>
        <w:tab/>
        <w:t>Rel-18</w:t>
      </w:r>
      <w:r>
        <w:tab/>
        <w:t>IoT_NTN_enh-Core</w:t>
      </w:r>
      <w:bookmarkEnd w:id="2"/>
    </w:p>
    <w:p w14:paraId="2D99D13C" w14:textId="77777777" w:rsidR="00987D0B" w:rsidRDefault="00987D0B" w:rsidP="00987D0B">
      <w:pPr>
        <w:pStyle w:val="Reference"/>
      </w:pPr>
      <w:bookmarkStart w:id="3" w:name="_Ref128233312"/>
      <w:r>
        <w:t>R2-2300204</w:t>
      </w:r>
      <w:r>
        <w:tab/>
        <w:t>Discussion on GNSS operation in connected mode</w:t>
      </w:r>
      <w:r>
        <w:tab/>
        <w:t>CATT</w:t>
      </w:r>
      <w:r>
        <w:tab/>
        <w:t>discussion</w:t>
      </w:r>
      <w:r>
        <w:tab/>
        <w:t>Rel-18</w:t>
      </w:r>
      <w:r>
        <w:tab/>
        <w:t>IoT_NTN_enh-Core</w:t>
      </w:r>
      <w:bookmarkEnd w:id="3"/>
    </w:p>
    <w:p w14:paraId="00FCB8CD" w14:textId="77777777" w:rsidR="00987D0B" w:rsidRDefault="00987D0B" w:rsidP="00987D0B">
      <w:pPr>
        <w:pStyle w:val="Reference"/>
      </w:pPr>
      <w:bookmarkStart w:id="4" w:name="_Ref128233723"/>
      <w:r>
        <w:t>R2-2300263</w:t>
      </w:r>
      <w:r>
        <w:tab/>
        <w:t>Enhancements on GNSS operation</w:t>
      </w:r>
      <w:r>
        <w:tab/>
        <w:t>MediaTek Inc.</w:t>
      </w:r>
      <w:r>
        <w:tab/>
        <w:t>discussion</w:t>
      </w:r>
      <w:bookmarkEnd w:id="4"/>
    </w:p>
    <w:p w14:paraId="7A4A4751" w14:textId="77777777" w:rsidR="00987D0B" w:rsidRDefault="00987D0B" w:rsidP="00987D0B">
      <w:pPr>
        <w:pStyle w:val="Reference"/>
      </w:pPr>
      <w:bookmarkStart w:id="5" w:name="_Ref128234515"/>
      <w:r>
        <w:lastRenderedPageBreak/>
        <w:t>R2-2300580</w:t>
      </w:r>
      <w:r>
        <w:tab/>
        <w:t>GNSS acquisition and reporting for IoT NTN</w:t>
      </w:r>
      <w:r>
        <w:tab/>
        <w:t>Interdigital, Inc.</w:t>
      </w:r>
      <w:r>
        <w:tab/>
        <w:t>discussion</w:t>
      </w:r>
      <w:r>
        <w:tab/>
        <w:t>Rel-18</w:t>
      </w:r>
      <w:r>
        <w:tab/>
        <w:t>IoT_NTN_enh-Core</w:t>
      </w:r>
      <w:bookmarkEnd w:id="5"/>
    </w:p>
    <w:p w14:paraId="0E9EED22" w14:textId="77777777" w:rsidR="00987D0B" w:rsidRDefault="00987D0B" w:rsidP="00987D0B">
      <w:pPr>
        <w:pStyle w:val="Reference"/>
      </w:pPr>
      <w:bookmarkStart w:id="6" w:name="_Ref128235795"/>
      <w:r>
        <w:t>R2-2300739</w:t>
      </w:r>
      <w:r>
        <w:tab/>
        <w:t>Improved GNSS Operation</w:t>
      </w:r>
      <w:r>
        <w:tab/>
        <w:t>Apple</w:t>
      </w:r>
      <w:r>
        <w:tab/>
        <w:t>discussion</w:t>
      </w:r>
      <w:r>
        <w:tab/>
        <w:t>Rel-18</w:t>
      </w:r>
      <w:r>
        <w:tab/>
        <w:t>IoT_NTN_enh-Core</w:t>
      </w:r>
      <w:bookmarkEnd w:id="6"/>
    </w:p>
    <w:p w14:paraId="01FBF65D" w14:textId="77777777" w:rsidR="00987D0B" w:rsidRDefault="00987D0B" w:rsidP="00987D0B">
      <w:pPr>
        <w:pStyle w:val="Reference"/>
      </w:pPr>
      <w:bookmarkStart w:id="7" w:name="_Ref128236543"/>
      <w:r>
        <w:t>R2-2300892</w:t>
      </w:r>
      <w:r>
        <w:tab/>
        <w:t>GNSS fix in RRC_CONNECTED</w:t>
      </w:r>
      <w:r>
        <w:tab/>
        <w:t>Qualcomm Incorporated</w:t>
      </w:r>
      <w:r>
        <w:tab/>
        <w:t>discussion</w:t>
      </w:r>
      <w:r>
        <w:tab/>
        <w:t>Rel-18</w:t>
      </w:r>
      <w:r>
        <w:tab/>
        <w:t>IoT_NTN_enh-Core</w:t>
      </w:r>
      <w:bookmarkEnd w:id="7"/>
    </w:p>
    <w:p w14:paraId="3A270C6D" w14:textId="77777777" w:rsidR="00987D0B" w:rsidRDefault="00987D0B" w:rsidP="00987D0B">
      <w:pPr>
        <w:pStyle w:val="Reference"/>
      </w:pPr>
      <w:bookmarkStart w:id="8" w:name="_Ref128238179"/>
      <w:r>
        <w:t>R2-2300979</w:t>
      </w:r>
      <w:r>
        <w:tab/>
        <w:t>Considerations on long GNSS operation in CONNECTED state</w:t>
      </w:r>
      <w:r>
        <w:tab/>
        <w:t>Lenovo</w:t>
      </w:r>
      <w:r>
        <w:tab/>
        <w:t>discussion</w:t>
      </w:r>
      <w:r>
        <w:tab/>
        <w:t>Rel-18</w:t>
      </w:r>
      <w:bookmarkEnd w:id="8"/>
    </w:p>
    <w:p w14:paraId="071485C0" w14:textId="77777777" w:rsidR="00987D0B" w:rsidRDefault="00987D0B" w:rsidP="00987D0B">
      <w:pPr>
        <w:pStyle w:val="Reference"/>
      </w:pPr>
      <w:bookmarkStart w:id="9" w:name="_Ref128239000"/>
      <w:r>
        <w:t>R2-2301895</w:t>
      </w:r>
      <w:r>
        <w:tab/>
        <w:t>Discussion on GNSS operation enhancement</w:t>
      </w:r>
      <w:r>
        <w:tab/>
        <w:t>Xiaomi</w:t>
      </w:r>
      <w:r>
        <w:tab/>
        <w:t>discussion</w:t>
      </w:r>
      <w:r>
        <w:tab/>
        <w:t>Rel-18</w:t>
      </w:r>
      <w:bookmarkEnd w:id="9"/>
    </w:p>
    <w:p w14:paraId="395BBA31" w14:textId="77777777" w:rsidR="00987D0B" w:rsidRDefault="00987D0B" w:rsidP="00987D0B">
      <w:pPr>
        <w:pStyle w:val="Reference"/>
      </w:pPr>
      <w:bookmarkStart w:id="10" w:name="_Ref128239694"/>
      <w:r>
        <w:t>R2-2301053</w:t>
      </w:r>
      <w:r>
        <w:tab/>
        <w:t>Further discussion on GNSS enhancements</w:t>
      </w:r>
      <w:r>
        <w:tab/>
        <w:t>ZTE Corporation, Sanechips</w:t>
      </w:r>
      <w:r>
        <w:tab/>
        <w:t>discussion</w:t>
      </w:r>
      <w:r>
        <w:tab/>
        <w:t>IoT_NTN_enh-Core</w:t>
      </w:r>
      <w:bookmarkEnd w:id="10"/>
    </w:p>
    <w:p w14:paraId="0F02C06C" w14:textId="77777777" w:rsidR="00987D0B" w:rsidRDefault="00987D0B" w:rsidP="00987D0B">
      <w:pPr>
        <w:pStyle w:val="Reference"/>
      </w:pPr>
      <w:bookmarkStart w:id="11" w:name="_Ref128301602"/>
      <w:r>
        <w:t>R2-2301209</w:t>
      </w:r>
      <w:r>
        <w:tab/>
        <w:t>Discussion on the enhancement of GNSS operation</w:t>
      </w:r>
      <w:r>
        <w:tab/>
        <w:t>Huawei, Turkcell, HiSilicon</w:t>
      </w:r>
      <w:r>
        <w:tab/>
        <w:t>discussion</w:t>
      </w:r>
      <w:r>
        <w:tab/>
        <w:t>Rel-18</w:t>
      </w:r>
      <w:r>
        <w:tab/>
        <w:t>IoT_NTN_enh-Core</w:t>
      </w:r>
      <w:bookmarkEnd w:id="11"/>
    </w:p>
    <w:p w14:paraId="779CA1CF" w14:textId="77777777" w:rsidR="00987D0B" w:rsidRDefault="00987D0B" w:rsidP="00987D0B">
      <w:pPr>
        <w:pStyle w:val="Reference"/>
      </w:pPr>
      <w:bookmarkStart w:id="12" w:name="_Ref128302201"/>
      <w:r>
        <w:t>R2-2301252</w:t>
      </w:r>
      <w:r>
        <w:tab/>
        <w:t>Discussion on the GNSS enhancement for IoT-NTN</w:t>
      </w:r>
      <w:r>
        <w:tab/>
        <w:t>CMCC</w:t>
      </w:r>
      <w:r>
        <w:tab/>
        <w:t>discussion</w:t>
      </w:r>
      <w:r>
        <w:tab/>
        <w:t>Rel-18</w:t>
      </w:r>
      <w:r>
        <w:tab/>
        <w:t>IoT_NTN_enh</w:t>
      </w:r>
      <w:bookmarkEnd w:id="12"/>
    </w:p>
    <w:p w14:paraId="4EF87357" w14:textId="77777777" w:rsidR="00987D0B" w:rsidRDefault="00987D0B" w:rsidP="00987D0B">
      <w:pPr>
        <w:pStyle w:val="Reference"/>
      </w:pPr>
      <w:bookmarkStart w:id="13" w:name="_Ref128304623"/>
      <w:r>
        <w:t>R2-2301493</w:t>
      </w:r>
      <w:r>
        <w:tab/>
        <w:t>On improved GNSS operation for IoT NTN</w:t>
      </w:r>
      <w:r>
        <w:tab/>
        <w:t>Samsung Electronics Benelux BV</w:t>
      </w:r>
      <w:r>
        <w:tab/>
        <w:t>discussion</w:t>
      </w:r>
      <w:r>
        <w:tab/>
        <w:t>Rel-18</w:t>
      </w:r>
      <w:r>
        <w:tab/>
        <w:t>IoT_NTN_enh</w:t>
      </w:r>
      <w:bookmarkEnd w:id="13"/>
    </w:p>
    <w:p w14:paraId="2C6DB53C" w14:textId="77777777" w:rsidR="00827710" w:rsidRDefault="00987D0B" w:rsidP="00987D0B">
      <w:pPr>
        <w:pStyle w:val="Reference"/>
      </w:pPr>
      <w:bookmarkStart w:id="14" w:name="_Ref128304982"/>
      <w:r>
        <w:t>R2-2301660</w:t>
      </w:r>
      <w:r>
        <w:tab/>
        <w:t>On GNSS operation enhancements for IoT NTN</w:t>
      </w:r>
      <w:r>
        <w:tab/>
        <w:t>Nokia, Nokia Shanghai Bell</w:t>
      </w:r>
      <w:r>
        <w:tab/>
        <w:t>discussion</w:t>
      </w:r>
      <w:r>
        <w:tab/>
        <w:t>Rel-18</w:t>
      </w:r>
      <w:r>
        <w:tab/>
        <w:t>IoT_NTN_enh-Core</w:t>
      </w:r>
      <w:bookmarkEnd w:id="14"/>
    </w:p>
    <w:p w14:paraId="07CE9677" w14:textId="77777777" w:rsidR="009410F0" w:rsidRDefault="009410F0" w:rsidP="00987D0B">
      <w:pPr>
        <w:pStyle w:val="Reference"/>
      </w:pPr>
      <w:bookmarkStart w:id="15" w:name="_Ref128305591"/>
      <w:r>
        <w:t>R2-2301880</w:t>
      </w:r>
      <w:r>
        <w:tab/>
        <w:t>R18 IoT NTN performance enhancement</w:t>
      </w:r>
      <w:r>
        <w:tab/>
        <w:t>Ericsson</w:t>
      </w:r>
      <w:r>
        <w:tab/>
        <w:t>discussion</w:t>
      </w:r>
      <w:r>
        <w:tab/>
        <w:t>Rel-18</w:t>
      </w:r>
      <w:r>
        <w:tab/>
        <w:t>IoT_NTN_enh</w:t>
      </w:r>
      <w:bookmarkEnd w:id="15"/>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7E1D" w14:textId="77777777" w:rsidR="004E22E2" w:rsidRDefault="004E22E2">
      <w:pPr>
        <w:spacing w:after="0" w:line="240" w:lineRule="auto"/>
      </w:pPr>
      <w:r>
        <w:separator/>
      </w:r>
    </w:p>
  </w:endnote>
  <w:endnote w:type="continuationSeparator" w:id="0">
    <w:p w14:paraId="6CD3D01C" w14:textId="77777777" w:rsidR="004E22E2" w:rsidRDefault="004E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0804" w14:textId="77777777" w:rsidR="004E22E2" w:rsidRDefault="004E22E2">
      <w:pPr>
        <w:spacing w:after="0" w:line="240" w:lineRule="auto"/>
      </w:pPr>
      <w:r>
        <w:separator/>
      </w:r>
    </w:p>
  </w:footnote>
  <w:footnote w:type="continuationSeparator" w:id="0">
    <w:p w14:paraId="2E7BF269" w14:textId="77777777" w:rsidR="004E22E2" w:rsidRDefault="004E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90147269">
    <w:abstractNumId w:val="30"/>
  </w:num>
  <w:num w:numId="2" w16cid:durableId="581111501">
    <w:abstractNumId w:val="37"/>
  </w:num>
  <w:num w:numId="3" w16cid:durableId="329990039">
    <w:abstractNumId w:val="36"/>
  </w:num>
  <w:num w:numId="4" w16cid:durableId="344013503">
    <w:abstractNumId w:val="28"/>
  </w:num>
  <w:num w:numId="5" w16cid:durableId="528372640">
    <w:abstractNumId w:val="22"/>
  </w:num>
  <w:num w:numId="6" w16cid:durableId="449323283">
    <w:abstractNumId w:val="14"/>
  </w:num>
  <w:num w:numId="7" w16cid:durableId="208033968">
    <w:abstractNumId w:val="21"/>
  </w:num>
  <w:num w:numId="8" w16cid:durableId="160514090">
    <w:abstractNumId w:val="4"/>
  </w:num>
  <w:num w:numId="9" w16cid:durableId="2004971500">
    <w:abstractNumId w:val="15"/>
  </w:num>
  <w:num w:numId="10" w16cid:durableId="1841895615">
    <w:abstractNumId w:val="9"/>
  </w:num>
  <w:num w:numId="11" w16cid:durableId="83764961">
    <w:abstractNumId w:val="24"/>
  </w:num>
  <w:num w:numId="12" w16cid:durableId="1183741747">
    <w:abstractNumId w:val="19"/>
  </w:num>
  <w:num w:numId="13" w16cid:durableId="842159627">
    <w:abstractNumId w:val="38"/>
  </w:num>
  <w:num w:numId="14" w16cid:durableId="252321955">
    <w:abstractNumId w:val="16"/>
  </w:num>
  <w:num w:numId="15" w16cid:durableId="673606423">
    <w:abstractNumId w:val="31"/>
  </w:num>
  <w:num w:numId="16" w16cid:durableId="913781777">
    <w:abstractNumId w:val="23"/>
  </w:num>
  <w:num w:numId="17" w16cid:durableId="1872914782">
    <w:abstractNumId w:val="8"/>
  </w:num>
  <w:num w:numId="18" w16cid:durableId="979073024">
    <w:abstractNumId w:val="18"/>
  </w:num>
  <w:num w:numId="19" w16cid:durableId="1503157379">
    <w:abstractNumId w:val="41"/>
  </w:num>
  <w:num w:numId="20" w16cid:durableId="1885364330">
    <w:abstractNumId w:val="26"/>
  </w:num>
  <w:num w:numId="21" w16cid:durableId="157768083">
    <w:abstractNumId w:val="39"/>
  </w:num>
  <w:num w:numId="22" w16cid:durableId="1413578632">
    <w:abstractNumId w:val="1"/>
  </w:num>
  <w:num w:numId="23" w16cid:durableId="943417986">
    <w:abstractNumId w:val="27"/>
  </w:num>
  <w:num w:numId="24" w16cid:durableId="1785345367">
    <w:abstractNumId w:val="13"/>
  </w:num>
  <w:num w:numId="25" w16cid:durableId="247420277">
    <w:abstractNumId w:val="0"/>
  </w:num>
  <w:num w:numId="26" w16cid:durableId="222909528">
    <w:abstractNumId w:val="40"/>
  </w:num>
  <w:num w:numId="27" w16cid:durableId="1114177852">
    <w:abstractNumId w:val="34"/>
  </w:num>
  <w:num w:numId="28" w16cid:durableId="1666323081">
    <w:abstractNumId w:val="25"/>
  </w:num>
  <w:num w:numId="29" w16cid:durableId="107966382">
    <w:abstractNumId w:val="5"/>
  </w:num>
  <w:num w:numId="30" w16cid:durableId="592321449">
    <w:abstractNumId w:val="17"/>
  </w:num>
  <w:num w:numId="31" w16cid:durableId="1420902467">
    <w:abstractNumId w:val="11"/>
  </w:num>
  <w:num w:numId="32" w16cid:durableId="938803685">
    <w:abstractNumId w:val="32"/>
  </w:num>
  <w:num w:numId="33" w16cid:durableId="1438715407">
    <w:abstractNumId w:val="29"/>
  </w:num>
  <w:num w:numId="34" w16cid:durableId="1042245535">
    <w:abstractNumId w:val="2"/>
  </w:num>
  <w:num w:numId="35" w16cid:durableId="1041171215">
    <w:abstractNumId w:val="12"/>
  </w:num>
  <w:num w:numId="36" w16cid:durableId="2134516515">
    <w:abstractNumId w:val="3"/>
  </w:num>
  <w:num w:numId="37" w16cid:durableId="152187938">
    <w:abstractNumId w:val="7"/>
  </w:num>
  <w:num w:numId="38" w16cid:durableId="366416778">
    <w:abstractNumId w:val="36"/>
  </w:num>
  <w:num w:numId="39" w16cid:durableId="1282152479">
    <w:abstractNumId w:val="28"/>
  </w:num>
  <w:num w:numId="40" w16cid:durableId="1521430494">
    <w:abstractNumId w:val="20"/>
  </w:num>
  <w:num w:numId="41" w16cid:durableId="807747720">
    <w:abstractNumId w:val="10"/>
  </w:num>
  <w:num w:numId="42" w16cid:durableId="507133271">
    <w:abstractNumId w:val="33"/>
  </w:num>
  <w:num w:numId="43" w16cid:durableId="76825444">
    <w:abstractNumId w:val="35"/>
  </w:num>
  <w:num w:numId="44" w16cid:durableId="88706236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D4D"/>
    <w:rsid w:val="00096C32"/>
    <w:rsid w:val="00097292"/>
    <w:rsid w:val="000A4E00"/>
    <w:rsid w:val="000A4ED1"/>
    <w:rsid w:val="000A6D01"/>
    <w:rsid w:val="000B3A03"/>
    <w:rsid w:val="000B5CCD"/>
    <w:rsid w:val="000C6770"/>
    <w:rsid w:val="000E1556"/>
    <w:rsid w:val="000E5200"/>
    <w:rsid w:val="000E778A"/>
    <w:rsid w:val="000F08C8"/>
    <w:rsid w:val="00100809"/>
    <w:rsid w:val="001257AB"/>
    <w:rsid w:val="00133300"/>
    <w:rsid w:val="001557EA"/>
    <w:rsid w:val="00166862"/>
    <w:rsid w:val="001A095D"/>
    <w:rsid w:val="001C18F1"/>
    <w:rsid w:val="001C248A"/>
    <w:rsid w:val="001C39A2"/>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1087"/>
    <w:rsid w:val="00314FE8"/>
    <w:rsid w:val="00315232"/>
    <w:rsid w:val="003412D1"/>
    <w:rsid w:val="003472AC"/>
    <w:rsid w:val="00356DC6"/>
    <w:rsid w:val="00357003"/>
    <w:rsid w:val="00360A0B"/>
    <w:rsid w:val="0036423D"/>
    <w:rsid w:val="00375B84"/>
    <w:rsid w:val="003775FA"/>
    <w:rsid w:val="00382522"/>
    <w:rsid w:val="00382BCB"/>
    <w:rsid w:val="00393FC5"/>
    <w:rsid w:val="0039712A"/>
    <w:rsid w:val="003A7F90"/>
    <w:rsid w:val="003B2C1E"/>
    <w:rsid w:val="003B5F30"/>
    <w:rsid w:val="003D00FA"/>
    <w:rsid w:val="003D3E83"/>
    <w:rsid w:val="003D7163"/>
    <w:rsid w:val="003F0363"/>
    <w:rsid w:val="003F6764"/>
    <w:rsid w:val="00404D36"/>
    <w:rsid w:val="00413532"/>
    <w:rsid w:val="004326EB"/>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50184F"/>
    <w:rsid w:val="00503338"/>
    <w:rsid w:val="00504F9F"/>
    <w:rsid w:val="0051720E"/>
    <w:rsid w:val="0053081E"/>
    <w:rsid w:val="005332BF"/>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25AD3"/>
    <w:rsid w:val="0064385E"/>
    <w:rsid w:val="00657D42"/>
    <w:rsid w:val="0066508C"/>
    <w:rsid w:val="0068750E"/>
    <w:rsid w:val="006900A3"/>
    <w:rsid w:val="00690F06"/>
    <w:rsid w:val="006A29C5"/>
    <w:rsid w:val="006A58AC"/>
    <w:rsid w:val="006A61CA"/>
    <w:rsid w:val="006A753B"/>
    <w:rsid w:val="006B0EF4"/>
    <w:rsid w:val="006B3E90"/>
    <w:rsid w:val="006B67D6"/>
    <w:rsid w:val="006B784E"/>
    <w:rsid w:val="006C696A"/>
    <w:rsid w:val="006D0D63"/>
    <w:rsid w:val="006D1027"/>
    <w:rsid w:val="006D2F89"/>
    <w:rsid w:val="006E46C5"/>
    <w:rsid w:val="006F346B"/>
    <w:rsid w:val="006F3ED2"/>
    <w:rsid w:val="006F50D7"/>
    <w:rsid w:val="006F5868"/>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633"/>
    <w:rsid w:val="007F6B53"/>
    <w:rsid w:val="00802B48"/>
    <w:rsid w:val="00805F8C"/>
    <w:rsid w:val="00810944"/>
    <w:rsid w:val="008171B0"/>
    <w:rsid w:val="00827710"/>
    <w:rsid w:val="008310A4"/>
    <w:rsid w:val="00835C4B"/>
    <w:rsid w:val="008437C8"/>
    <w:rsid w:val="00847F99"/>
    <w:rsid w:val="008558FD"/>
    <w:rsid w:val="008626E9"/>
    <w:rsid w:val="00871876"/>
    <w:rsid w:val="00880BA8"/>
    <w:rsid w:val="00887CCE"/>
    <w:rsid w:val="00892B66"/>
    <w:rsid w:val="008C1610"/>
    <w:rsid w:val="008C42D6"/>
    <w:rsid w:val="008E1381"/>
    <w:rsid w:val="008E267C"/>
    <w:rsid w:val="008E6318"/>
    <w:rsid w:val="0090604F"/>
    <w:rsid w:val="00911E93"/>
    <w:rsid w:val="009231EF"/>
    <w:rsid w:val="009328FA"/>
    <w:rsid w:val="009410F0"/>
    <w:rsid w:val="00941BD0"/>
    <w:rsid w:val="009507F1"/>
    <w:rsid w:val="00950A03"/>
    <w:rsid w:val="00963330"/>
    <w:rsid w:val="00966F12"/>
    <w:rsid w:val="00970128"/>
    <w:rsid w:val="00977784"/>
    <w:rsid w:val="00987D0B"/>
    <w:rsid w:val="009925A2"/>
    <w:rsid w:val="009A45F1"/>
    <w:rsid w:val="009A5CE3"/>
    <w:rsid w:val="009A7A30"/>
    <w:rsid w:val="009B4BAF"/>
    <w:rsid w:val="009C46B8"/>
    <w:rsid w:val="009C7619"/>
    <w:rsid w:val="009D44FA"/>
    <w:rsid w:val="009D5931"/>
    <w:rsid w:val="009D65EC"/>
    <w:rsid w:val="00A01217"/>
    <w:rsid w:val="00A1302F"/>
    <w:rsid w:val="00A24760"/>
    <w:rsid w:val="00A325B6"/>
    <w:rsid w:val="00A32914"/>
    <w:rsid w:val="00A34595"/>
    <w:rsid w:val="00A60A3B"/>
    <w:rsid w:val="00A60F74"/>
    <w:rsid w:val="00A82204"/>
    <w:rsid w:val="00A837EE"/>
    <w:rsid w:val="00A8669D"/>
    <w:rsid w:val="00A91089"/>
    <w:rsid w:val="00A96567"/>
    <w:rsid w:val="00A97FE0"/>
    <w:rsid w:val="00AA5101"/>
    <w:rsid w:val="00AA6F11"/>
    <w:rsid w:val="00AB0FCF"/>
    <w:rsid w:val="00AC0F86"/>
    <w:rsid w:val="00AC38F2"/>
    <w:rsid w:val="00AD18C2"/>
    <w:rsid w:val="00AF0DF9"/>
    <w:rsid w:val="00AF7493"/>
    <w:rsid w:val="00B07026"/>
    <w:rsid w:val="00B073DC"/>
    <w:rsid w:val="00B0757D"/>
    <w:rsid w:val="00B1098D"/>
    <w:rsid w:val="00B1177E"/>
    <w:rsid w:val="00B171E5"/>
    <w:rsid w:val="00B2493A"/>
    <w:rsid w:val="00B31642"/>
    <w:rsid w:val="00B31C4B"/>
    <w:rsid w:val="00B355CC"/>
    <w:rsid w:val="00B446A0"/>
    <w:rsid w:val="00B44F98"/>
    <w:rsid w:val="00B523F8"/>
    <w:rsid w:val="00B54354"/>
    <w:rsid w:val="00B6135C"/>
    <w:rsid w:val="00B6418B"/>
    <w:rsid w:val="00B646FD"/>
    <w:rsid w:val="00B73494"/>
    <w:rsid w:val="00BA6DA3"/>
    <w:rsid w:val="00BB0ADF"/>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77844"/>
    <w:rsid w:val="00C9073A"/>
    <w:rsid w:val="00C96A5F"/>
    <w:rsid w:val="00CA1D79"/>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20E1"/>
    <w:rsid w:val="00D33F6F"/>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7638"/>
    <w:rsid w:val="00DD152D"/>
    <w:rsid w:val="00DD39B9"/>
    <w:rsid w:val="00DD437F"/>
    <w:rsid w:val="00DE2847"/>
    <w:rsid w:val="00DE31A6"/>
    <w:rsid w:val="00DF1C1F"/>
    <w:rsid w:val="00DF660B"/>
    <w:rsid w:val="00E04617"/>
    <w:rsid w:val="00E07743"/>
    <w:rsid w:val="00E121E2"/>
    <w:rsid w:val="00E13538"/>
    <w:rsid w:val="00E13BC9"/>
    <w:rsid w:val="00E15282"/>
    <w:rsid w:val="00E16405"/>
    <w:rsid w:val="00E16F3D"/>
    <w:rsid w:val="00E24941"/>
    <w:rsid w:val="00E31749"/>
    <w:rsid w:val="00E34102"/>
    <w:rsid w:val="00E350E6"/>
    <w:rsid w:val="00E425CE"/>
    <w:rsid w:val="00E5545E"/>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54FEE"/>
    <w:rsid w:val="00F730FD"/>
    <w:rsid w:val="00F74467"/>
    <w:rsid w:val="00F863CB"/>
    <w:rsid w:val="00F921DC"/>
    <w:rsid w:val="00F94E5B"/>
    <w:rsid w:val="00FA1510"/>
    <w:rsid w:val="00FA1692"/>
    <w:rsid w:val="00FB2EA6"/>
    <w:rsid w:val="00FB6625"/>
    <w:rsid w:val="00FB6F64"/>
    <w:rsid w:val="00FC13EC"/>
    <w:rsid w:val="00FC304E"/>
    <w:rsid w:val="00FC3364"/>
    <w:rsid w:val="00FD6332"/>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1"/>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uiPriority w:val="9"/>
    <w:rPr>
      <w:rFonts w:ascii="Arial" w:eastAsia="宋体" w:hAnsi="Arial" w:cs="Times New Roman"/>
      <w:b/>
      <w:bCs/>
      <w:kern w:val="44"/>
      <w:sz w:val="44"/>
      <w:szCs w:val="44"/>
      <w:lang w:val="en-GB"/>
    </w:rPr>
  </w:style>
  <w:style w:type="character" w:customStyle="1" w:styleId="20">
    <w:name w:val="标题 2 字符"/>
    <w:basedOn w:val="a0"/>
    <w:link w:val="2"/>
    <w:rPr>
      <w:rFonts w:ascii="Arial" w:eastAsia="宋体" w:hAnsi="Arial" w:cs="Arial"/>
      <w:kern w:val="0"/>
      <w:sz w:val="32"/>
      <w:szCs w:val="32"/>
      <w:lang w:val="en-GB"/>
    </w:rPr>
  </w:style>
  <w:style w:type="character" w:customStyle="1" w:styleId="30">
    <w:name w:val="标题 3 字符"/>
    <w:basedOn w:val="a0"/>
    <w:link w:val="3"/>
    <w:rPr>
      <w:rFonts w:ascii="Arial" w:eastAsia="宋体" w:hAnsi="Arial" w:cs="Arial"/>
      <w:kern w:val="0"/>
      <w:sz w:val="28"/>
      <w:szCs w:val="28"/>
      <w:lang w:val="en-GB"/>
    </w:rPr>
  </w:style>
  <w:style w:type="paragraph" w:styleId="a7">
    <w:name w:val="Body Text"/>
    <w:basedOn w:val="a"/>
    <w:link w:val="12"/>
    <w:qFormat/>
  </w:style>
  <w:style w:type="character" w:customStyle="1" w:styleId="a8">
    <w:name w:val="正文文本 字符"/>
    <w:basedOn w:val="a0"/>
    <w:uiPriority w:val="99"/>
    <w:semiHidden/>
    <w:rPr>
      <w:rFonts w:ascii="Arial" w:eastAsia="宋体" w:hAnsi="Arial" w:cs="Times New Roman"/>
      <w:kern w:val="0"/>
      <w:sz w:val="20"/>
      <w:szCs w:val="20"/>
      <w:lang w:val="en-GB"/>
    </w:rPr>
  </w:style>
  <w:style w:type="character" w:customStyle="1" w:styleId="11">
    <w:name w:val="标题 1 字符1"/>
    <w:link w:val="1"/>
    <w:qFormat/>
    <w:rPr>
      <w:rFonts w:ascii="Arial" w:eastAsia="宋体" w:hAnsi="Arial" w:cs="Arial"/>
      <w:kern w:val="0"/>
      <w:sz w:val="36"/>
      <w:szCs w:val="36"/>
      <w:lang w:val="en-GB"/>
    </w:rPr>
  </w:style>
  <w:style w:type="character" w:customStyle="1" w:styleId="12">
    <w:name w:val="正文文本 字符1"/>
    <w:link w:val="a7"/>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pPr>
      <w:numPr>
        <w:numId w:val="4"/>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a9">
    <w:name w:val="Table Grid"/>
    <w:basedOn w:val="a1"/>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a"/>
    <w:next w:val="a"/>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1"/>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aa">
    <w:name w:val="caption"/>
    <w:basedOn w:val="a"/>
    <w:next w:val="a"/>
    <w:link w:val="ab"/>
    <w:unhideWhenUsed/>
    <w:qFormat/>
    <w:pPr>
      <w:spacing w:line="288" w:lineRule="auto"/>
    </w:pPr>
    <w:rPr>
      <w:rFonts w:ascii="等线 Light" w:eastAsia="黑体" w:hAnsi="等线 Light"/>
    </w:rPr>
  </w:style>
  <w:style w:type="character" w:customStyle="1" w:styleId="ab">
    <w:name w:val="题注 字符"/>
    <w:link w:val="aa"/>
    <w:qFormat/>
    <w:rPr>
      <w:rFonts w:ascii="等线 Light" w:eastAsia="黑体" w:hAnsi="等线 Light" w:cs="Times New Roman"/>
      <w:kern w:val="0"/>
      <w:sz w:val="20"/>
      <w:szCs w:val="20"/>
      <w:lang w:val="en-GB"/>
    </w:rPr>
  </w:style>
  <w:style w:type="paragraph" w:styleId="31">
    <w:name w:val="List 3"/>
    <w:basedOn w:val="a"/>
    <w:uiPriority w:val="99"/>
    <w:semiHidden/>
    <w:unhideWhenUsed/>
    <w:pPr>
      <w:ind w:leftChars="400" w:left="100" w:hangingChars="200" w:hanging="200"/>
      <w:contextualSpacing/>
    </w:pPr>
  </w:style>
  <w:style w:type="paragraph" w:styleId="ac">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a"/>
    <w:link w:val="ad"/>
    <w:uiPriority w:val="34"/>
    <w:qFormat/>
    <w:pPr>
      <w:ind w:left="720"/>
      <w:contextualSpacing/>
    </w:pPr>
  </w:style>
  <w:style w:type="character" w:customStyle="1" w:styleId="ad">
    <w:name w:val="列表段落 字符"/>
    <w:aliases w:val="- Bullets 字符,목록 단락 字符,リスト段落 字符,Lista1 字符,?? ?? 字符,????? 字符,???? 字符,1st level - Bullet List Paragraph 字符,List Paragraph1 字符,Lettre d'introduction 字符,Paragrafo elenco 字符,Normal bullet 2 字符,Bullet list 字符,Numbered List 字符,Task Body 字符,목록 단 字符,列 字符"/>
    <w:link w:val="ac"/>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style>
  <w:style w:type="character" w:styleId="ae">
    <w:name w:val="Hyperlink"/>
    <w:basedOn w:val="a0"/>
    <w:uiPriority w:val="99"/>
    <w:unhideWhenUsed/>
    <w:qFormat/>
    <w:rPr>
      <w:color w:val="0000FF"/>
      <w:u w:val="single"/>
    </w:rPr>
  </w:style>
  <w:style w:type="paragraph" w:customStyle="1" w:styleId="B1">
    <w:name w:val="B1"/>
    <w:basedOn w:val="af"/>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af">
    <w:name w:val="List"/>
    <w:basedOn w:val="a"/>
    <w:uiPriority w:val="99"/>
    <w:semiHidden/>
    <w:unhideWhenUsed/>
    <w:pPr>
      <w:ind w:left="200" w:hangingChars="200" w:hanging="200"/>
      <w:contextualSpacing/>
    </w:pPr>
  </w:style>
  <w:style w:type="character" w:styleId="af0">
    <w:name w:val="annotation reference"/>
    <w:basedOn w:val="a0"/>
    <w:uiPriority w:val="99"/>
    <w:semiHidden/>
    <w:unhideWhenUsed/>
    <w:rPr>
      <w:sz w:val="21"/>
      <w:szCs w:val="21"/>
    </w:rPr>
  </w:style>
  <w:style w:type="paragraph" w:styleId="af1">
    <w:name w:val="annotation text"/>
    <w:basedOn w:val="a"/>
    <w:link w:val="af2"/>
    <w:uiPriority w:val="99"/>
    <w:semiHidden/>
    <w:unhideWhenUsed/>
    <w:pPr>
      <w:jc w:val="left"/>
    </w:pPr>
  </w:style>
  <w:style w:type="character" w:customStyle="1" w:styleId="af2">
    <w:name w:val="批注文字 字符"/>
    <w:basedOn w:val="a0"/>
    <w:link w:val="af1"/>
    <w:uiPriority w:val="99"/>
    <w:semiHidden/>
    <w:rPr>
      <w:rFonts w:ascii="Arial" w:eastAsia="宋体" w:hAnsi="Arial" w:cs="Times New Roman"/>
      <w:kern w:val="0"/>
      <w:sz w:val="20"/>
      <w:szCs w:val="20"/>
      <w:lang w:val="en-GB"/>
    </w:rPr>
  </w:style>
  <w:style w:type="paragraph" w:styleId="af3">
    <w:name w:val="annotation subject"/>
    <w:basedOn w:val="af1"/>
    <w:next w:val="af1"/>
    <w:link w:val="af4"/>
    <w:uiPriority w:val="99"/>
    <w:semiHidden/>
    <w:unhideWhenUsed/>
    <w:rPr>
      <w:b/>
      <w:bCs/>
    </w:rPr>
  </w:style>
  <w:style w:type="character" w:customStyle="1" w:styleId="af4">
    <w:name w:val="批注主题 字符"/>
    <w:basedOn w:val="af2"/>
    <w:link w:val="af3"/>
    <w:uiPriority w:val="99"/>
    <w:semiHidden/>
    <w:rPr>
      <w:rFonts w:ascii="Arial" w:eastAsia="宋体" w:hAnsi="Arial" w:cs="Times New Roman"/>
      <w:b/>
      <w:bCs/>
      <w:kern w:val="0"/>
      <w:sz w:val="20"/>
      <w:szCs w:val="20"/>
      <w:lang w:val="en-GB"/>
    </w:rPr>
  </w:style>
  <w:style w:type="paragraph" w:styleId="af5">
    <w:name w:val="Balloon Text"/>
    <w:basedOn w:val="a"/>
    <w:link w:val="af6"/>
    <w:uiPriority w:val="99"/>
    <w:semiHidden/>
    <w:unhideWhenUsed/>
    <w:pPr>
      <w:spacing w:after="0" w:line="240" w:lineRule="auto"/>
    </w:pPr>
    <w:rPr>
      <w:sz w:val="18"/>
      <w:szCs w:val="18"/>
    </w:rPr>
  </w:style>
  <w:style w:type="character" w:customStyle="1" w:styleId="af6">
    <w:name w:val="批注框文本 字符"/>
    <w:basedOn w:val="a0"/>
    <w:link w:val="af5"/>
    <w:uiPriority w:val="99"/>
    <w:semiHidden/>
    <w:rPr>
      <w:rFonts w:ascii="Arial" w:eastAsia="宋体" w:hAnsi="Arial" w:cs="Times New Roman"/>
      <w:kern w:val="0"/>
      <w:sz w:val="18"/>
      <w:szCs w:val="18"/>
      <w:lang w:val="en-GB"/>
    </w:rPr>
  </w:style>
  <w:style w:type="paragraph" w:styleId="af7">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f8">
    <w:name w:val="table of figures"/>
    <w:basedOn w:val="a"/>
    <w:next w:val="a"/>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af9">
    <w:name w:val="Strong"/>
    <w:basedOn w:val="a0"/>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9F1B-F083-4278-9ED6-E7AFEE3E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6354</Words>
  <Characters>36220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Lenovo - Xu Min</cp:lastModifiedBy>
  <cp:revision>21</cp:revision>
  <dcterms:created xsi:type="dcterms:W3CDTF">2023-02-28T08:29:00Z</dcterms:created>
  <dcterms:modified xsi:type="dcterms:W3CDTF">2023-02-28T09:44:00Z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