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244942" w:rsidP="0016778D">
      <w:pPr>
        <w:pStyle w:val="Doc-title"/>
      </w:pPr>
      <w:hyperlink r:id="rId8" w:tooltip="C:UsersjohanOneDriveDokument3GPPtsg_ranWG2_RL2RAN2DocsR2-2300708.zip" w:history="1">
        <w:r w:rsidR="0016778D" w:rsidRPr="00977B26">
          <w:rPr>
            <w:rStyle w:val="af8"/>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9"/>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lastRenderedPageBreak/>
              <w:t>(with 16 segments)</w:t>
            </w:r>
          </w:p>
        </w:tc>
        <w:tc>
          <w:tcPr>
            <w:tcW w:w="1701" w:type="dxa"/>
          </w:tcPr>
          <w:p w14:paraId="4781791A" w14:textId="77777777" w:rsidR="00814D2C" w:rsidRDefault="00814D2C" w:rsidP="00534C4F">
            <w:pPr>
              <w:spacing w:after="60"/>
            </w:pPr>
            <w:r>
              <w:lastRenderedPageBreak/>
              <w:t>Medium</w:t>
            </w:r>
          </w:p>
          <w:p w14:paraId="4D0FC3DE" w14:textId="77777777" w:rsidR="00814D2C" w:rsidRDefault="00814D2C" w:rsidP="00534C4F">
            <w:r>
              <w:t xml:space="preserve">(~20ms RRC </w:t>
            </w:r>
            <w:r>
              <w:lastRenderedPageBreak/>
              <w:t>signaling latency)</w:t>
            </w:r>
          </w:p>
        </w:tc>
        <w:tc>
          <w:tcPr>
            <w:tcW w:w="1686" w:type="dxa"/>
          </w:tcPr>
          <w:p w14:paraId="70DA0B4A" w14:textId="77777777" w:rsidR="00814D2C" w:rsidRDefault="00814D2C" w:rsidP="00534C4F">
            <w:r>
              <w:lastRenderedPageBreak/>
              <w:t xml:space="preserve">Up to UE implementation </w:t>
            </w:r>
            <w:r>
              <w:lastRenderedPageBreak/>
              <w:t>when to report</w:t>
            </w:r>
          </w:p>
        </w:tc>
        <w:tc>
          <w:tcPr>
            <w:tcW w:w="1858" w:type="dxa"/>
          </w:tcPr>
          <w:p w14:paraId="77F00872" w14:textId="77777777" w:rsidR="00814D2C" w:rsidRDefault="00814D2C" w:rsidP="00534C4F">
            <w:r w:rsidRPr="004F315E">
              <w:lastRenderedPageBreak/>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4"/>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af6"/>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same issue is found for </w:t>
            </w:r>
            <w:r>
              <w:t xml:space="preserve">Report latency column, the differentiation principle is not consistent, for any data collection framework using RRC </w:t>
            </w:r>
            <w:r>
              <w:lastRenderedPageBreak/>
              <w:t>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We understand the ‘report latency’ refers to the time between data collected until collected data is reported successfully, which includes both 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lastRenderedPageBreak/>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af6"/>
              <w:numPr>
                <w:ilvl w:val="0"/>
                <w:numId w:val="14"/>
              </w:numPr>
              <w:spacing w:before="100" w:beforeAutospacing="1" w:after="0"/>
              <w:ind w:firstLineChars="0"/>
            </w:pPr>
            <w:r>
              <w:t>SON is not included.</w:t>
            </w:r>
          </w:p>
          <w:p w14:paraId="1B94465C" w14:textId="77777777" w:rsidR="006F3A13" w:rsidRDefault="006F3A13" w:rsidP="00D95EBE">
            <w:pPr>
              <w:pStyle w:val="af6"/>
              <w:numPr>
                <w:ilvl w:val="0"/>
                <w:numId w:val="14"/>
              </w:numPr>
              <w:spacing w:before="100" w:beforeAutospacing="1" w:after="0"/>
              <w:ind w:firstLineChars="0"/>
            </w:pPr>
            <w:r>
              <w:t xml:space="preserve">As we agreed that model delivery that serves the use cases in the SI is within </w:t>
            </w:r>
            <w:proofErr w:type="spellStart"/>
            <w:r>
              <w:t>RAN2</w:t>
            </w:r>
            <w:proofErr w:type="spellEnd"/>
            <w:r>
              <w:t xml:space="preserve">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af6"/>
              <w:numPr>
                <w:ilvl w:val="0"/>
                <w:numId w:val="14"/>
              </w:numPr>
              <w:spacing w:before="100" w:beforeAutospacing="1" w:after="0"/>
              <w:ind w:firstLineChars="0"/>
            </w:pPr>
            <w:r>
              <w:rPr>
                <w:rFonts w:eastAsia="等线"/>
              </w:rPr>
              <w:t xml:space="preserve">For the terminated entity, the current content is misleading that </w:t>
            </w:r>
            <w:proofErr w:type="spellStart"/>
            <w:r>
              <w:rPr>
                <w:rFonts w:eastAsia="等线"/>
              </w:rPr>
              <w:t>gNB</w:t>
            </w:r>
            <w:proofErr w:type="spellEnd"/>
            <w:r>
              <w:rPr>
                <w:rFonts w:eastAsia="等线"/>
              </w:rPr>
              <w:t>/</w:t>
            </w:r>
            <w:proofErr w:type="spellStart"/>
            <w:r>
              <w:rPr>
                <w:rFonts w:eastAsia="等线"/>
              </w:rPr>
              <w:t>LMF</w:t>
            </w:r>
            <w:proofErr w:type="spellEnd"/>
            <w:r>
              <w:rPr>
                <w:rFonts w:eastAsia="等线"/>
              </w:rPr>
              <w:t xml:space="preserve"> can provide data to </w:t>
            </w:r>
            <w:proofErr w:type="spellStart"/>
            <w:r>
              <w:rPr>
                <w:rFonts w:eastAsia="等线"/>
              </w:rPr>
              <w:t>gNB</w:t>
            </w:r>
            <w:proofErr w:type="spellEnd"/>
            <w:r>
              <w:rPr>
                <w:rFonts w:eastAsia="等线"/>
              </w:rPr>
              <w:t xml:space="preserve">. We </w:t>
            </w:r>
            <w:proofErr w:type="spellStart"/>
            <w:r>
              <w:rPr>
                <w:rFonts w:eastAsia="等线"/>
              </w:rPr>
              <w:t>supporse</w:t>
            </w:r>
            <w:proofErr w:type="spellEnd"/>
            <w:r>
              <w:rPr>
                <w:rFonts w:eastAsia="等线"/>
              </w:rPr>
              <w:t xml:space="preserve"> it shall be ‘</w:t>
            </w:r>
            <w:proofErr w:type="spellStart"/>
            <w:r>
              <w:rPr>
                <w:rFonts w:eastAsia="等线"/>
              </w:rPr>
              <w:t>TCE</w:t>
            </w:r>
            <w:proofErr w:type="spellEnd"/>
            <w:r>
              <w:rPr>
                <w:rFonts w:eastAsia="等线"/>
              </w:rPr>
              <w:t xml:space="preserve">, </w:t>
            </w:r>
            <w:proofErr w:type="spellStart"/>
            <w:r>
              <w:rPr>
                <w:rFonts w:eastAsia="等线"/>
              </w:rPr>
              <w:t>LMF</w:t>
            </w:r>
            <w:proofErr w:type="spellEnd"/>
            <w:r>
              <w:rPr>
                <w:rFonts w:eastAsia="等线"/>
              </w:rPr>
              <w:t xml:space="preserve"> or </w:t>
            </w:r>
            <w:proofErr w:type="spellStart"/>
            <w:r>
              <w:rPr>
                <w:rFonts w:eastAsia="等线"/>
              </w:rPr>
              <w:t>gNB</w:t>
            </w:r>
            <w:proofErr w:type="spellEnd"/>
            <w:r>
              <w:rPr>
                <w:rFonts w:eastAsia="等线"/>
              </w:rPr>
              <w:t>’, rather than ‘between UE and xxx’</w:t>
            </w:r>
          </w:p>
          <w:p w14:paraId="778E3EF2" w14:textId="77777777" w:rsidR="006F3A13" w:rsidRDefault="006F3A13" w:rsidP="00D95EBE">
            <w:pPr>
              <w:pStyle w:val="af6"/>
              <w:numPr>
                <w:ilvl w:val="0"/>
                <w:numId w:val="14"/>
              </w:numPr>
              <w:spacing w:before="100" w:beforeAutospacing="1" w:after="0"/>
              <w:ind w:firstLineChars="0"/>
            </w:pPr>
            <w:r>
              <w:rPr>
                <w:rFonts w:eastAsia="等线" w:hint="eastAsia"/>
              </w:rPr>
              <w:t>F</w:t>
            </w:r>
            <w:r>
              <w:rPr>
                <w:rFonts w:eastAsia="等线"/>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af6"/>
              <w:numPr>
                <w:ilvl w:val="0"/>
                <w:numId w:val="14"/>
              </w:numPr>
              <w:spacing w:before="100" w:beforeAutospacing="1" w:after="0"/>
              <w:ind w:firstLineChars="0"/>
            </w:pPr>
            <w:r>
              <w:rPr>
                <w:rFonts w:eastAsia="等线" w:hint="eastAsia"/>
              </w:rPr>
              <w:t>F</w:t>
            </w:r>
            <w:r>
              <w:rPr>
                <w:rFonts w:eastAsia="等线"/>
              </w:rPr>
              <w:t>or the latency, it can also split into ‘latency to generate the data’ and ‘latency to report the data after generated’</w:t>
            </w:r>
          </w:p>
          <w:p w14:paraId="7180A743" w14:textId="77777777" w:rsidR="006F3A13" w:rsidRDefault="006F3A13" w:rsidP="006F3A13">
            <w:r>
              <w:rPr>
                <w:rFonts w:eastAsia="等线" w:hint="eastAsia"/>
              </w:rPr>
              <w:t>F</w:t>
            </w:r>
            <w:r>
              <w:rPr>
                <w:rFonts w:eastAsia="等线"/>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between the UE has collected data and collected data is reported successfully. So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w:t>
            </w:r>
            <w:r>
              <w:rPr>
                <w:rFonts w:hint="eastAsia"/>
                <w:lang w:eastAsia="zh-CN"/>
              </w:rPr>
              <w:lastRenderedPageBreak/>
              <w:t>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hint="eastAsia"/>
                <w:bCs/>
                <w:lang w:eastAsia="zh-CN"/>
              </w:rPr>
            </w:pPr>
            <w:proofErr w:type="spellStart"/>
            <w:r>
              <w:rPr>
                <w:rFonts w:eastAsiaTheme="minorEastAsia" w:hint="eastAsia"/>
                <w:bCs/>
                <w:lang w:eastAsia="zh-CN"/>
              </w:rPr>
              <w:t>Z</w:t>
            </w:r>
            <w:r>
              <w:rPr>
                <w:rFonts w:eastAsiaTheme="minorEastAsia"/>
                <w:bCs/>
                <w:lang w:eastAsia="zh-CN"/>
              </w:rPr>
              <w:t>TE</w:t>
            </w:r>
            <w:proofErr w:type="spellEnd"/>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egrading payload size of the ‘</w:t>
            </w:r>
            <w:proofErr w:type="spellStart"/>
            <w:r>
              <w:rPr>
                <w:lang w:eastAsia="zh-CN"/>
              </w:rPr>
              <w:t>EVEX</w:t>
            </w:r>
            <w:proofErr w:type="spellEnd"/>
            <w:r>
              <w:rPr>
                <w:lang w:eastAsia="zh-CN"/>
              </w:rPr>
              <w:t xml:space="preserve">’, it is hard to understand about the ‘support all file sizes’ ,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9"/>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 xml:space="preserve">CSI reporting </w:t>
                  </w:r>
                  <w:r>
                    <w:rPr>
                      <w:lang w:val="en-GB"/>
                    </w:rPr>
                    <w:lastRenderedPageBreak/>
                    <w:t>framework</w:t>
                  </w:r>
                </w:p>
              </w:tc>
              <w:tc>
                <w:tcPr>
                  <w:tcW w:w="1435" w:type="dxa"/>
                </w:tcPr>
                <w:p w14:paraId="435EE066" w14:textId="77777777" w:rsidR="00E46B61" w:rsidRDefault="00E46B61" w:rsidP="00E46B61">
                  <w:pPr>
                    <w:rPr>
                      <w:lang w:val="en-GB"/>
                    </w:rPr>
                  </w:pPr>
                  <w:r>
                    <w:rPr>
                      <w:lang w:val="en-GB"/>
                    </w:rPr>
                    <w:lastRenderedPageBreak/>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lastRenderedPageBreak/>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lastRenderedPageBreak/>
                    <w:t>Slot-level</w:t>
                  </w:r>
                </w:p>
                <w:p w14:paraId="470EECB2" w14:textId="77777777" w:rsidR="00E46B61" w:rsidRDefault="00E46B61" w:rsidP="00E46B61">
                  <w:pPr>
                    <w:rPr>
                      <w:lang w:val="en-GB"/>
                    </w:rPr>
                  </w:pPr>
                  <w:r>
                    <w:rPr>
                      <w:lang w:val="en-GB"/>
                    </w:rPr>
                    <w:lastRenderedPageBreak/>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af6"/>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af6"/>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af6"/>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af6"/>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af6"/>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lastRenderedPageBreak/>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f0"/>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f0"/>
              <w:spacing w:after="0"/>
              <w:rPr>
                <w:rFonts w:ascii="Arial" w:hAnsi="Arial" w:cs="Arial"/>
                <w:b/>
                <w:bCs/>
                <w:lang w:eastAsia="zh-CN"/>
              </w:rPr>
            </w:pPr>
          </w:p>
          <w:p w14:paraId="4E5E2920" w14:textId="77777777" w:rsidR="00041CFB" w:rsidRPr="00160EAD" w:rsidRDefault="00041CFB" w:rsidP="00041CFB">
            <w:pPr>
              <w:pStyle w:val="af0"/>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af6"/>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af0"/>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af0"/>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 xml:space="preserve">We are fine to further discuss the aspects proposed by Intel. In addition, we think the RRC state when the UE performs data collection and applicable use cases for each framework can also be </w:t>
            </w:r>
            <w:r>
              <w:rPr>
                <w:lang w:eastAsia="zh-CN"/>
              </w:rPr>
              <w:lastRenderedPageBreak/>
              <w:t>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hint="eastAsia"/>
                <w:bCs/>
              </w:rPr>
            </w:pPr>
            <w:proofErr w:type="spellStart"/>
            <w:r>
              <w:rPr>
                <w:rFonts w:eastAsiaTheme="minorEastAsia" w:hint="eastAsia"/>
                <w:bCs/>
                <w:lang w:eastAsia="zh-CN"/>
              </w:rPr>
              <w:t>Z</w:t>
            </w:r>
            <w:r>
              <w:rPr>
                <w:rFonts w:eastAsiaTheme="minorEastAsia"/>
                <w:bCs/>
                <w:lang w:eastAsia="zh-CN"/>
              </w:rPr>
              <w:t>TE</w:t>
            </w:r>
            <w:proofErr w:type="spellEnd"/>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 xml:space="preserve">egarding the table provided by intel, the suitable data type can be FFS whether to be added, the measurement duration and report interval can be taken into account to merge into the table of the </w:t>
            </w:r>
            <w:proofErr w:type="spellStart"/>
            <w:r>
              <w:rPr>
                <w:lang w:eastAsia="zh-CN"/>
              </w:rPr>
              <w:t>Q1</w:t>
            </w:r>
            <w:proofErr w:type="spellEnd"/>
            <w:r>
              <w:rPr>
                <w:lang w:eastAsia="zh-CN"/>
              </w:rPr>
              <w:t>.</w:t>
            </w:r>
          </w:p>
        </w:tc>
        <w:tc>
          <w:tcPr>
            <w:tcW w:w="3007" w:type="dxa"/>
          </w:tcPr>
          <w:p w14:paraId="6C8AF9EC" w14:textId="77777777" w:rsidR="00755FF3" w:rsidRPr="00CE0FE0" w:rsidRDefault="00755FF3" w:rsidP="00755FF3">
            <w:pPr>
              <w:spacing w:after="0"/>
              <w:rPr>
                <w:rFonts w:eastAsiaTheme="minorEastAsia"/>
                <w:bCs/>
                <w:lang w:eastAsia="zh-CN"/>
              </w:rPr>
            </w:pPr>
          </w:p>
        </w:tc>
      </w:tr>
    </w:tbl>
    <w:p w14:paraId="0AF08829" w14:textId="77777777" w:rsidR="00E55380" w:rsidRPr="0016778D" w:rsidRDefault="00E55380" w:rsidP="0016778D"/>
    <w:p w14:paraId="14B0CD12" w14:textId="71824A48" w:rsidR="00D16F52" w:rsidRPr="000F12E7" w:rsidRDefault="00D16F52" w:rsidP="000F12E7">
      <w:pPr>
        <w:pStyle w:val="af4"/>
        <w:rPr>
          <w:color w:val="auto"/>
        </w:rPr>
      </w:pPr>
      <w:bookmarkStart w:id="1" w:name="_GoBack"/>
      <w:bookmarkEnd w:id="0"/>
      <w:bookmarkEnd w:id="1"/>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4"/>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4"/>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8"/>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4441C" w14:textId="77777777" w:rsidR="00244942" w:rsidRDefault="00244942">
      <w:r>
        <w:separator/>
      </w:r>
    </w:p>
    <w:p w14:paraId="50159141" w14:textId="77777777" w:rsidR="00244942" w:rsidRDefault="00244942"/>
  </w:endnote>
  <w:endnote w:type="continuationSeparator" w:id="0">
    <w:p w14:paraId="4B4575EB" w14:textId="77777777" w:rsidR="00244942" w:rsidRDefault="00244942">
      <w:r>
        <w:continuationSeparator/>
      </w:r>
    </w:p>
    <w:p w14:paraId="42C9A159" w14:textId="77777777" w:rsidR="00244942" w:rsidRDefault="00244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5903" w14:textId="77777777" w:rsidR="00244942" w:rsidRDefault="00244942">
      <w:r>
        <w:separator/>
      </w:r>
    </w:p>
    <w:p w14:paraId="55628EE5" w14:textId="77777777" w:rsidR="00244942" w:rsidRDefault="00244942"/>
  </w:footnote>
  <w:footnote w:type="continuationSeparator" w:id="0">
    <w:p w14:paraId="3E875683" w14:textId="77777777" w:rsidR="00244942" w:rsidRDefault="00244942">
      <w:r>
        <w:continuationSeparator/>
      </w:r>
    </w:p>
    <w:p w14:paraId="690EC1BE" w14:textId="77777777" w:rsidR="00244942" w:rsidRDefault="00244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63C91">
      <w:rPr>
        <w:rFonts w:ascii="Arial" w:hAnsi="Arial" w:cs="Arial"/>
        <w:b/>
        <w:bCs/>
        <w:noProof/>
        <w:sz w:val="18"/>
      </w:rPr>
      <w:t>1</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6"/>
  </w:num>
  <w:num w:numId="6">
    <w:abstractNumId w:val="7"/>
  </w:num>
  <w:num w:numId="7">
    <w:abstractNumId w:val="9"/>
  </w:num>
  <w:num w:numId="8">
    <w:abstractNumId w:val="3"/>
  </w:num>
  <w:num w:numId="9">
    <w:abstractNumId w:val="10"/>
  </w:num>
  <w:num w:numId="10">
    <w:abstractNumId w:val="4"/>
  </w:num>
  <w:num w:numId="11">
    <w:abstractNumId w:val="5"/>
  </w:num>
  <w:num w:numId="12">
    <w:abstractNumId w:val="2"/>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a0"/>
    <w:link w:val="af7"/>
    <w:uiPriority w:val="99"/>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c">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d">
    <w:name w:val="table of figures"/>
    <w:basedOn w:val="af0"/>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e">
    <w:name w:val="FollowedHyperlink"/>
    <w:basedOn w:val="a1"/>
    <w:uiPriority w:val="99"/>
    <w:semiHidden/>
    <w:unhideWhenUsed/>
    <w:rsid w:val="00E505D5"/>
    <w:rPr>
      <w:color w:val="954F72" w:themeColor="followedHyperlink"/>
      <w:u w:val="single"/>
    </w:rPr>
  </w:style>
  <w:style w:type="character" w:styleId="aff">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1">
    <w:name w:val="未处理的提及1"/>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8426-86EF-4EBB-B7AA-ECC1558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14723</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ZTE-Fei Dong</cp:lastModifiedBy>
  <cp:revision>2</cp:revision>
  <cp:lastPrinted>2017-03-22T08:13:00Z</cp:lastPrinted>
  <dcterms:created xsi:type="dcterms:W3CDTF">2023-03-02T15:59:00Z</dcterms:created>
  <dcterms:modified xsi:type="dcterms:W3CDTF">2023-03-02T15:59:00Z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