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F5" w:rsidRDefault="005112BD">
      <w:pPr>
        <w:pStyle w:val="Header"/>
        <w:tabs>
          <w:tab w:val="right" w:pos="9639"/>
        </w:tabs>
        <w:jc w:val="both"/>
        <w:rPr>
          <w:bCs/>
          <w:i/>
          <w:sz w:val="24"/>
          <w:szCs w:val="24"/>
        </w:rPr>
      </w:pPr>
      <w:r>
        <w:rPr>
          <w:bCs/>
          <w:sz w:val="24"/>
          <w:szCs w:val="24"/>
        </w:rPr>
        <w:t>3GPP TSG-RAN WG2 Meeting #119bis Electronic</w:t>
      </w:r>
      <w:r>
        <w:rPr>
          <w:bCs/>
          <w:sz w:val="24"/>
          <w:szCs w:val="24"/>
        </w:rPr>
        <w:tab/>
        <w:t>R2-221xxxx</w:t>
      </w:r>
    </w:p>
    <w:p w:rsidR="00D02DF5" w:rsidRDefault="005112BD">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rsidR="00D02DF5" w:rsidRDefault="00D02DF5">
      <w:pPr>
        <w:pStyle w:val="Header"/>
        <w:rPr>
          <w:bCs/>
          <w:sz w:val="24"/>
        </w:rPr>
      </w:pPr>
    </w:p>
    <w:p w:rsidR="00D02DF5" w:rsidRDefault="00D02DF5">
      <w:pPr>
        <w:pStyle w:val="Header"/>
        <w:rPr>
          <w:bCs/>
          <w:sz w:val="24"/>
        </w:rPr>
      </w:pPr>
    </w:p>
    <w:p w:rsidR="00D02DF5" w:rsidRDefault="005112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rsidR="00D02DF5" w:rsidRDefault="005112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D02DF5" w:rsidRDefault="005112BD">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[AT119bis-e][801][R17 SON/MDT] MDT override solution direction (Nokia)</w:t>
      </w:r>
    </w:p>
    <w:p w:rsidR="00D02DF5" w:rsidRDefault="005112BD">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rsidR="00D02DF5" w:rsidRDefault="005112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02DF5" w:rsidRDefault="005112BD">
      <w:pPr>
        <w:pStyle w:val="Heading1"/>
      </w:pPr>
      <w:r>
        <w:t>1</w:t>
      </w:r>
      <w:r>
        <w:tab/>
        <w:t>Introduction</w:t>
      </w:r>
    </w:p>
    <w:p w:rsidR="00D02DF5" w:rsidRDefault="005112BD">
      <w:r>
        <w:t>This document is to discuss solution direction for Signalling based Logged MDT configuration override protection, in inter-RAT scenario, according to the following scope:</w:t>
      </w:r>
    </w:p>
    <w:p w:rsidR="00D02DF5" w:rsidRDefault="005112BD">
      <w:pPr>
        <w:pStyle w:val="Doc-text2"/>
        <w:numPr>
          <w:ilvl w:val="0"/>
          <w:numId w:val="1"/>
        </w:numPr>
        <w:tabs>
          <w:tab w:val="clear" w:pos="1619"/>
        </w:tabs>
        <w:rPr>
          <w:b/>
        </w:rPr>
      </w:pPr>
      <w:r>
        <w:rPr>
          <w:b/>
        </w:rPr>
        <w:t>[AT119bis-e][801][R17 SON/MDT] MDT override solution direction (Nokia)</w:t>
      </w:r>
    </w:p>
    <w:p w:rsidR="00D02DF5" w:rsidRDefault="005112BD">
      <w:pPr>
        <w:pStyle w:val="Doc-text2"/>
        <w:ind w:left="1619" w:firstLine="0"/>
      </w:pPr>
      <w:r>
        <w:t>Compare the solution based on P2/3/4 in R2-2210797 with the solution in R2-2210301 and figure out the WF</w:t>
      </w:r>
    </w:p>
    <w:p w:rsidR="00D02DF5" w:rsidRDefault="005112BD">
      <w:pPr>
        <w:pStyle w:val="Doc-text2"/>
      </w:pPr>
      <w:r>
        <w:tab/>
        <w:t>Intended outcome: Report</w:t>
      </w:r>
    </w:p>
    <w:p w:rsidR="00D02DF5" w:rsidRDefault="005112BD">
      <w:pPr>
        <w:pStyle w:val="Doc-text2"/>
        <w:rPr>
          <w:color w:val="FF0000"/>
          <w:vertAlign w:val="superscript"/>
        </w:rPr>
      </w:pPr>
      <w:r>
        <w:tab/>
      </w:r>
      <w:r>
        <w:rPr>
          <w:color w:val="FF0000"/>
        </w:rPr>
        <w:t>Deadline: 04:44 UTC, Friday October 14</w:t>
      </w:r>
      <w:r>
        <w:rPr>
          <w:color w:val="FF0000"/>
          <w:vertAlign w:val="superscript"/>
        </w:rPr>
        <w:t>th</w:t>
      </w:r>
    </w:p>
    <w:p w:rsidR="00D02DF5" w:rsidRDefault="005112BD">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rsidR="00D02DF5" w:rsidRDefault="005112BD">
      <w:r>
        <w:t xml:space="preserve">It collects summarizes proposals made in [1], [2], proposing to conclude how to achieve the override protection for LTE Logged MDT, when the UE moves to NR from LTE. </w:t>
      </w:r>
    </w:p>
    <w:p w:rsidR="00D02DF5" w:rsidRDefault="005112BD">
      <w:pPr>
        <w:pStyle w:val="Heading1"/>
      </w:pPr>
      <w:r>
        <w:t>2</w:t>
      </w:r>
      <w:r>
        <w:tab/>
        <w:t>Contact List</w:t>
      </w:r>
    </w:p>
    <w:p w:rsidR="00D02DF5" w:rsidRDefault="005112BD">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Zhihong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r w:rsidR="00BA0683" w:rsidRPr="00BA0683">
              <w:rPr>
                <w:rFonts w:ascii="Arial" w:eastAsia="SimSun" w:hAnsi="Arial" w:cs="Arial"/>
                <w:sz w:val="18"/>
                <w:szCs w:val="18"/>
                <w:lang w:val="en-US" w:eastAsia="zh-CN"/>
              </w:rPr>
              <w:t>Huawei</w:t>
            </w:r>
            <w:r w:rsidR="00BA0683">
              <w:rPr>
                <w:rFonts w:ascii="Arial" w:eastAsia="SimSun" w:hAnsi="Arial" w:cs="Arial"/>
                <w:sz w:val="18"/>
                <w:szCs w:val="18"/>
                <w:lang w:val="en-US" w:eastAsia="zh-CN"/>
              </w:rPr>
              <w:t>, HiSilicon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BA0683">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BA0683">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r w:rsidR="006A7537">
              <w:rPr>
                <w:rFonts w:ascii="Arial" w:eastAsia="SimSun" w:hAnsi="Arial" w:cs="Arial"/>
                <w:sz w:val="18"/>
                <w:szCs w:val="18"/>
                <w:lang w:val="en-US" w:eastAsia="zh-CN"/>
              </w:rPr>
              <w:t>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6A753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6A753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pStyle w:val="Heading1"/>
      </w:pPr>
      <w:r>
        <w:t>3</w:t>
      </w:r>
      <w:r>
        <w:tab/>
        <w:t>Discussion</w:t>
      </w:r>
    </w:p>
    <w:p w:rsidR="00D02DF5" w:rsidRDefault="005112BD">
      <w:pPr>
        <w:pStyle w:val="Heading2"/>
      </w:pPr>
      <w:r>
        <w:t>3.1</w:t>
      </w:r>
      <w:r>
        <w:tab/>
        <w:t>Agreed s</w:t>
      </w:r>
      <w:r>
        <w:rPr>
          <w:lang w:eastAsia="zh-CN"/>
        </w:rPr>
        <w:t>olution baseline</w:t>
      </w:r>
    </w:p>
    <w:p w:rsidR="00D02DF5" w:rsidRDefault="005112BD">
      <w:pPr>
        <w:rPr>
          <w:lang w:val="en-US"/>
        </w:rPr>
      </w:pPr>
      <w:r>
        <w:rPr>
          <w:lang w:val="en-US"/>
        </w:rPr>
        <w:t>In RAN2#119-e, the following agreement was made [10]:</w:t>
      </w:r>
    </w:p>
    <w:p w:rsidR="00D02DF5" w:rsidRDefault="005112BD">
      <w:pPr>
        <w:pStyle w:val="Doc-text2"/>
        <w:pBdr>
          <w:top w:val="single" w:sz="4" w:space="1" w:color="auto"/>
          <w:left w:val="single" w:sz="4" w:space="4" w:color="auto"/>
          <w:bottom w:val="single" w:sz="4" w:space="1" w:color="auto"/>
          <w:right w:val="single" w:sz="4" w:space="4" w:color="auto"/>
        </w:pBdr>
      </w:pPr>
      <w:r>
        <w:t>Agreement:</w:t>
      </w:r>
    </w:p>
    <w:p w:rsidR="00D02DF5" w:rsidRDefault="005112BD">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rsidR="00D02DF5" w:rsidRDefault="005112BD">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rsidR="00D02DF5" w:rsidRDefault="005112BD">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rsidR="00D02DF5" w:rsidRDefault="00D02DF5">
      <w:pPr>
        <w:rPr>
          <w:rFonts w:ascii="Arial" w:hAnsi="Arial" w:cs="Arial"/>
          <w:lang w:val="en-US"/>
        </w:rPr>
      </w:pPr>
    </w:p>
    <w:p w:rsidR="00D02DF5" w:rsidRDefault="005112BD">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rsidR="00D02DF5" w:rsidRDefault="00D02DF5">
      <w:pPr>
        <w:spacing w:after="0"/>
        <w:rPr>
          <w:rFonts w:ascii="Arial" w:hAnsi="Arial" w:cs="Arial"/>
          <w:b/>
          <w:bCs/>
          <w:lang w:val="en-US"/>
        </w:rPr>
      </w:pPr>
    </w:p>
    <w:p w:rsidR="00D02DF5" w:rsidRDefault="005112BD">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rsidR="00D02DF5" w:rsidRDefault="00D02DF5">
      <w:pPr>
        <w:spacing w:after="0"/>
        <w:rPr>
          <w:rFonts w:ascii="Arial" w:hAnsi="Arial" w:cs="Arial"/>
          <w:b/>
          <w:bCs/>
          <w:lang w:val="en-US"/>
        </w:rPr>
      </w:pPr>
    </w:p>
    <w:p w:rsidR="00D02DF5" w:rsidRDefault="005112BD">
      <w:pPr>
        <w:pStyle w:val="Heading2"/>
      </w:pPr>
      <w:r>
        <w:t>3.2</w:t>
      </w:r>
      <w:r>
        <w:tab/>
      </w:r>
      <w:r>
        <w:rPr>
          <w:lang w:eastAsia="zh-CN"/>
        </w:rPr>
        <w:t>Alternate solutions for inter-RAT scenario</w:t>
      </w:r>
    </w:p>
    <w:p w:rsidR="00D02DF5" w:rsidRDefault="005112BD">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D02DF5">
        <w:tc>
          <w:tcPr>
            <w:tcW w:w="539" w:type="dxa"/>
          </w:tcPr>
          <w:p w:rsidR="00D02DF5" w:rsidRDefault="005112BD">
            <w:pPr>
              <w:rPr>
                <w:lang w:val="en-US"/>
              </w:rPr>
            </w:pPr>
            <w:r>
              <w:rPr>
                <w:lang w:val="en-US"/>
              </w:rPr>
              <w:t>L.p.</w:t>
            </w:r>
          </w:p>
        </w:tc>
        <w:tc>
          <w:tcPr>
            <w:tcW w:w="3175" w:type="dxa"/>
          </w:tcPr>
          <w:p w:rsidR="00D02DF5" w:rsidRDefault="005112BD">
            <w:pPr>
              <w:rPr>
                <w:lang w:val="en-US"/>
              </w:rPr>
            </w:pPr>
            <w:r>
              <w:rPr>
                <w:lang w:val="en-US"/>
              </w:rPr>
              <w:t>Methods</w:t>
            </w:r>
          </w:p>
        </w:tc>
        <w:tc>
          <w:tcPr>
            <w:tcW w:w="3652" w:type="dxa"/>
          </w:tcPr>
          <w:p w:rsidR="00D02DF5" w:rsidRDefault="005112BD">
            <w:pPr>
              <w:rPr>
                <w:lang w:val="en-US"/>
              </w:rPr>
            </w:pPr>
            <w:r>
              <w:rPr>
                <w:lang w:val="en-US"/>
              </w:rPr>
              <w:t>Pro</w:t>
            </w:r>
          </w:p>
        </w:tc>
        <w:tc>
          <w:tcPr>
            <w:tcW w:w="2410" w:type="dxa"/>
          </w:tcPr>
          <w:p w:rsidR="00D02DF5" w:rsidRDefault="005112BD">
            <w:pPr>
              <w:rPr>
                <w:lang w:val="en-US"/>
              </w:rPr>
            </w:pPr>
            <w:r>
              <w:rPr>
                <w:lang w:val="en-US"/>
              </w:rPr>
              <w:t>Cons</w:t>
            </w:r>
          </w:p>
        </w:tc>
      </w:tr>
      <w:tr w:rsidR="00D02DF5">
        <w:tc>
          <w:tcPr>
            <w:tcW w:w="539" w:type="dxa"/>
          </w:tcPr>
          <w:p w:rsidR="00D02DF5" w:rsidRDefault="005112BD">
            <w:pPr>
              <w:rPr>
                <w:lang w:val="en-US"/>
              </w:rPr>
            </w:pPr>
            <w:r>
              <w:rPr>
                <w:lang w:val="en-US"/>
              </w:rPr>
              <w:t>1</w:t>
            </w:r>
          </w:p>
        </w:tc>
        <w:tc>
          <w:tcPr>
            <w:tcW w:w="3175" w:type="dxa"/>
          </w:tcPr>
          <w:p w:rsidR="00D02DF5" w:rsidRDefault="005112BD">
            <w:pPr>
              <w:rPr>
                <w:lang w:val="en-US"/>
              </w:rPr>
            </w:pPr>
            <w:r>
              <w:rPr>
                <w:lang w:val="en-US"/>
              </w:rPr>
              <w:t xml:space="preserve">Override protection by simultaneous LTE and NR configuration – </w:t>
            </w:r>
          </w:p>
          <w:p w:rsidR="00D02DF5" w:rsidRDefault="005112BD">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rsidR="00D02DF5" w:rsidRDefault="005112BD">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rsidR="00D02DF5" w:rsidRDefault="005112BD">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rsidR="00D02DF5" w:rsidRDefault="005112BD">
            <w:pPr>
              <w:rPr>
                <w:lang w:val="en-US"/>
              </w:rPr>
            </w:pPr>
            <w:r>
              <w:rPr>
                <w:lang w:val="en-US"/>
              </w:rPr>
              <w:t xml:space="preserve">Simple solution – </w:t>
            </w:r>
          </w:p>
          <w:p w:rsidR="00D02DF5" w:rsidRDefault="005112BD">
            <w:pPr>
              <w:pStyle w:val="ListParagraph"/>
              <w:numPr>
                <w:ilvl w:val="0"/>
                <w:numId w:val="4"/>
              </w:numPr>
              <w:ind w:left="0" w:firstLine="0"/>
              <w:rPr>
                <w:lang w:val="en-US"/>
              </w:rPr>
            </w:pPr>
            <w:r>
              <w:rPr>
                <w:lang w:val="en-US"/>
              </w:rPr>
              <w:t xml:space="preserve">Requires onetime indication – no indication required upon cell change </w:t>
            </w:r>
          </w:p>
          <w:p w:rsidR="00D02DF5" w:rsidRDefault="005112BD">
            <w:pPr>
              <w:pStyle w:val="ListParagraph"/>
              <w:numPr>
                <w:ilvl w:val="0"/>
                <w:numId w:val="4"/>
              </w:numPr>
              <w:ind w:left="0" w:firstLine="0"/>
              <w:rPr>
                <w:lang w:val="en-US"/>
              </w:rPr>
            </w:pPr>
            <w:r>
              <w:rPr>
                <w:lang w:val="en-US"/>
              </w:rPr>
              <w:t xml:space="preserve">No need for cross-RAT signaling </w:t>
            </w:r>
          </w:p>
          <w:p w:rsidR="00D02DF5" w:rsidRDefault="005112BD">
            <w:pPr>
              <w:pStyle w:val="ListParagraph"/>
              <w:numPr>
                <w:ilvl w:val="0"/>
                <w:numId w:val="4"/>
              </w:numPr>
              <w:ind w:left="0" w:firstLine="0"/>
              <w:rPr>
                <w:lang w:val="en-US"/>
              </w:rPr>
            </w:pPr>
            <w:r>
              <w:rPr>
                <w:lang w:val="en-US"/>
              </w:rPr>
              <w:t>No need for cross RAT report</w:t>
            </w:r>
          </w:p>
        </w:tc>
        <w:tc>
          <w:tcPr>
            <w:tcW w:w="2410" w:type="dxa"/>
          </w:tcPr>
          <w:p w:rsidR="00D02DF5" w:rsidRDefault="005112BD">
            <w:pPr>
              <w:rPr>
                <w:lang w:val="en-US"/>
              </w:rPr>
            </w:pPr>
            <w:r>
              <w:rPr>
                <w:lang w:val="en-US"/>
              </w:rPr>
              <w:t xml:space="preserve">No drawback - </w:t>
            </w:r>
          </w:p>
        </w:tc>
      </w:tr>
      <w:tr w:rsidR="00D02DF5">
        <w:tc>
          <w:tcPr>
            <w:tcW w:w="539" w:type="dxa"/>
          </w:tcPr>
          <w:p w:rsidR="00D02DF5" w:rsidRDefault="005112BD">
            <w:pPr>
              <w:rPr>
                <w:lang w:val="en-US"/>
              </w:rPr>
            </w:pPr>
            <w:r>
              <w:rPr>
                <w:lang w:val="en-US"/>
              </w:rPr>
              <w:t>2</w:t>
            </w:r>
          </w:p>
        </w:tc>
        <w:tc>
          <w:tcPr>
            <w:tcW w:w="3175" w:type="dxa"/>
          </w:tcPr>
          <w:p w:rsidR="00D02DF5" w:rsidRDefault="005112BD">
            <w:pPr>
              <w:rPr>
                <w:lang w:val="en-US"/>
              </w:rPr>
            </w:pPr>
            <w:r>
              <w:rPr>
                <w:lang w:val="en-US"/>
              </w:rPr>
              <w:t xml:space="preserve">Override protection by cross-RAT signaling but no cross-RAT reporting of LTE logged MDT report - </w:t>
            </w:r>
          </w:p>
          <w:p w:rsidR="00D02DF5" w:rsidRDefault="005112BD">
            <w:pPr>
              <w:pStyle w:val="ListParagraph"/>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rsidR="00D02DF5" w:rsidRDefault="005112BD">
            <w:pPr>
              <w:pStyle w:val="ListParagraph"/>
              <w:numPr>
                <w:ilvl w:val="0"/>
                <w:numId w:val="5"/>
              </w:numPr>
              <w:ind w:left="0" w:firstLine="0"/>
              <w:rPr>
                <w:lang w:val="en-US"/>
              </w:rPr>
            </w:pPr>
            <w:r>
              <w:rPr>
                <w:lang w:val="en-US"/>
              </w:rPr>
              <w:t xml:space="preserve">No signaling for cross-RAT availability indication </w:t>
            </w:r>
          </w:p>
          <w:p w:rsidR="00D02DF5" w:rsidRDefault="005112BD">
            <w:pPr>
              <w:pStyle w:val="ListParagraph"/>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rsidR="00D02DF5" w:rsidRDefault="005112BD">
            <w:pPr>
              <w:rPr>
                <w:lang w:val="en-US"/>
              </w:rPr>
            </w:pPr>
            <w:r>
              <w:rPr>
                <w:lang w:val="en-US"/>
              </w:rPr>
              <w:t xml:space="preserve">Induce additional requirements at the UE, however, </w:t>
            </w:r>
          </w:p>
          <w:p w:rsidR="00D02DF5" w:rsidRDefault="005112BD">
            <w:pPr>
              <w:pStyle w:val="ListParagraph"/>
              <w:numPr>
                <w:ilvl w:val="0"/>
                <w:numId w:val="6"/>
              </w:numPr>
              <w:ind w:left="0" w:firstLine="0"/>
              <w:rPr>
                <w:lang w:val="en-US"/>
              </w:rPr>
            </w:pPr>
            <w:r>
              <w:rPr>
                <w:lang w:val="en-US"/>
              </w:rPr>
              <w:t>Can save UE memory if shared memory at the UE for NR and LTE</w:t>
            </w:r>
          </w:p>
          <w:p w:rsidR="00D02DF5" w:rsidRDefault="005112BD">
            <w:pPr>
              <w:pStyle w:val="ListParagraph"/>
              <w:numPr>
                <w:ilvl w:val="0"/>
                <w:numId w:val="6"/>
              </w:numPr>
              <w:ind w:left="0" w:firstLine="0"/>
              <w:rPr>
                <w:lang w:val="en-US"/>
              </w:rPr>
            </w:pPr>
            <w:r>
              <w:rPr>
                <w:lang w:val="en-US"/>
              </w:rPr>
              <w:t xml:space="preserve">Less complexity than cross-RAT logged MDT reporting </w:t>
            </w:r>
          </w:p>
        </w:tc>
        <w:tc>
          <w:tcPr>
            <w:tcW w:w="2410" w:type="dxa"/>
          </w:tcPr>
          <w:p w:rsidR="00D02DF5" w:rsidRDefault="005112BD">
            <w:pPr>
              <w:rPr>
                <w:lang w:val="en-US"/>
              </w:rPr>
            </w:pPr>
            <w:r>
              <w:rPr>
                <w:lang w:val="en-US"/>
              </w:rPr>
              <w:t xml:space="preserve">Requires cross-RAT signaling – </w:t>
            </w:r>
          </w:p>
          <w:p w:rsidR="00D02DF5" w:rsidRDefault="005112BD">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rsidR="00D02DF5" w:rsidRDefault="005112BD">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rsidR="00D02DF5" w:rsidRDefault="00D02DF5">
            <w:pPr>
              <w:rPr>
                <w:lang w:val="en-US"/>
              </w:rPr>
            </w:pPr>
          </w:p>
        </w:tc>
      </w:tr>
      <w:tr w:rsidR="00D02DF5">
        <w:tc>
          <w:tcPr>
            <w:tcW w:w="539" w:type="dxa"/>
          </w:tcPr>
          <w:p w:rsidR="00D02DF5" w:rsidRDefault="005112BD">
            <w:pPr>
              <w:rPr>
                <w:lang w:val="en-US"/>
              </w:rPr>
            </w:pPr>
            <w:r>
              <w:rPr>
                <w:lang w:val="en-US"/>
              </w:rPr>
              <w:lastRenderedPageBreak/>
              <w:t>3</w:t>
            </w:r>
          </w:p>
        </w:tc>
        <w:tc>
          <w:tcPr>
            <w:tcW w:w="3175" w:type="dxa"/>
          </w:tcPr>
          <w:p w:rsidR="00D02DF5" w:rsidRDefault="005112BD">
            <w:pPr>
              <w:rPr>
                <w:lang w:val="en-US"/>
              </w:rPr>
            </w:pPr>
            <w:r>
              <w:rPr>
                <w:lang w:val="en-US"/>
              </w:rPr>
              <w:t xml:space="preserve">Override protection by cross-RAT reporting of LTE logged MDT report - </w:t>
            </w:r>
          </w:p>
          <w:p w:rsidR="00D02DF5" w:rsidRDefault="005112BD">
            <w:pPr>
              <w:pStyle w:val="ListParagraph"/>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rsidR="00D02DF5" w:rsidRDefault="005112BD">
            <w:pPr>
              <w:pStyle w:val="ListParagraph"/>
              <w:numPr>
                <w:ilvl w:val="0"/>
                <w:numId w:val="5"/>
              </w:numPr>
              <w:ind w:left="0" w:firstLine="0"/>
              <w:rPr>
                <w:lang w:val="en-US"/>
              </w:rPr>
            </w:pPr>
            <w:r>
              <w:rPr>
                <w:lang w:val="en-US"/>
              </w:rPr>
              <w:t>UE can additionally indicate if it supports cross-RAT reporting of LTE logged MDT from NR to LTE</w:t>
            </w:r>
          </w:p>
          <w:p w:rsidR="00D02DF5" w:rsidRDefault="005112BD">
            <w:pPr>
              <w:pStyle w:val="ListParagraph"/>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rsidR="00D02DF5" w:rsidRDefault="005112BD">
            <w:pPr>
              <w:rPr>
                <w:lang w:val="en-US"/>
              </w:rPr>
            </w:pPr>
            <w:r>
              <w:rPr>
                <w:lang w:val="en-US"/>
              </w:rPr>
              <w:t>No benefit</w:t>
            </w:r>
          </w:p>
        </w:tc>
        <w:tc>
          <w:tcPr>
            <w:tcW w:w="2410" w:type="dxa"/>
          </w:tcPr>
          <w:p w:rsidR="00D02DF5" w:rsidRDefault="005112BD">
            <w:pPr>
              <w:rPr>
                <w:lang w:val="en-US"/>
              </w:rPr>
            </w:pPr>
            <w:r>
              <w:rPr>
                <w:lang w:val="en-US"/>
              </w:rPr>
              <w:t xml:space="preserve">Significantly high complexity </w:t>
            </w:r>
          </w:p>
        </w:tc>
      </w:tr>
    </w:tbl>
    <w:p w:rsidR="00D02DF5" w:rsidRDefault="00D02DF5">
      <w:pPr>
        <w:rPr>
          <w:rFonts w:ascii="Arial" w:hAnsi="Arial" w:cs="Arial"/>
          <w:lang w:val="en-US"/>
        </w:rPr>
      </w:pPr>
    </w:p>
    <w:p w:rsidR="00D02DF5" w:rsidRDefault="005112BD">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rsidR="00D02DF5" w:rsidRDefault="005112BD">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rsidR="00D02DF5" w:rsidRDefault="00D02DF5">
      <w:pPr>
        <w:rPr>
          <w:rFonts w:ascii="Arial" w:hAnsi="Arial" w:cs="Arial"/>
          <w:lang w:val="en-US"/>
        </w:rPr>
      </w:pPr>
    </w:p>
    <w:p w:rsidR="00D02DF5" w:rsidRDefault="005112BD">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signaling-based logged MDT protection only when UE moves to NR, i.e. when UE moves within EUTRA cells LTE signaling-based logged MDT protection is not supported. If UE supports simultaneous LTE and NR configuration by allocating separate memory and as LTE signaling-based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rsidR="00D02DF5" w:rsidRDefault="00D02DF5">
            <w:pPr>
              <w:spacing w:after="0"/>
              <w:ind w:left="45" w:right="45"/>
              <w:textAlignment w:val="baseline"/>
              <w:rPr>
                <w:rFonts w:ascii="Arial" w:hAnsi="Arial" w:cs="Arial"/>
                <w:sz w:val="18"/>
                <w:szCs w:val="18"/>
              </w:rPr>
            </w:pPr>
          </w:p>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signaling enhancement as mentioned in our paper such that the network can know that UE is capable of handling override protection of LTE logged MDT configuration without network involvement.   </w:t>
            </w:r>
          </w:p>
        </w:tc>
      </w:tr>
      <w:tr w:rsidR="00D02DF5">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Pr="00CA72F9" w:rsidRDefault="00CA72F9">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Pr="00CA72F9" w:rsidRDefault="00CA72F9">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953778"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rsidR="005C6381" w:rsidRDefault="005C6381" w:rsidP="00CA72F9">
            <w:pPr>
              <w:spacing w:after="0"/>
              <w:ind w:left="45" w:right="45"/>
              <w:textAlignment w:val="baseline"/>
              <w:rPr>
                <w:rFonts w:ascii="Arial" w:eastAsia="SimSun" w:hAnsi="Arial" w:cs="Arial"/>
                <w:sz w:val="18"/>
                <w:szCs w:val="18"/>
                <w:lang w:val="en-US" w:eastAsia="zh-CN"/>
              </w:rPr>
            </w:pPr>
          </w:p>
          <w:p w:rsidR="005C6381"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rsidR="005C6381" w:rsidRDefault="005C6381" w:rsidP="00CA72F9">
            <w:pPr>
              <w:spacing w:after="0"/>
              <w:ind w:left="45" w:right="45"/>
              <w:textAlignment w:val="baseline"/>
              <w:rPr>
                <w:rFonts w:ascii="Arial" w:eastAsia="SimSun" w:hAnsi="Arial" w:cs="Arial"/>
                <w:sz w:val="18"/>
                <w:szCs w:val="18"/>
                <w:lang w:val="en-US" w:eastAsia="zh-CN"/>
              </w:rPr>
            </w:pPr>
          </w:p>
          <w:p w:rsidR="002E0427"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Firstly, RAN2 can discuss the need and details, because it brings new impacts to UE side.</w:t>
            </w:r>
            <w:r w:rsidR="002E0427">
              <w:rPr>
                <w:rFonts w:ascii="Arial" w:eastAsia="SimSun" w:hAnsi="Arial" w:cs="Arial"/>
                <w:sz w:val="18"/>
                <w:szCs w:val="18"/>
                <w:lang w:val="en-US" w:eastAsia="zh-CN"/>
              </w:rPr>
              <w:t xml:space="preserve"> For example, from storage point of view, a LTE logged MDT capable UE shall support 64kB memory for log storage, and a NR logged MDT capable UE shall supprot 64kB memory for log storage. Based on the current spec, if the UE supports both LTE logged MDT and NR logged MDT, the UE can </w:t>
            </w:r>
            <w:r w:rsidR="00141728">
              <w:rPr>
                <w:rFonts w:ascii="Arial" w:eastAsia="SimSun" w:hAnsi="Arial" w:cs="Arial"/>
                <w:sz w:val="18"/>
                <w:szCs w:val="18"/>
                <w:lang w:val="en-US" w:eastAsia="zh-CN"/>
              </w:rPr>
              <w:t>support 64kB memory because the UE only stores one set of logged MDT config/reports.</w:t>
            </w:r>
            <w:r w:rsidR="00A400A0">
              <w:rPr>
                <w:rFonts w:ascii="Arial" w:eastAsia="SimSun" w:hAnsi="Arial" w:cs="Arial"/>
                <w:sz w:val="18"/>
                <w:szCs w:val="18"/>
                <w:lang w:val="en-US" w:eastAsia="zh-CN"/>
              </w:rPr>
              <w:t xml:space="preserve"> In other words, if “</w:t>
            </w:r>
            <w:r w:rsidR="00A400A0">
              <w:rPr>
                <w:lang w:val="en-US"/>
              </w:rPr>
              <w:t>simultaneous LTE and NR configuration</w:t>
            </w:r>
            <w:r w:rsidR="00A400A0">
              <w:rPr>
                <w:rFonts w:ascii="Arial" w:eastAsia="SimSun" w:hAnsi="Arial" w:cs="Arial"/>
                <w:sz w:val="18"/>
                <w:szCs w:val="18"/>
                <w:lang w:val="en-US" w:eastAsia="zh-CN"/>
              </w:rPr>
              <w:t>” is considered, the storage requirements will be different, which needs more discussions in RAN2</w:t>
            </w:r>
            <w:r w:rsidR="00241FAF">
              <w:rPr>
                <w:rFonts w:ascii="Arial" w:eastAsia="SimSun" w:hAnsi="Arial" w:cs="Arial"/>
                <w:sz w:val="18"/>
                <w:szCs w:val="18"/>
                <w:lang w:val="en-US" w:eastAsia="zh-CN"/>
              </w:rPr>
              <w:t>. We are not sure whehter there are other RAN2 impacts</w:t>
            </w:r>
            <w:r w:rsidR="00A87B5F">
              <w:rPr>
                <w:rFonts w:ascii="Arial" w:eastAsia="SimSun" w:hAnsi="Arial" w:cs="Arial"/>
                <w:sz w:val="18"/>
                <w:szCs w:val="18"/>
                <w:lang w:val="en-US" w:eastAsia="zh-CN"/>
              </w:rPr>
              <w:t xml:space="preserve"> or not</w:t>
            </w:r>
            <w:r w:rsidR="00241FAF">
              <w:rPr>
                <w:rFonts w:ascii="Arial" w:eastAsia="SimSun" w:hAnsi="Arial" w:cs="Arial"/>
                <w:sz w:val="18"/>
                <w:szCs w:val="18"/>
                <w:lang w:val="en-US" w:eastAsia="zh-CN"/>
              </w:rPr>
              <w:t>.</w:t>
            </w:r>
          </w:p>
          <w:p w:rsidR="002E0427" w:rsidRDefault="002E0427" w:rsidP="00CA72F9">
            <w:pPr>
              <w:spacing w:after="0"/>
              <w:ind w:left="45" w:right="45"/>
              <w:textAlignment w:val="baseline"/>
              <w:rPr>
                <w:rFonts w:ascii="Arial" w:eastAsia="SimSun" w:hAnsi="Arial" w:cs="Arial"/>
                <w:sz w:val="18"/>
                <w:szCs w:val="18"/>
                <w:lang w:val="en-US" w:eastAsia="zh-CN"/>
              </w:rPr>
            </w:pPr>
          </w:p>
          <w:p w:rsidR="005C6381"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rsidR="005C6381" w:rsidRDefault="005C6381" w:rsidP="005C6381">
            <w:pPr>
              <w:pStyle w:val="ListParagraph"/>
              <w:numPr>
                <w:ilvl w:val="0"/>
                <w:numId w:val="14"/>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If it is optional with signalling, what are the network behaviours? If NR network receives the capability, the override issue is solved. If NR network does not receive the capability, what should the network do?</w:t>
            </w:r>
          </w:p>
          <w:p w:rsidR="005C6381" w:rsidRPr="005C6381" w:rsidRDefault="005C6381" w:rsidP="005C6381">
            <w:pPr>
              <w:pStyle w:val="ListParagraph"/>
              <w:numPr>
                <w:ilvl w:val="0"/>
                <w:numId w:val="14"/>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f it is optional without signaling, the network will have no idea how the override issue has been solved (which of Ues), and thus we are not sure whether it is acceptable or not</w:t>
            </w:r>
          </w:p>
          <w:p w:rsidR="00D85B53" w:rsidRPr="005C6381" w:rsidRDefault="00D85B53" w:rsidP="005C6381">
            <w:pPr>
              <w:spacing w:after="0"/>
              <w:ind w:left="45" w:right="45"/>
              <w:textAlignment w:val="baseline"/>
              <w:rPr>
                <w:rFonts w:ascii="Arial" w:eastAsia="SimSun"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1A35A1">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1A35A1">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1A35A1" w:rsidRDefault="001A35A1" w:rsidP="001A35A1">
            <w:pPr>
              <w:spacing w:after="0"/>
              <w:ind w:left="45" w:right="45"/>
              <w:textAlignment w:val="baseline"/>
              <w:rPr>
                <w:rFonts w:ascii="Arial" w:eastAsia="SimSun" w:hAnsi="Arial" w:cs="Arial"/>
                <w:sz w:val="18"/>
                <w:szCs w:val="18"/>
                <w:lang w:val="en-US" w:eastAsia="zh-CN"/>
              </w:rPr>
            </w:pPr>
            <w:bookmarkStart w:id="0" w:name="_GoBack"/>
            <w:r w:rsidRPr="001A35A1">
              <w:rPr>
                <w:rFonts w:ascii="Arial" w:eastAsia="SimSun" w:hAnsi="Arial" w:cs="Arial"/>
                <w:sz w:val="18"/>
                <w:szCs w:val="18"/>
                <w:lang w:val="en-US" w:eastAsia="zh-CN"/>
              </w:rPr>
              <w:t>As mentioned in [2] UE has to  signal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rsidR="001A35A1" w:rsidRPr="001A35A1" w:rsidRDefault="001A35A1" w:rsidP="001A35A1">
            <w:pPr>
              <w:spacing w:after="0"/>
              <w:ind w:left="45" w:right="45"/>
              <w:textAlignment w:val="baseline"/>
              <w:rPr>
                <w:rFonts w:ascii="Arial" w:eastAsia="SimSun" w:hAnsi="Arial" w:cs="Arial"/>
                <w:sz w:val="18"/>
                <w:szCs w:val="18"/>
                <w:lang w:val="en-US" w:eastAsia="zh-CN"/>
              </w:rPr>
            </w:pPr>
          </w:p>
          <w:p w:rsidR="00CA72F9" w:rsidRDefault="001A35A1" w:rsidP="001A35A1">
            <w:pPr>
              <w:spacing w:after="0"/>
              <w:ind w:left="45" w:right="45"/>
              <w:textAlignment w:val="baseline"/>
              <w:rPr>
                <w:rFonts w:ascii="Arial" w:eastAsia="SimSun" w:hAnsi="Arial" w:cs="Arial"/>
                <w:sz w:val="18"/>
                <w:szCs w:val="18"/>
                <w:lang w:val="en-US" w:eastAsia="zh-CN"/>
              </w:rPr>
            </w:pPr>
            <w:r w:rsidRPr="001A35A1">
              <w:rPr>
                <w:rFonts w:ascii="Arial" w:eastAsia="SimSun" w:hAnsi="Arial" w:cs="Arial"/>
                <w:sz w:val="18"/>
                <w:szCs w:val="18"/>
                <w:lang w:val="en-US" w:eastAsia="zh-CN"/>
              </w:rPr>
              <w:t>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memory. So the network may need to support both the solutions to handle two different type of UEs, if the WI objectives have to be met.</w:t>
            </w:r>
            <w:bookmarkEnd w:id="0"/>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SimSun"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SimSun"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SimSun" w:hAnsi="Arial" w:cs="Arial"/>
                <w:sz w:val="18"/>
                <w:szCs w:val="18"/>
                <w:lang w:val="en-US" w:eastAsia="zh-CN"/>
              </w:rPr>
            </w:pPr>
          </w:p>
        </w:tc>
      </w:tr>
      <w:tr w:rsidR="00CA72F9">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CA72F9" w:rsidRDefault="00CA72F9">
            <w:pPr>
              <w:spacing w:after="0"/>
              <w:ind w:left="45" w:right="45"/>
              <w:textAlignment w:val="baseline"/>
              <w:rPr>
                <w:rFonts w:ascii="Arial" w:eastAsia="SimSun" w:hAnsi="Arial" w:cs="Arial"/>
                <w:sz w:val="18"/>
                <w:szCs w:val="18"/>
                <w:lang w:val="en-US" w:eastAsia="zh-CN"/>
              </w:rPr>
            </w:pP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1</w:t>
      </w:r>
      <w:r>
        <w:rPr>
          <w:lang w:eastAsia="en-GB"/>
        </w:rPr>
        <w:t>: TBD. </w:t>
      </w:r>
    </w:p>
    <w:p w:rsidR="00D02DF5" w:rsidRDefault="005112BD">
      <w:pPr>
        <w:spacing w:after="0"/>
        <w:textAlignment w:val="baseline"/>
        <w:rPr>
          <w:lang w:eastAsia="en-GB"/>
        </w:rPr>
      </w:pPr>
      <w:r>
        <w:rPr>
          <w:b/>
          <w:bCs/>
          <w:lang w:eastAsia="en-GB"/>
        </w:rPr>
        <w:t>Proposal 1</w:t>
      </w:r>
      <w:r>
        <w:rPr>
          <w:lang w:eastAsia="en-GB"/>
        </w:rPr>
        <w:t>: TBD. </w:t>
      </w:r>
    </w:p>
    <w:p w:rsidR="00D02DF5" w:rsidRDefault="00D02DF5">
      <w:pPr>
        <w:spacing w:after="0"/>
        <w:textAlignment w:val="baseline"/>
        <w:rPr>
          <w:lang w:eastAsia="en-GB"/>
        </w:rPr>
      </w:pPr>
    </w:p>
    <w:p w:rsidR="00D02DF5" w:rsidRDefault="005112BD">
      <w:pPr>
        <w:pStyle w:val="Heading3"/>
        <w:rPr>
          <w:rFonts w:cs="Arial"/>
          <w:lang w:val="en-US"/>
        </w:rPr>
      </w:pPr>
      <w:r>
        <w:t>3.2.1</w:t>
      </w:r>
      <w:r>
        <w:tab/>
      </w:r>
      <w:r>
        <w:rPr>
          <w:lang w:eastAsia="zh-CN"/>
        </w:rPr>
        <w:t>Configuration</w:t>
      </w:r>
    </w:p>
    <w:p w:rsidR="00D02DF5" w:rsidRDefault="005112BD">
      <w:pPr>
        <w:rPr>
          <w:lang w:val="en-US"/>
        </w:rPr>
      </w:pPr>
      <w:r>
        <w:rPr>
          <w:lang w:val="en-US"/>
        </w:rPr>
        <w:t>Yet, alternatively, the solutions aiming to follow the Rel-17 baseline, proposed in [4], [5], [7], [8], led to the following collective proposals in [1]:</w:t>
      </w:r>
    </w:p>
    <w:p w:rsidR="00D02DF5" w:rsidRDefault="005112BD">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rsidR="00D02DF5" w:rsidRDefault="005112BD">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rsidR="00D02DF5" w:rsidRDefault="005112BD">
      <w:pPr>
        <w:rPr>
          <w:lang w:val="en-US"/>
        </w:rPr>
      </w:pPr>
      <w:r>
        <w:rPr>
          <w:lang w:val="en-US"/>
        </w:rPr>
        <w:t>The rapporteur understanding is that the Proposal 2 and Proposal 3 (extension of the LTE configuration for Logged MDT) are overlapping with all the Methods: Method 1, Method 2 and Method 3, according to the requirements (copied from the above Table):</w:t>
      </w:r>
    </w:p>
    <w:p w:rsidR="00D02DF5" w:rsidRDefault="005112BD">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rsidR="00D02DF5" w:rsidRDefault="005112BD">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rsidR="00D02DF5" w:rsidRDefault="005112BD">
      <w:pPr>
        <w:rPr>
          <w:lang w:val="en-US"/>
        </w:rPr>
      </w:pPr>
      <w:r>
        <w:rPr>
          <w:lang w:val="en-US"/>
        </w:rPr>
        <w:t>However, [2] notes that only for above Methods 2 and 3, LTE specifications change is required to signal UE if a received logged MDT configuration is a signaling-based logged MDT configuration.</w:t>
      </w:r>
    </w:p>
    <w:p w:rsidR="00D02DF5" w:rsidRDefault="005112BD">
      <w:pPr>
        <w:pStyle w:val="ListParagraph"/>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LTE LoggedMeasurementConfiguration,</w:t>
      </w:r>
      <w:r>
        <w:rPr>
          <w:rFonts w:eastAsia="Malgun Gothic"/>
          <w:bCs/>
          <w:lang w:val="en-US" w:eastAsia="ko-KR"/>
        </w:rPr>
        <w:t xml:space="preserve"> with Logged MDT type indication, would be required in any case?</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rsidTr="00E62BBC">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rsidR="00D02DF5" w:rsidRDefault="00D02DF5">
            <w:pPr>
              <w:spacing w:after="0"/>
              <w:ind w:left="45" w:right="45"/>
              <w:textAlignment w:val="baseline"/>
              <w:rPr>
                <w:rFonts w:ascii="Arial" w:hAnsi="Arial" w:cs="Arial"/>
                <w:sz w:val="18"/>
                <w:szCs w:val="18"/>
                <w:lang w:val="en-US"/>
              </w:rPr>
            </w:pPr>
          </w:p>
          <w:p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rsidR="00D02DF5" w:rsidRDefault="00D02DF5">
            <w:pPr>
              <w:spacing w:after="0"/>
              <w:ind w:left="45" w:right="45"/>
              <w:textAlignment w:val="baseline"/>
              <w:rPr>
                <w:rFonts w:ascii="Arial" w:hAnsi="Arial" w:cs="Arial"/>
                <w:sz w:val="18"/>
                <w:szCs w:val="18"/>
              </w:rPr>
            </w:pPr>
          </w:p>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D02DF5"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lastRenderedPageBreak/>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As commented in Q1, to limit specs impact 1 is preferred, if method 1 is used , then no need to include MDT type in configuration.  But for method 2/3 update LTE configuration to includes type information is needed since UE needs to know the MDT type to provide assistance information.</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Pr="00CA72F9" w:rsidRDefault="00E62BBC" w:rsidP="00E62BBC">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512B06" w:rsidRPr="00512B06" w:rsidRDefault="00512B06" w:rsidP="00E62BBC">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rsidR="00512B06" w:rsidRDefault="00512B06" w:rsidP="00E62BBC">
            <w:pPr>
              <w:spacing w:after="0"/>
              <w:ind w:left="45" w:right="45"/>
              <w:textAlignment w:val="baseline"/>
              <w:rPr>
                <w:rFonts w:ascii="Arial" w:hAnsi="Arial" w:cs="Arial"/>
                <w:sz w:val="18"/>
                <w:szCs w:val="18"/>
                <w:lang w:eastAsia="en-GB"/>
              </w:rPr>
            </w:pPr>
          </w:p>
          <w:p w:rsidR="00E62BBC" w:rsidRDefault="00512B06" w:rsidP="00E62BBC">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sidR="00E62BBC">
              <w:rPr>
                <w:rFonts w:ascii="Arial" w:hAnsi="Arial" w:cs="Arial"/>
                <w:sz w:val="18"/>
                <w:szCs w:val="18"/>
                <w:lang w:eastAsia="en-GB"/>
              </w:rPr>
              <w:t>For example, please find the text from TS 38.331</w:t>
            </w:r>
          </w:p>
          <w:p w:rsidR="00E62BBC" w:rsidRPr="00E62BBC" w:rsidRDefault="00E62BBC" w:rsidP="00E62BBC">
            <w:pPr>
              <w:pStyle w:val="Heading3"/>
              <w:rPr>
                <w:highlight w:val="yellow"/>
              </w:rPr>
            </w:pPr>
            <w:bookmarkStart w:id="1" w:name="_Toc60776914"/>
            <w:bookmarkStart w:id="2" w:name="_Toc100929737"/>
            <w:r w:rsidRPr="00E62BBC">
              <w:rPr>
                <w:highlight w:val="yellow"/>
              </w:rPr>
              <w:t>5.5a.2</w:t>
            </w:r>
            <w:r w:rsidRPr="00E62BBC">
              <w:rPr>
                <w:highlight w:val="yellow"/>
              </w:rPr>
              <w:tab/>
              <w:t>Release of Logged Measurement Configuration</w:t>
            </w:r>
            <w:bookmarkEnd w:id="1"/>
            <w:bookmarkEnd w:id="2"/>
          </w:p>
          <w:p w:rsidR="00E62BBC" w:rsidRDefault="00E62BBC" w:rsidP="00E62BBC">
            <w:pPr>
              <w:spacing w:after="0"/>
              <w:ind w:left="45" w:right="45"/>
              <w:textAlignment w:val="baseline"/>
              <w:rPr>
                <w:rFonts w:ascii="Arial" w:hAnsi="Arial" w:cs="Arial"/>
                <w:sz w:val="18"/>
                <w:szCs w:val="18"/>
                <w:lang w:eastAsia="en-GB"/>
              </w:rPr>
            </w:pPr>
            <w:r w:rsidRPr="00E62BBC">
              <w:rPr>
                <w:highlight w:val="yellow"/>
              </w:rPr>
              <w:t>The UE shall initiate the procedure upon receiving a logged measurement configuration in another RAT.</w:t>
            </w:r>
          </w:p>
          <w:p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rsidR="00D6428F" w:rsidRDefault="00512B06" w:rsidP="00512B0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w:t>
            </w:r>
            <w:r w:rsidR="00510993">
              <w:rPr>
                <w:rFonts w:ascii="Arial" w:eastAsia="SimSun" w:hAnsi="Arial" w:cs="Arial"/>
                <w:sz w:val="18"/>
                <w:szCs w:val="18"/>
                <w:lang w:eastAsia="zh-CN"/>
              </w:rPr>
              <w:t xml:space="preserve"> UE</w:t>
            </w:r>
            <w:r>
              <w:rPr>
                <w:rFonts w:ascii="Arial" w:eastAsia="SimSun" w:hAnsi="Arial" w:cs="Arial"/>
                <w:sz w:val="18"/>
                <w:szCs w:val="18"/>
                <w:lang w:eastAsia="zh-CN"/>
              </w:rPr>
              <w:t xml:space="preserve"> may</w:t>
            </w:r>
            <w:r w:rsidR="00AD7B42">
              <w:rPr>
                <w:rFonts w:ascii="Arial" w:eastAsia="SimSun" w:hAnsi="Arial" w:cs="Arial"/>
                <w:sz w:val="18"/>
                <w:szCs w:val="18"/>
                <w:lang w:eastAsia="zh-CN"/>
              </w:rPr>
              <w:t xml:space="preserve"> or ma</w:t>
            </w:r>
            <w:r>
              <w:rPr>
                <w:rFonts w:ascii="Arial" w:eastAsia="SimSun" w:hAnsi="Arial" w:cs="Arial"/>
                <w:sz w:val="18"/>
                <w:szCs w:val="18"/>
                <w:lang w:eastAsia="zh-CN"/>
              </w:rPr>
              <w:t>y not support it. If the UE does not support the new UE capability mentioned in Q1, some solutions are still needed</w:t>
            </w:r>
            <w:r w:rsidR="00332D54">
              <w:rPr>
                <w:rFonts w:ascii="Arial" w:eastAsia="SimSun" w:hAnsi="Arial" w:cs="Arial"/>
                <w:sz w:val="18"/>
                <w:szCs w:val="18"/>
                <w:lang w:eastAsia="zh-CN"/>
              </w:rPr>
              <w:t xml:space="preserve"> to fix the problem.</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r w:rsidR="005F253A">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5F253A" w:rsidP="00E62BBC">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rsidR="00E62BBC" w:rsidRDefault="00E62BBC" w:rsidP="00E62BBC">
            <w:pPr>
              <w:spacing w:after="0"/>
              <w:ind w:left="45" w:right="45"/>
              <w:textAlignment w:val="baseline"/>
              <w:rPr>
                <w:sz w:val="24"/>
                <w:szCs w:val="24"/>
                <w:lang w:eastAsia="en-GB"/>
              </w:rPr>
            </w:pPr>
          </w:p>
          <w:p w:rsidR="00E62BBC" w:rsidRDefault="00E62BBC" w:rsidP="00E62BBC">
            <w:pPr>
              <w:spacing w:after="0"/>
              <w:ind w:left="45" w:right="45"/>
              <w:textAlignment w:val="baseline"/>
              <w:rPr>
                <w:sz w:val="24"/>
                <w:szCs w:val="24"/>
                <w:lang w:eastAsia="en-GB"/>
              </w:rPr>
            </w:pP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r w:rsidR="00E62BBC"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2</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t>Proposal 2</w:t>
      </w:r>
      <w:r>
        <w:rPr>
          <w:lang w:eastAsia="en-GB"/>
        </w:rPr>
        <w:t>: TBD. </w:t>
      </w:r>
    </w:p>
    <w:p w:rsidR="00D02DF5" w:rsidRDefault="00D02DF5">
      <w:pPr>
        <w:pStyle w:val="Proposal"/>
        <w:numPr>
          <w:ilvl w:val="0"/>
          <w:numId w:val="0"/>
        </w:numPr>
        <w:ind w:left="1701" w:hanging="1701"/>
      </w:pPr>
    </w:p>
    <w:p w:rsidR="00D02DF5" w:rsidRDefault="005112BD">
      <w:pPr>
        <w:pStyle w:val="Heading3"/>
        <w:rPr>
          <w:rFonts w:cs="Arial"/>
          <w:lang w:val="en-US"/>
        </w:rPr>
      </w:pPr>
      <w:r>
        <w:t>3.2.2</w:t>
      </w:r>
      <w:r>
        <w:tab/>
      </w:r>
      <w:r>
        <w:rPr>
          <w:lang w:eastAsia="zh-CN"/>
        </w:rPr>
        <w:t>Reporting</w:t>
      </w:r>
    </w:p>
    <w:p w:rsidR="00D02DF5" w:rsidRDefault="005112BD">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rsidR="00D02DF5" w:rsidRDefault="005112BD">
      <w:pPr>
        <w:rPr>
          <w:rFonts w:ascii="Arial" w:hAnsi="Arial" w:cs="Arial"/>
          <w:b/>
          <w:bCs/>
          <w:lang w:val="en-US"/>
        </w:rPr>
      </w:pPr>
      <w:r>
        <w:rPr>
          <w:lang w:val="en-US"/>
        </w:rPr>
        <w:t>In that context, the follow-up, collective proposal in [1] was the following:</w:t>
      </w:r>
    </w:p>
    <w:p w:rsidR="00D02DF5" w:rsidRDefault="005112BD">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r>
        <w:rPr>
          <w:rFonts w:eastAsiaTheme="minorEastAsia" w:hint="eastAsia"/>
          <w:i/>
        </w:rPr>
        <w:t>sigLogMeasConfigAvailable</w:t>
      </w:r>
      <w:r>
        <w:rPr>
          <w:rFonts w:eastAsiaTheme="minorEastAsia"/>
          <w:i/>
        </w:rPr>
        <w:t xml:space="preserve"> </w:t>
      </w:r>
      <w:r>
        <w:rPr>
          <w:rFonts w:eastAsiaTheme="minorEastAsia"/>
          <w:iCs/>
        </w:rPr>
        <w:t>is adopted.</w:t>
      </w:r>
    </w:p>
    <w:p w:rsidR="00D02DF5" w:rsidRDefault="005112BD">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rsidR="00D02DF5" w:rsidRDefault="005112BD">
      <w:pPr>
        <w:rPr>
          <w:rFonts w:eastAsiaTheme="minorEastAsia"/>
          <w:iCs/>
        </w:rPr>
      </w:pPr>
      <w:r>
        <w:rPr>
          <w:rFonts w:eastAsiaTheme="minorEastAsia"/>
          <w:iCs/>
        </w:rPr>
        <w:t>In order, to model the reporting principles, it seems essential to prioritise one of the approaches, either:</w:t>
      </w:r>
    </w:p>
    <w:p w:rsidR="00D02DF5" w:rsidRDefault="005112BD">
      <w:pPr>
        <w:pStyle w:val="ListParagraph"/>
        <w:numPr>
          <w:ilvl w:val="0"/>
          <w:numId w:val="8"/>
        </w:numPr>
        <w:rPr>
          <w:rFonts w:eastAsiaTheme="minorEastAsia"/>
          <w:iCs/>
        </w:rPr>
      </w:pPr>
      <w:r>
        <w:rPr>
          <w:rFonts w:eastAsiaTheme="minorEastAsia"/>
          <w:iCs/>
        </w:rPr>
        <w:t>the UE should report E-UTRAN Logged MDT results in NR, or</w:t>
      </w:r>
    </w:p>
    <w:p w:rsidR="00D02DF5" w:rsidRDefault="005112BD">
      <w:pPr>
        <w:pStyle w:val="ListParagraph"/>
        <w:numPr>
          <w:ilvl w:val="0"/>
          <w:numId w:val="8"/>
        </w:numPr>
        <w:rPr>
          <w:rFonts w:eastAsiaTheme="minorEastAsia"/>
          <w:iCs/>
        </w:rPr>
      </w:pPr>
      <w:r>
        <w:rPr>
          <w:rFonts w:eastAsiaTheme="minorEastAsia"/>
          <w:iCs/>
        </w:rPr>
        <w:t>the UE shouldn’t report E-UTRAN Logged MDT results in NR.</w:t>
      </w:r>
    </w:p>
    <w:p w:rsidR="00D02DF5" w:rsidRDefault="005112BD">
      <w:pPr>
        <w:pStyle w:val="ListParagraph"/>
        <w:rPr>
          <w:rFonts w:eastAsiaTheme="minorEastAsia"/>
          <w:iCs/>
        </w:rPr>
      </w:pPr>
      <w:r>
        <w:rPr>
          <w:rFonts w:eastAsiaTheme="minorEastAsia"/>
          <w:iCs/>
        </w:rPr>
        <w:t xml:space="preserve"> </w:t>
      </w:r>
    </w:p>
    <w:p w:rsidR="00D02DF5" w:rsidRDefault="005112BD">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lastRenderedPageBreak/>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rsidR="00D02DF5" w:rsidRDefault="00D02DF5">
            <w:pPr>
              <w:spacing w:after="0"/>
              <w:ind w:left="45" w:right="45"/>
              <w:textAlignment w:val="baseline"/>
              <w:rPr>
                <w:rFonts w:ascii="Arial" w:hAnsi="Arial" w:cs="Arial"/>
                <w:sz w:val="18"/>
                <w:szCs w:val="18"/>
                <w:lang w:eastAsia="en-GB"/>
              </w:rPr>
            </w:pPr>
          </w:p>
          <w:p w:rsidR="00D02DF5" w:rsidRDefault="005112BD">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Method 1 can already fulfil the objectives purpose, no need to complicate the solution.</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Pr="00CA72F9" w:rsidRDefault="00332D54" w:rsidP="00332D54">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We see that “cross-RAT reporting of logged data” will bring some compexities, so it should be avoided.</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5F253A">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5F253A" w:rsidP="00332D54">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5F253A" w:rsidP="00332D54">
            <w:pPr>
              <w:spacing w:after="0"/>
              <w:ind w:left="45" w:right="45"/>
              <w:textAlignment w:val="baseline"/>
              <w:rPr>
                <w:sz w:val="24"/>
                <w:szCs w:val="24"/>
                <w:lang w:eastAsia="en-GB"/>
              </w:rPr>
            </w:pPr>
            <w:r w:rsidRPr="005F253A">
              <w:rPr>
                <w:rFonts w:ascii="Arial" w:hAnsi="Arial" w:cs="Arial"/>
                <w:sz w:val="18"/>
                <w:szCs w:val="18"/>
                <w:lang w:eastAsia="en-GB"/>
              </w:rPr>
              <w:t>We understand that cross-RAT reporting of Logged MDT will result in non-trivial ASN.1 changes and the benefits are not so obvious. We also need to discuss with RAN3 before making a conclusion, but we are ok to postpone the discussion to next meeting as well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3</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t>Proposal 3</w:t>
      </w:r>
      <w:r>
        <w:rPr>
          <w:lang w:eastAsia="en-GB"/>
        </w:rPr>
        <w:t>: TBD. </w:t>
      </w:r>
    </w:p>
    <w:p w:rsidR="00D02DF5" w:rsidRDefault="00D02DF5">
      <w:pPr>
        <w:spacing w:after="0"/>
        <w:rPr>
          <w:rFonts w:ascii="Arial" w:hAnsi="Arial" w:cs="Arial"/>
          <w:b/>
          <w:bCs/>
          <w:lang w:val="en-US"/>
        </w:rPr>
      </w:pPr>
    </w:p>
    <w:p w:rsidR="00D02DF5" w:rsidRDefault="005112BD">
      <w:pPr>
        <w:pStyle w:val="Heading3"/>
        <w:rPr>
          <w:rFonts w:cs="Arial"/>
          <w:b/>
          <w:bCs/>
          <w:lang w:val="en-US"/>
        </w:rPr>
      </w:pPr>
      <w:r>
        <w:t>3.2.3</w:t>
      </w:r>
      <w:r>
        <w:tab/>
      </w:r>
      <w:r>
        <w:rPr>
          <w:lang w:eastAsia="zh-CN"/>
        </w:rPr>
        <w:t>Solution direction</w:t>
      </w:r>
    </w:p>
    <w:p w:rsidR="00D02DF5" w:rsidRDefault="00D02DF5">
      <w:pPr>
        <w:spacing w:after="0"/>
        <w:rPr>
          <w:rFonts w:ascii="Arial" w:hAnsi="Arial" w:cs="Arial"/>
          <w:b/>
          <w:bCs/>
          <w:lang w:val="en-US"/>
        </w:rPr>
      </w:pPr>
    </w:p>
    <w:p w:rsidR="00D02DF5" w:rsidRDefault="005112BD">
      <w:pPr>
        <w:rPr>
          <w:lang w:val="en-US"/>
        </w:rPr>
      </w:pPr>
      <w:r>
        <w:rPr>
          <w:lang w:val="en-US"/>
        </w:rPr>
        <w:t>Analysis on the pros and cons of the alternate solutions, led in the contribution in [2] to the following proposal:</w:t>
      </w:r>
    </w:p>
    <w:p w:rsidR="00D02DF5" w:rsidRDefault="005112BD">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rsidR="00D02DF5" w:rsidRDefault="00D02DF5">
      <w:pPr>
        <w:rPr>
          <w:rFonts w:ascii="Arial" w:hAnsi="Arial" w:cs="Arial"/>
          <w:lang w:val="en-US"/>
        </w:rPr>
      </w:pPr>
    </w:p>
    <w:p w:rsidR="00D02DF5" w:rsidRDefault="005112BD">
      <w:pPr>
        <w:rPr>
          <w:lang w:val="en-US"/>
        </w:rPr>
      </w:pPr>
      <w:r>
        <w:rPr>
          <w:lang w:val="en-US"/>
        </w:rPr>
        <w:t>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companies preferences on the options.</w:t>
      </w:r>
    </w:p>
    <w:p w:rsidR="00D02DF5" w:rsidRDefault="005112BD">
      <w:pPr>
        <w:pStyle w:val="ListParagraph"/>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rsidR="00D02DF5" w:rsidRDefault="005112BD">
            <w:pPr>
              <w:pStyle w:val="ListParagraph"/>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rsidR="00D02DF5" w:rsidRDefault="005112BD">
            <w:pPr>
              <w:pStyle w:val="ListParagraph"/>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rsidR="00D02DF5" w:rsidRDefault="005112BD">
            <w:pPr>
              <w:pStyle w:val="ListParagraph"/>
              <w:numPr>
                <w:ilvl w:val="0"/>
                <w:numId w:val="8"/>
              </w:numPr>
              <w:spacing w:after="0"/>
              <w:ind w:right="45"/>
              <w:textAlignment w:val="baseline"/>
              <w:rPr>
                <w:sz w:val="24"/>
                <w:szCs w:val="24"/>
                <w:lang w:eastAsia="en-GB"/>
              </w:rPr>
            </w:pPr>
            <w:r>
              <w:rPr>
                <w:rFonts w:ascii="Arial" w:hAnsi="Arial" w:cs="Arial"/>
                <w:sz w:val="18"/>
                <w:szCs w:val="18"/>
              </w:rPr>
              <w:t>In our understanding, the standard should allow method 1.</w:t>
            </w:r>
          </w:p>
          <w:p w:rsidR="00D02DF5" w:rsidRDefault="005112BD">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rsidR="00D02DF5" w:rsidRDefault="005112BD">
            <w:pPr>
              <w:pStyle w:val="ListParagraph"/>
              <w:numPr>
                <w:ilvl w:val="0"/>
                <w:numId w:val="8"/>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signaling overhead and UE complexity.  </w:t>
            </w:r>
          </w:p>
        </w:tc>
      </w:tr>
      <w:tr w:rsidR="00D02DF5">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D02DF5" w:rsidRDefault="005112BD">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Pr="00CA72F9" w:rsidRDefault="00332D54" w:rsidP="00332D54">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lastRenderedPageBreak/>
              <w:t>H</w:t>
            </w:r>
            <w:r>
              <w:rPr>
                <w:rFonts w:ascii="Arial" w:eastAsia="SimSun" w:hAnsi="Arial" w:cs="Arial"/>
                <w:sz w:val="18"/>
                <w:szCs w:val="18"/>
                <w:lang w:eastAsia="zh-CN"/>
              </w:rPr>
              <w:t>uawei, HiSilicon</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4C747F">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4C747F" w:rsidP="00332D54">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rsidR="004C747F"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Method 1 also may deviate from the following RAN2 previous agreement " The scenario when the UE is configured with NR Signaling-based logged MDT measurement configuration and reselects to E-UTRAN is excluded in R18 scope”.</w:t>
            </w:r>
          </w:p>
          <w:p w:rsidR="004C747F" w:rsidRPr="004D3B28" w:rsidRDefault="004C747F" w:rsidP="004C747F">
            <w:pPr>
              <w:spacing w:after="0"/>
              <w:ind w:right="45"/>
              <w:textAlignment w:val="baseline"/>
              <w:rPr>
                <w:rFonts w:ascii="Arial" w:hAnsi="Arial" w:cs="Arial"/>
                <w:sz w:val="18"/>
                <w:szCs w:val="18"/>
                <w:lang w:eastAsia="en-GB"/>
              </w:rPr>
            </w:pPr>
          </w:p>
          <w:p w:rsidR="004C747F"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 xml:space="preserve">We think that method 2 and method 3 are not complete solutions as it doesn’t consider the </w:t>
            </w:r>
            <w:r w:rsidRPr="004D3B28">
              <w:rPr>
                <w:rFonts w:ascii="Arial" w:hAnsi="Arial" w:cs="Arial"/>
                <w:sz w:val="18"/>
                <w:szCs w:val="18"/>
                <w:lang w:val="en-US"/>
              </w:rPr>
              <w:t>the</w:t>
            </w:r>
            <w:r w:rsidRPr="004D3B28">
              <w:rPr>
                <w:rFonts w:ascii="Arial" w:hAnsi="Arial" w:cs="Arial"/>
                <w:sz w:val="18"/>
                <w:szCs w:val="18"/>
                <w:lang w:eastAsia="en-GB"/>
              </w:rPr>
              <w:t xml:space="preserve"> intimation for signalling MDT configuration in LTE, like </w:t>
            </w:r>
            <w:r w:rsidRPr="004D3B28">
              <w:rPr>
                <w:rFonts w:ascii="Arial" w:eastAsia="Malgun Gothic" w:hAnsi="Arial" w:cs="Arial"/>
                <w:bCs/>
                <w:sz w:val="18"/>
                <w:szCs w:val="18"/>
                <w:lang w:val="en-US" w:eastAsia="ko-KR"/>
              </w:rPr>
              <w:t xml:space="preserve">extension of the </w:t>
            </w:r>
            <w:r w:rsidRPr="004D3B28">
              <w:rPr>
                <w:rFonts w:ascii="Arial" w:eastAsia="Malgun Gothic" w:hAnsi="Arial" w:cs="Arial"/>
                <w:sz w:val="18"/>
                <w:szCs w:val="18"/>
                <w:lang w:val="en-US" w:eastAsia="ko-KR"/>
              </w:rPr>
              <w:t>LTE LoggedMeasurementConfiguration. The difference between methods 2 and 3 are how to handle cross RAT reporting. Decision on Cross RAT reporting need to be decided after discussion with RAN3 and can be discussed later as we answered in Q3.</w:t>
            </w:r>
          </w:p>
          <w:p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sz w:val="18"/>
                <w:szCs w:val="18"/>
                <w:lang w:eastAsia="en-GB"/>
              </w:rPr>
              <w:t xml:space="preserve">We prefer to keep the previous agreement and proceed </w:t>
            </w:r>
            <w:r w:rsidRPr="004D3B28">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1.UE informs eNB about its capability for override protection</w:t>
            </w:r>
          </w:p>
          <w:p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2.eNB intimates UE about signalling MDT configuration</w:t>
            </w:r>
          </w:p>
          <w:p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3.UE further informs gNB about the configuration, so that gNB can avoid override.</w:t>
            </w:r>
          </w:p>
          <w:p w:rsidR="004C747F" w:rsidRPr="004D3B28" w:rsidRDefault="004C747F" w:rsidP="002C0998">
            <w:pPr>
              <w:spacing w:after="0"/>
              <w:ind w:left="45" w:right="45"/>
              <w:textAlignment w:val="baseline"/>
              <w:rPr>
                <w:rFonts w:ascii="Arial" w:hAnsi="Arial" w:cs="Arial"/>
                <w:sz w:val="18"/>
                <w:szCs w:val="18"/>
                <w:lang w:eastAsia="en-GB"/>
              </w:rPr>
            </w:pPr>
            <w:r w:rsidRPr="004D3B28">
              <w:rPr>
                <w:rFonts w:ascii="Arial" w:hAnsi="Arial" w:cs="Arial"/>
                <w:color w:val="000000"/>
                <w:sz w:val="18"/>
                <w:szCs w:val="18"/>
                <w:lang w:val="en-US" w:eastAsia="ko-KR"/>
              </w:rPr>
              <w:t>Details on reporting can be considered later.</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rsidR="00D02DF5" w:rsidRDefault="005112BD">
      <w:pPr>
        <w:spacing w:after="0"/>
        <w:textAlignment w:val="baseline"/>
        <w:rPr>
          <w:rFonts w:ascii="Segoe UI" w:hAnsi="Segoe UI" w:cs="Segoe UI"/>
          <w:sz w:val="18"/>
          <w:szCs w:val="18"/>
          <w:lang w:eastAsia="en-GB"/>
        </w:rPr>
      </w:pPr>
      <w:r>
        <w:rPr>
          <w:lang w:eastAsia="en-GB"/>
        </w:rPr>
        <w:t> </w:t>
      </w:r>
    </w:p>
    <w:p w:rsidR="00D02DF5" w:rsidRDefault="005112BD">
      <w:pPr>
        <w:spacing w:after="0"/>
        <w:textAlignment w:val="baseline"/>
        <w:rPr>
          <w:rFonts w:ascii="Segoe UI" w:hAnsi="Segoe UI" w:cs="Segoe UI"/>
          <w:sz w:val="18"/>
          <w:szCs w:val="18"/>
          <w:lang w:eastAsia="en-GB"/>
        </w:rPr>
      </w:pPr>
      <w:r>
        <w:rPr>
          <w:b/>
          <w:bCs/>
          <w:lang w:eastAsia="en-GB"/>
        </w:rPr>
        <w:t>Summary 4</w:t>
      </w:r>
      <w:r>
        <w:rPr>
          <w:lang w:eastAsia="en-GB"/>
        </w:rPr>
        <w:t>: TBD. </w:t>
      </w:r>
    </w:p>
    <w:p w:rsidR="00D02DF5" w:rsidRDefault="005112BD">
      <w:pPr>
        <w:spacing w:after="0"/>
        <w:textAlignment w:val="baseline"/>
        <w:rPr>
          <w:rFonts w:ascii="Segoe UI" w:hAnsi="Segoe UI" w:cs="Segoe UI"/>
          <w:sz w:val="18"/>
          <w:szCs w:val="18"/>
          <w:lang w:eastAsia="en-GB"/>
        </w:rPr>
      </w:pPr>
      <w:r>
        <w:rPr>
          <w:b/>
          <w:bCs/>
          <w:lang w:eastAsia="en-GB"/>
        </w:rPr>
        <w:t>Proposal 4</w:t>
      </w:r>
      <w:r>
        <w:rPr>
          <w:lang w:eastAsia="en-GB"/>
        </w:rPr>
        <w:t>: TBD. </w:t>
      </w:r>
    </w:p>
    <w:p w:rsidR="00D02DF5" w:rsidRDefault="00D02DF5">
      <w:pPr>
        <w:rPr>
          <w:rFonts w:ascii="Arial" w:hAnsi="Arial" w:cs="Arial"/>
          <w:lang w:val="en-US"/>
        </w:rPr>
      </w:pPr>
    </w:p>
    <w:p w:rsidR="00D02DF5" w:rsidRDefault="00D02DF5">
      <w:pPr>
        <w:spacing w:after="0"/>
        <w:rPr>
          <w:rFonts w:ascii="Arial" w:hAnsi="Arial" w:cs="Arial"/>
          <w:b/>
          <w:bCs/>
          <w:lang w:val="en-US"/>
        </w:rPr>
      </w:pPr>
    </w:p>
    <w:p w:rsidR="00D02DF5" w:rsidRDefault="00D02DF5"/>
    <w:p w:rsidR="00D02DF5" w:rsidRDefault="005112BD">
      <w:pPr>
        <w:pStyle w:val="Heading1"/>
      </w:pPr>
      <w:r>
        <w:t>4</w:t>
      </w:r>
      <w:r>
        <w:tab/>
        <w:t>Conclusion</w:t>
      </w:r>
    </w:p>
    <w:p w:rsidR="00D02DF5" w:rsidRDefault="005112BD">
      <w:pPr>
        <w:pStyle w:val="ListParagraph"/>
        <w:ind w:left="360"/>
        <w:rPr>
          <w:lang w:eastAsia="zh-CN"/>
        </w:rPr>
      </w:pPr>
      <w:r>
        <w:t>TBA</w:t>
      </w:r>
    </w:p>
    <w:p w:rsidR="00D02DF5" w:rsidRDefault="005112BD">
      <w:pPr>
        <w:pStyle w:val="Heading1"/>
      </w:pPr>
      <w:r>
        <w:t>References</w:t>
      </w:r>
    </w:p>
    <w:p w:rsidR="00D02DF5" w:rsidRDefault="005112BD">
      <w:pPr>
        <w:pStyle w:val="ListParagraph"/>
        <w:numPr>
          <w:ilvl w:val="0"/>
          <w:numId w:val="10"/>
        </w:numPr>
        <w:rPr>
          <w:lang w:eastAsia="en-GB"/>
        </w:rPr>
      </w:pPr>
      <w:r>
        <w:rPr>
          <w:lang w:eastAsia="en-GB"/>
        </w:rPr>
        <w:t>R2-2210797, Summary on 8.13.3 ‘MDT override’, Nokia</w:t>
      </w:r>
    </w:p>
    <w:p w:rsidR="00D02DF5" w:rsidRDefault="005112BD">
      <w:pPr>
        <w:pStyle w:val="ListParagraph"/>
        <w:numPr>
          <w:ilvl w:val="0"/>
          <w:numId w:val="10"/>
        </w:numPr>
        <w:rPr>
          <w:lang w:eastAsia="en-GB"/>
        </w:rPr>
      </w:pPr>
      <w:r>
        <w:rPr>
          <w:lang w:eastAsia="en-GB"/>
        </w:rPr>
        <w:t xml:space="preserve">R2-2208161; Signalling based logged MDT override protection; Qualcomm Incorporated </w:t>
      </w:r>
    </w:p>
    <w:p w:rsidR="00D02DF5" w:rsidRDefault="005112BD">
      <w:pPr>
        <w:pStyle w:val="ListParagraph"/>
        <w:numPr>
          <w:ilvl w:val="0"/>
          <w:numId w:val="10"/>
        </w:numPr>
        <w:rPr>
          <w:lang w:eastAsia="en-GB"/>
        </w:rPr>
      </w:pPr>
      <w:r>
        <w:rPr>
          <w:lang w:eastAsia="en-GB"/>
        </w:rPr>
        <w:t>R2-2209570, Discussion on Inter-RAT Signaling Based Logged MDT Override Protection; CATT</w:t>
      </w:r>
    </w:p>
    <w:p w:rsidR="00D02DF5" w:rsidRDefault="005112BD">
      <w:pPr>
        <w:pStyle w:val="ListParagraph"/>
        <w:numPr>
          <w:ilvl w:val="0"/>
          <w:numId w:val="10"/>
        </w:numPr>
        <w:rPr>
          <w:lang w:eastAsia="en-GB"/>
        </w:rPr>
      </w:pPr>
      <w:r>
        <w:rPr>
          <w:lang w:eastAsia="en-GB"/>
        </w:rPr>
        <w:t>R2-2209808, Inter-RAT signalling based logged MDT override protection, Samsung R&amp;D Institute India</w:t>
      </w:r>
    </w:p>
    <w:p w:rsidR="00D02DF5" w:rsidRDefault="005112BD">
      <w:pPr>
        <w:pStyle w:val="ListParagraph"/>
        <w:numPr>
          <w:ilvl w:val="0"/>
          <w:numId w:val="10"/>
        </w:numPr>
        <w:rPr>
          <w:lang w:eastAsia="en-GB"/>
        </w:rPr>
      </w:pPr>
      <w:r>
        <w:rPr>
          <w:lang w:eastAsia="en-GB"/>
        </w:rPr>
        <w:t>R2-2209896, Discussion on the inter-system signalling based MDT override protection; Huawei, HiSilicon</w:t>
      </w:r>
    </w:p>
    <w:p w:rsidR="00D02DF5" w:rsidRDefault="005112BD">
      <w:pPr>
        <w:pStyle w:val="ListParagraph"/>
        <w:numPr>
          <w:ilvl w:val="0"/>
          <w:numId w:val="10"/>
        </w:numPr>
        <w:rPr>
          <w:lang w:eastAsia="en-GB"/>
        </w:rPr>
      </w:pPr>
      <w:r>
        <w:rPr>
          <w:lang w:eastAsia="en-GB"/>
        </w:rPr>
        <w:t>R2-2210028, Considerations on the signaling based logged MDT override protection for E-UTRAN; Beijing Xiaomi Software Tech</w:t>
      </w:r>
    </w:p>
    <w:p w:rsidR="00D02DF5" w:rsidRDefault="005112BD">
      <w:pPr>
        <w:pStyle w:val="ListParagraph"/>
        <w:numPr>
          <w:ilvl w:val="0"/>
          <w:numId w:val="10"/>
        </w:numPr>
        <w:rPr>
          <w:lang w:eastAsia="en-GB"/>
        </w:rPr>
      </w:pPr>
      <w:r>
        <w:rPr>
          <w:lang w:eastAsia="en-GB"/>
        </w:rPr>
        <w:t>R2-2210182, MDT enhancements; Ericsson</w:t>
      </w:r>
    </w:p>
    <w:p w:rsidR="00D02DF5" w:rsidRDefault="005112BD">
      <w:pPr>
        <w:pStyle w:val="ListParagraph"/>
        <w:numPr>
          <w:ilvl w:val="0"/>
          <w:numId w:val="10"/>
        </w:numPr>
        <w:rPr>
          <w:lang w:eastAsia="en-GB"/>
        </w:rPr>
      </w:pPr>
      <w:r>
        <w:rPr>
          <w:lang w:eastAsia="en-GB"/>
        </w:rPr>
        <w:t>R2-2210267, Signalling based Logged MDT override protection; Nokia, Nokia Shanghai Bell</w:t>
      </w:r>
    </w:p>
    <w:p w:rsidR="00D02DF5" w:rsidRDefault="005112BD">
      <w:pPr>
        <w:pStyle w:val="ListParagraph"/>
        <w:numPr>
          <w:ilvl w:val="0"/>
          <w:numId w:val="10"/>
        </w:numPr>
        <w:rPr>
          <w:lang w:eastAsia="en-GB"/>
        </w:rPr>
      </w:pPr>
      <w:r>
        <w:rPr>
          <w:lang w:eastAsia="en-GB"/>
        </w:rPr>
        <w:t>R2-2210288, Consideration on MDT override issues; ZTE Corporation, Sanechips</w:t>
      </w:r>
    </w:p>
    <w:p w:rsidR="00D02DF5" w:rsidRDefault="005112BD">
      <w:pPr>
        <w:pStyle w:val="ListParagraph"/>
        <w:numPr>
          <w:ilvl w:val="0"/>
          <w:numId w:val="10"/>
        </w:numPr>
      </w:pPr>
      <w:r>
        <w:rPr>
          <w:lang w:eastAsia="en-GB"/>
        </w:rPr>
        <w:t>R2-2208706, Report from SON/MDT session, Session chair (CMCC)</w:t>
      </w:r>
    </w:p>
    <w:p w:rsidR="00D02DF5" w:rsidRDefault="00D02DF5">
      <w:pPr>
        <w:pStyle w:val="ListParagraph"/>
        <w:rPr>
          <w:lang w:eastAsia="en-GB"/>
        </w:rPr>
      </w:pPr>
    </w:p>
    <w:p w:rsidR="00D02DF5" w:rsidRDefault="00D02DF5"/>
    <w:sectPr w:rsidR="00D02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63" w:rsidRDefault="00581863">
      <w:pPr>
        <w:spacing w:after="0"/>
      </w:pPr>
      <w:r>
        <w:separator/>
      </w:r>
    </w:p>
  </w:endnote>
  <w:endnote w:type="continuationSeparator" w:id="0">
    <w:p w:rsidR="00581863" w:rsidRDefault="005818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63" w:rsidRDefault="00581863">
      <w:pPr>
        <w:spacing w:after="0"/>
      </w:pPr>
      <w:r>
        <w:separator/>
      </w:r>
    </w:p>
  </w:footnote>
  <w:footnote w:type="continuationSeparator" w:id="0">
    <w:p w:rsidR="00581863" w:rsidRDefault="005818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81196"/>
    <w:multiLevelType w:val="hybridMultilevel"/>
    <w:tmpl w:val="D812CE84"/>
    <w:lvl w:ilvl="0" w:tplc="B48E5A40">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2"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BBC0F52"/>
    <w:multiLevelType w:val="hybridMultilevel"/>
    <w:tmpl w:val="DA4C570C"/>
    <w:lvl w:ilvl="0" w:tplc="5CDA92E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D11D47"/>
    <w:multiLevelType w:val="hybridMultilevel"/>
    <w:tmpl w:val="9384AC58"/>
    <w:lvl w:ilvl="0" w:tplc="F5DC9A44">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7"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4122B1C"/>
    <w:multiLevelType w:val="hybridMultilevel"/>
    <w:tmpl w:val="13728080"/>
    <w:lvl w:ilvl="0" w:tplc="9DE61AE4">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9"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15:restartNumberingAfterBreak="0">
    <w:nsid w:val="6053280D"/>
    <w:multiLevelType w:val="hybridMultilevel"/>
    <w:tmpl w:val="9866F82C"/>
    <w:lvl w:ilvl="0" w:tplc="F276350C">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7"/>
  </w:num>
  <w:num w:numId="4">
    <w:abstractNumId w:val="14"/>
  </w:num>
  <w:num w:numId="5">
    <w:abstractNumId w:val="2"/>
  </w:num>
  <w:num w:numId="6">
    <w:abstractNumId w:val="9"/>
  </w:num>
  <w:num w:numId="7">
    <w:abstractNumId w:val="13"/>
  </w:num>
  <w:num w:numId="8">
    <w:abstractNumId w:val="4"/>
  </w:num>
  <w:num w:numId="9">
    <w:abstractNumId w:val="11"/>
  </w:num>
  <w:num w:numId="10">
    <w:abstractNumId w:val="0"/>
  </w:num>
  <w:num w:numId="11">
    <w:abstractNumId w:val="12"/>
  </w:num>
  <w:num w:numId="12">
    <w:abstractNumId w:val="8"/>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zcxMDAwtrA0MzFQ0lEKTi0uzszPAykwrAUA2WJ0uiwAAAA="/>
  </w:docVars>
  <w:rsids>
    <w:rsidRoot w:val="000B7BCF"/>
    <w:rsid w:val="000019E6"/>
    <w:rsid w:val="000156F7"/>
    <w:rsid w:val="00016557"/>
    <w:rsid w:val="00023C40"/>
    <w:rsid w:val="00023F99"/>
    <w:rsid w:val="000277A8"/>
    <w:rsid w:val="00033397"/>
    <w:rsid w:val="00037227"/>
    <w:rsid w:val="00040095"/>
    <w:rsid w:val="00044E30"/>
    <w:rsid w:val="000575A9"/>
    <w:rsid w:val="00073C9C"/>
    <w:rsid w:val="00080512"/>
    <w:rsid w:val="00090468"/>
    <w:rsid w:val="0009164A"/>
    <w:rsid w:val="00094568"/>
    <w:rsid w:val="000B2AF1"/>
    <w:rsid w:val="000B7BCF"/>
    <w:rsid w:val="000C522B"/>
    <w:rsid w:val="000D58AB"/>
    <w:rsid w:val="000E3F17"/>
    <w:rsid w:val="00112F1A"/>
    <w:rsid w:val="00125DB1"/>
    <w:rsid w:val="00141728"/>
    <w:rsid w:val="00145075"/>
    <w:rsid w:val="001631F8"/>
    <w:rsid w:val="001741A0"/>
    <w:rsid w:val="00175FA0"/>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C0307"/>
    <w:rsid w:val="002C0998"/>
    <w:rsid w:val="002C1BA0"/>
    <w:rsid w:val="002E0427"/>
    <w:rsid w:val="002F0D22"/>
    <w:rsid w:val="002F2165"/>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E6C"/>
    <w:rsid w:val="00565087"/>
    <w:rsid w:val="0056573F"/>
    <w:rsid w:val="00581863"/>
    <w:rsid w:val="005842E2"/>
    <w:rsid w:val="005A37CE"/>
    <w:rsid w:val="005A49C6"/>
    <w:rsid w:val="005C476B"/>
    <w:rsid w:val="005C6381"/>
    <w:rsid w:val="005F253A"/>
    <w:rsid w:val="00604059"/>
    <w:rsid w:val="00611566"/>
    <w:rsid w:val="00646D99"/>
    <w:rsid w:val="00656910"/>
    <w:rsid w:val="006574C0"/>
    <w:rsid w:val="006A7537"/>
    <w:rsid w:val="006B19F1"/>
    <w:rsid w:val="006C2603"/>
    <w:rsid w:val="006C66D8"/>
    <w:rsid w:val="006D1E24"/>
    <w:rsid w:val="006D35DE"/>
    <w:rsid w:val="006E1417"/>
    <w:rsid w:val="006E66DE"/>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0CDD"/>
    <w:rsid w:val="007C2DD0"/>
    <w:rsid w:val="007C5DA6"/>
    <w:rsid w:val="007E41C4"/>
    <w:rsid w:val="007F29FE"/>
    <w:rsid w:val="007F2E08"/>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7BD1"/>
    <w:rsid w:val="00B47FD1"/>
    <w:rsid w:val="00B516BB"/>
    <w:rsid w:val="00B6004F"/>
    <w:rsid w:val="00B84DB2"/>
    <w:rsid w:val="00BA0683"/>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A72F9"/>
    <w:rsid w:val="00CB3A07"/>
    <w:rsid w:val="00CB72B8"/>
    <w:rsid w:val="00CD194F"/>
    <w:rsid w:val="00CD4C7B"/>
    <w:rsid w:val="00CD58FE"/>
    <w:rsid w:val="00D02DF5"/>
    <w:rsid w:val="00D33BE3"/>
    <w:rsid w:val="00D3792D"/>
    <w:rsid w:val="00D52A35"/>
    <w:rsid w:val="00D55E47"/>
    <w:rsid w:val="00D62E19"/>
    <w:rsid w:val="00D6428F"/>
    <w:rsid w:val="00D65B8B"/>
    <w:rsid w:val="00D67CD1"/>
    <w:rsid w:val="00D738D6"/>
    <w:rsid w:val="00D80294"/>
    <w:rsid w:val="00D80795"/>
    <w:rsid w:val="00D807A3"/>
    <w:rsid w:val="00D854BE"/>
    <w:rsid w:val="00D85B53"/>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41626"/>
    <w:rsid w:val="00E46C08"/>
    <w:rsid w:val="00E471CF"/>
    <w:rsid w:val="00E62835"/>
    <w:rsid w:val="00E62BBC"/>
    <w:rsid w:val="00E70A29"/>
    <w:rsid w:val="00E77645"/>
    <w:rsid w:val="00E83697"/>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79CD"/>
    <w:rsid w:val="00F653B8"/>
    <w:rsid w:val="00F65A94"/>
    <w:rsid w:val="00F66DF4"/>
    <w:rsid w:val="00F70F3E"/>
    <w:rsid w:val="00F71B89"/>
    <w:rsid w:val="00F7353C"/>
    <w:rsid w:val="00F76F8F"/>
    <w:rsid w:val="00F941DF"/>
    <w:rsid w:val="00F96412"/>
    <w:rsid w:val="00F96FA2"/>
    <w:rsid w:val="00FA1266"/>
    <w:rsid w:val="00FB36FA"/>
    <w:rsid w:val="00FC1192"/>
    <w:rsid w:val="00FD3BD4"/>
    <w:rsid w:val="00FD4C03"/>
    <w:rsid w:val="00FE251B"/>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8E4AB"/>
  <w15:docId w15:val="{BDBB8273-4CDB-417E-8C7F-CDCFA1A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rPr>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91527E18-D49D-4674-AFB1-50FAD32A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(Aby)</cp:lastModifiedBy>
  <cp:revision>7</cp:revision>
  <dcterms:created xsi:type="dcterms:W3CDTF">2022-10-13T07:51:00Z</dcterms:created>
  <dcterms:modified xsi:type="dcterms:W3CDTF">2022-10-13T08:03:00Z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ies>
</file>