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Hyperlink"/>
          </w:rPr>
          <w:t>R2-2210818</w:t>
        </w:r>
      </w:hyperlink>
      <w:r>
        <w:t xml:space="preserve"> and CR in </w:t>
      </w:r>
      <w:hyperlink r:id="rId14" w:history="1">
        <w:r>
          <w:rPr>
            <w:rStyle w:val="Hyperlink"/>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BodyText"/>
        <w:tabs>
          <w:tab w:val="left" w:pos="1429"/>
        </w:tabs>
      </w:pPr>
      <w:r w:rsidRPr="00F121A8">
        <w:rPr>
          <w:color w:val="00B050"/>
        </w:rPr>
        <w:t xml:space="preserve">A final round with Final deadline W2 </w:t>
      </w:r>
      <w:r w:rsidR="00F52BF1" w:rsidRPr="00F52BF1">
        <w:rPr>
          <w:color w:val="00B050"/>
        </w:rPr>
        <w:t>W2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6C5156">
            <w:pPr>
              <w:pStyle w:val="BodyText"/>
            </w:pPr>
            <w:r>
              <w:rPr>
                <w:rFonts w:hint="eastAsia"/>
              </w:rPr>
              <w:t>Z</w:t>
            </w:r>
            <w:r>
              <w:t>TE</w:t>
            </w:r>
          </w:p>
        </w:tc>
        <w:tc>
          <w:tcPr>
            <w:tcW w:w="1701" w:type="dxa"/>
            <w:shd w:val="clear" w:color="auto" w:fill="auto"/>
          </w:tcPr>
          <w:p w14:paraId="33DCF76B" w14:textId="4B1836D6"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rPr>
                <w:rFonts w:hint="eastAsia"/>
              </w:rPr>
              <w:t>L</w:t>
            </w:r>
            <w:r>
              <w:t>iuJing</w:t>
            </w:r>
          </w:p>
        </w:tc>
        <w:tc>
          <w:tcPr>
            <w:tcW w:w="5665" w:type="dxa"/>
            <w:shd w:val="clear" w:color="auto" w:fill="auto"/>
          </w:tcPr>
          <w:p w14:paraId="3F0C8176" w14:textId="72ECE024" w:rsidR="000F2AFF" w:rsidRDefault="00747C63" w:rsidP="006C5156">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6C5156">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6C5156">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Tangxun</w:t>
            </w:r>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734FD2"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Hyperlink"/>
                </w:rPr>
                <w:t>jarkko.t.koskela@nokia.com</w:t>
              </w:r>
            </w:hyperlink>
          </w:p>
        </w:tc>
      </w:tr>
      <w:tr w:rsidR="002A67C5" w14:paraId="2BDB7247"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BodyText"/>
            </w:pPr>
            <w:r>
              <w:t>CATT</w:t>
            </w:r>
          </w:p>
        </w:tc>
        <w:tc>
          <w:tcPr>
            <w:tcW w:w="1701" w:type="dxa"/>
            <w:shd w:val="clear" w:color="auto" w:fill="auto"/>
          </w:tcPr>
          <w:p w14:paraId="5BA554E5" w14:textId="2302C00C"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Bufang</w:t>
            </w:r>
            <w:r>
              <w:t xml:space="preserve"> Zhang</w:t>
            </w:r>
          </w:p>
        </w:tc>
        <w:tc>
          <w:tcPr>
            <w:tcW w:w="5665" w:type="dxa"/>
            <w:shd w:val="clear" w:color="auto" w:fill="auto"/>
          </w:tcPr>
          <w:p w14:paraId="70B6B21A" w14:textId="580D231F"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BodyText"/>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BodyText"/>
              <w:rPr>
                <w:rFonts w:eastAsia="Malgun Gothic"/>
                <w:lang w:eastAsia="ko-KR"/>
              </w:rPr>
            </w:pPr>
            <w:r>
              <w:rPr>
                <w:rFonts w:eastAsia="Malgun Gothic" w:hint="eastAsia"/>
                <w:lang w:eastAsia="ko-KR"/>
              </w:rPr>
              <w:t>S</w:t>
            </w:r>
            <w:r>
              <w:rPr>
                <w:rFonts w:eastAsia="Malgun Gothic"/>
                <w:lang w:eastAsia="ko-KR"/>
              </w:rPr>
              <w:t>preadtrum</w:t>
            </w:r>
          </w:p>
        </w:tc>
        <w:tc>
          <w:tcPr>
            <w:tcW w:w="1701" w:type="dxa"/>
            <w:shd w:val="clear" w:color="auto" w:fill="auto"/>
          </w:tcPr>
          <w:p w14:paraId="4265472C" w14:textId="2E20C956"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1576C2D2" w14:textId="1642B9E1"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BodyText"/>
              <w:rPr>
                <w:rFonts w:eastAsia="Yu Mincho"/>
                <w:lang w:eastAsia="ja-JP"/>
              </w:rPr>
            </w:pPr>
            <w:r>
              <w:rPr>
                <w:rFonts w:eastAsia="Yu Mincho"/>
                <w:lang w:eastAsia="ja-JP"/>
              </w:rPr>
              <w:t>Huawei, HiSilicon</w:t>
            </w:r>
          </w:p>
        </w:tc>
        <w:tc>
          <w:tcPr>
            <w:tcW w:w="1701" w:type="dxa"/>
            <w:shd w:val="clear" w:color="auto" w:fill="auto"/>
          </w:tcPr>
          <w:p w14:paraId="02370979" w14:textId="0E7347B8"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BodyText"/>
              <w:rPr>
                <w:rFonts w:eastAsia="Yu Mincho"/>
                <w:lang w:eastAsia="ja-JP"/>
              </w:rPr>
            </w:pPr>
            <w:r>
              <w:t>Lenovo</w:t>
            </w:r>
          </w:p>
        </w:tc>
        <w:tc>
          <w:tcPr>
            <w:tcW w:w="1701" w:type="dxa"/>
            <w:shd w:val="clear" w:color="auto" w:fill="auto"/>
          </w:tcPr>
          <w:p w14:paraId="40218E49" w14:textId="5F401406" w:rsidR="00587671" w:rsidRDefault="00587671"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25B414D7" w:rsidR="00587671" w:rsidRDefault="00D55B76"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6" w:history="1">
              <w:r w:rsidRPr="00CA0D55">
                <w:rPr>
                  <w:rStyle w:val="Hyperlink"/>
                </w:rPr>
                <w:t>Zhangcc16@lenovo.com</w:t>
              </w:r>
            </w:hyperlink>
          </w:p>
        </w:tc>
      </w:tr>
      <w:tr w:rsidR="00D55B76" w14:paraId="22DCA1C9"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BodyText"/>
            </w:pPr>
            <w:r>
              <w:t>Ericsson</w:t>
            </w:r>
          </w:p>
        </w:tc>
        <w:tc>
          <w:tcPr>
            <w:tcW w:w="1701" w:type="dxa"/>
            <w:shd w:val="clear" w:color="auto" w:fill="auto"/>
          </w:tcPr>
          <w:p w14:paraId="5EB41F51" w14:textId="50393406" w:rsidR="00D55B76" w:rsidRDefault="00D55B76" w:rsidP="00D55B76">
            <w:pPr>
              <w:pStyle w:val="BodyText"/>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3D8DBAA6" w:rsidR="00D55B76" w:rsidRDefault="00D55B76" w:rsidP="00D55B76">
            <w:pPr>
              <w:pStyle w:val="BodyText"/>
              <w:cnfStyle w:val="000000000000" w:firstRow="0" w:lastRow="0" w:firstColumn="0" w:lastColumn="0" w:oddVBand="0" w:evenVBand="0" w:oddHBand="0" w:evenHBand="0" w:firstRowFirstColumn="0" w:firstRowLastColumn="0" w:lastRowFirstColumn="0" w:lastRowLastColumn="0"/>
            </w:pPr>
            <w:r>
              <w:t>stefan.wager@ericsson.com</w:t>
            </w: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lastRenderedPageBreak/>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734FD2" w:rsidP="00E66D8F">
      <w:pPr>
        <w:pStyle w:val="Doc-title"/>
      </w:pPr>
      <w:hyperlink r:id="rId17"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734FD2" w:rsidP="00E66D8F">
      <w:pPr>
        <w:pStyle w:val="Doc-title"/>
      </w:pPr>
      <w:hyperlink r:id="rId18"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19" w:history="1">
        <w:r>
          <w:rPr>
            <w:rStyle w:val="Hyperlink"/>
          </w:rPr>
          <w:t>R2-2210819</w:t>
        </w:r>
      </w:hyperlink>
    </w:p>
    <w:p w14:paraId="121913E3" w14:textId="77777777" w:rsidR="00E66D8F" w:rsidRDefault="00734FD2" w:rsidP="00E66D8F">
      <w:pPr>
        <w:pStyle w:val="Doc-title"/>
      </w:pPr>
      <w:hyperlink r:id="rId20"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734FD2" w:rsidP="00E66D8F">
      <w:pPr>
        <w:pStyle w:val="Doc-title"/>
      </w:pPr>
      <w:hyperlink r:id="rId21"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r w:rsidR="00DD1890">
        <w:t xml:space="preserve">PSCell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2"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if the Serving Cell is PSCell and the SCG is activated (as specified in clause 5.29) or if the Serving Cell is not the PSCell</w:t>
      </w:r>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PSCell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PSCell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3"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lastRenderedPageBreak/>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ell is the PSCell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SCells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PSCell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PSCell.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PSCell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DB00A3">
            <w:pPr>
              <w:pStyle w:val="BodyText"/>
            </w:pPr>
            <w:r>
              <w:t>ZTE</w:t>
            </w:r>
          </w:p>
        </w:tc>
        <w:tc>
          <w:tcPr>
            <w:tcW w:w="1139" w:type="dxa"/>
            <w:shd w:val="clear" w:color="auto" w:fill="auto"/>
          </w:tcPr>
          <w:p w14:paraId="688A2063" w14:textId="3782FB2D" w:rsidR="00981069" w:rsidRDefault="00D14ECE"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DB00A3">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DB00A3">
            <w:pPr>
              <w:pStyle w:val="BodyText"/>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BodyText"/>
            </w:pPr>
            <w:r>
              <w:t>Intel</w:t>
            </w:r>
          </w:p>
        </w:tc>
        <w:tc>
          <w:tcPr>
            <w:tcW w:w="1139"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BodyText"/>
            </w:pPr>
            <w:r>
              <w:t>MediaTek</w:t>
            </w:r>
          </w:p>
        </w:tc>
        <w:tc>
          <w:tcPr>
            <w:tcW w:w="1139"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BodyText"/>
            </w:pPr>
            <w:r>
              <w:t>Nokia</w:t>
            </w:r>
          </w:p>
        </w:tc>
        <w:tc>
          <w:tcPr>
            <w:tcW w:w="1139"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BodyText"/>
            </w:pPr>
            <w:r>
              <w:rPr>
                <w:rFonts w:hint="eastAsia"/>
              </w:rPr>
              <w:t>C</w:t>
            </w:r>
            <w:r>
              <w:t>ATT</w:t>
            </w:r>
          </w:p>
        </w:tc>
        <w:tc>
          <w:tcPr>
            <w:tcW w:w="1139" w:type="dxa"/>
            <w:shd w:val="clear" w:color="auto" w:fill="auto"/>
          </w:tcPr>
          <w:p w14:paraId="3CB7212A" w14:textId="7067A341" w:rsidR="0032012D"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However, the state for PSCell in deactivated SCG and the state for PSCell in activated SCG </w:t>
            </w:r>
            <w:r>
              <w:rPr>
                <w:rFonts w:hint="eastAsia"/>
              </w:rPr>
              <w:t xml:space="preserve">is not </w:t>
            </w:r>
            <w:r>
              <w:t xml:space="preserve">clear. </w:t>
            </w:r>
          </w:p>
          <w:p w14:paraId="50B0F1DA" w14:textId="5DBA500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PSCell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or the Serving Cell is PSCell of deactivated SCG</w:t>
              </w:r>
            </w:ins>
            <w:r>
              <w:t>” may be senseless</w:t>
            </w:r>
            <w:r w:rsidR="00886214">
              <w:t>, since it will never be performed.</w:t>
            </w:r>
          </w:p>
          <w:tbl>
            <w:tblPr>
              <w:tblStyle w:val="TableGrid"/>
              <w:tblW w:w="0" w:type="auto"/>
              <w:tblLook w:val="04A0" w:firstRow="1" w:lastRow="0" w:firstColumn="1" w:lastColumn="0" w:noHBand="0" w:noVBand="1"/>
            </w:tblPr>
            <w:tblGrid>
              <w:gridCol w:w="6427"/>
            </w:tblGrid>
            <w:tr w:rsidR="0032012D" w14:paraId="7F090D4E" w14:textId="77777777" w:rsidTr="004F03D7">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tc>
            </w:tr>
          </w:tbl>
          <w:p w14:paraId="1950650C"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SpCell is always activated. </w:t>
            </w:r>
            <w:r w:rsidRPr="00CB214F">
              <w:rPr>
                <w:rFonts w:eastAsia="Malgun Gothic"/>
                <w:lang w:eastAsia="ko-KR"/>
              </w:rPr>
              <w:t>Thus, we think PSCell is always activated even if SCG is deactivated.</w:t>
            </w:r>
          </w:p>
          <w:p w14:paraId="58800E3D" w14:textId="4CEA853D" w:rsidR="00CB214F" w:rsidRPr="00CB214F"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BodyText"/>
            </w:pPr>
            <w:r>
              <w:rPr>
                <w:rFonts w:hint="eastAsia"/>
              </w:rPr>
              <w:t>Spreadtrum</w:t>
            </w:r>
          </w:p>
        </w:tc>
        <w:tc>
          <w:tcPr>
            <w:tcW w:w="1139" w:type="dxa"/>
            <w:shd w:val="clear" w:color="auto" w:fill="auto"/>
          </w:tcPr>
          <w:p w14:paraId="0A99A30D" w14:textId="20112160" w:rsidR="00CB214F" w:rsidRDefault="00EF24E0" w:rsidP="00CB214F">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BodyText"/>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he BWP actions when Serving Cell is the PSCell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328E8C6" w14:textId="77777777" w:rsidR="0092338C" w:rsidRPr="00344759"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if the Serving Cell is not the PSCell</w:t>
            </w:r>
            <w:r>
              <w:rPr>
                <w:rFonts w:cs="Arial"/>
                <w:lang w:val="en-US"/>
              </w:rPr>
              <w:t>’ or not is unclear</w:t>
            </w:r>
            <w:r w:rsidRPr="00783B72">
              <w:rPr>
                <w:rFonts w:cs="Arial"/>
                <w:lang w:val="en-US"/>
              </w:rPr>
              <w:t>.</w:t>
            </w:r>
          </w:p>
          <w:p w14:paraId="41E7DA3A" w14:textId="4376B498"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BodyText"/>
              <w:rPr>
                <w:rFonts w:eastAsia="Yu Mincho"/>
                <w:lang w:eastAsia="ja-JP"/>
              </w:rPr>
            </w:pPr>
            <w:r>
              <w:rPr>
                <w:rFonts w:eastAsia="Yu Mincho"/>
                <w:lang w:eastAsia="ja-JP"/>
              </w:rPr>
              <w:t>Huawei, HiSilicon</w:t>
            </w:r>
          </w:p>
        </w:tc>
        <w:tc>
          <w:tcPr>
            <w:tcW w:w="1139" w:type="dxa"/>
            <w:shd w:val="clear" w:color="auto" w:fill="auto"/>
          </w:tcPr>
          <w:p w14:paraId="24DCF51C" w14:textId="6095D1CC"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LGE about PSCell, same is captured in 38.300.</w:t>
            </w:r>
          </w:p>
          <w:p w14:paraId="7DD55B67" w14:textId="6AE100B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BodyText"/>
              <w:rPr>
                <w:rFonts w:eastAsia="Yu Mincho"/>
                <w:lang w:eastAsia="ja-JP"/>
              </w:rPr>
            </w:pPr>
            <w:r>
              <w:t>Lenovo</w:t>
            </w:r>
          </w:p>
        </w:tc>
        <w:tc>
          <w:tcPr>
            <w:tcW w:w="1139" w:type="dxa"/>
            <w:shd w:val="clear" w:color="auto" w:fill="auto"/>
          </w:tcPr>
          <w:p w14:paraId="633D7325" w14:textId="508D4896" w:rsidR="00F83836" w:rsidRDefault="00F83836" w:rsidP="00F8383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BodyText"/>
            </w:pPr>
            <w:r>
              <w:t>Ericsson</w:t>
            </w:r>
          </w:p>
        </w:tc>
        <w:tc>
          <w:tcPr>
            <w:tcW w:w="1139" w:type="dxa"/>
            <w:shd w:val="clear" w:color="auto" w:fill="auto"/>
          </w:tcPr>
          <w:p w14:paraId="640D86E2" w14:textId="3B60BA0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Regarding the comment from CATT on whether the PSCell is activated or not for deactivated SCG, we share the </w:t>
            </w:r>
            <w:r w:rsidR="00D55B76">
              <w:rPr>
                <w:rFonts w:eastAsia="Yu Mincho"/>
                <w:lang w:eastAsia="ja-JP"/>
              </w:rPr>
              <w:t>understanding</w:t>
            </w:r>
            <w:r>
              <w:rPr>
                <w:rFonts w:eastAsia="Yu Mincho"/>
                <w:lang w:eastAsia="ja-JP"/>
              </w:rPr>
              <w:t xml:space="preserve"> of other companies that so far SpCell could not be deactivated, and we should stick to that.</w:t>
            </w: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4" w:history="1">
        <w:r w:rsidR="00C722B2" w:rsidRPr="000C592C">
          <w:rPr>
            <w:rStyle w:val="Hyperlink"/>
          </w:rPr>
          <w:t>link</w:t>
        </w:r>
      </w:hyperlink>
      <w:r w:rsidR="00C722B2">
        <w:t>)</w:t>
      </w:r>
      <w:r w:rsidR="002A7330">
        <w:t xml:space="preserve">. I used the CR in </w:t>
      </w:r>
      <w:hyperlink r:id="rId25"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correct the BWP handling for PSCell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DB00A3">
            <w:pPr>
              <w:pStyle w:val="BodyText"/>
            </w:pPr>
            <w:r>
              <w:t>Company</w:t>
            </w:r>
          </w:p>
        </w:tc>
        <w:tc>
          <w:tcPr>
            <w:tcW w:w="7796" w:type="dxa"/>
          </w:tcPr>
          <w:p w14:paraId="39CF526E" w14:textId="77777777" w:rsidR="00836446" w:rsidRDefault="00836446"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DB00A3">
            <w:pPr>
              <w:pStyle w:val="BodyText"/>
            </w:pPr>
            <w:r>
              <w:rPr>
                <w:rFonts w:hint="eastAsia"/>
              </w:rPr>
              <w:t>Z</w:t>
            </w:r>
            <w:r>
              <w:t>TE</w:t>
            </w:r>
          </w:p>
        </w:tc>
        <w:tc>
          <w:tcPr>
            <w:tcW w:w="7796" w:type="dxa"/>
            <w:shd w:val="clear" w:color="auto" w:fill="auto"/>
          </w:tcPr>
          <w:p w14:paraId="3269ACE8" w14:textId="092AF952" w:rsid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DB00A3">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DB00A3">
            <w:pPr>
              <w:pStyle w:val="BodyText"/>
            </w:pPr>
            <w:r>
              <w:t>Nokia</w:t>
            </w:r>
          </w:p>
        </w:tc>
        <w:tc>
          <w:tcPr>
            <w:tcW w:w="7796" w:type="dxa"/>
            <w:shd w:val="clear" w:color="auto" w:fill="auto"/>
          </w:tcPr>
          <w:p w14:paraId="170CB061" w14:textId="5AD8444E" w:rsidR="00836446" w:rsidRDefault="00560686" w:rsidP="00DB00A3">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DB00A3">
            <w:pPr>
              <w:pStyle w:val="BodyText"/>
            </w:pPr>
            <w:r>
              <w:rPr>
                <w:rFonts w:hint="eastAsia"/>
              </w:rPr>
              <w:t>C</w:t>
            </w:r>
            <w:r>
              <w:t>ATT</w:t>
            </w:r>
          </w:p>
        </w:tc>
        <w:tc>
          <w:tcPr>
            <w:tcW w:w="7796" w:type="dxa"/>
            <w:shd w:val="clear" w:color="auto" w:fill="auto"/>
          </w:tcPr>
          <w:p w14:paraId="555595B5" w14:textId="59F04A79"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lastRenderedPageBreak/>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PSCell in deactivated SCG, or the PSCell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PSCell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PSCell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DB00A3">
            <w:pPr>
              <w:pStyle w:val="BodyText"/>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BodyText"/>
            </w:pPr>
            <w:r>
              <w:rPr>
                <w:rFonts w:eastAsia="Malgun Gothic" w:hint="eastAsia"/>
                <w:lang w:eastAsia="ko-KR"/>
              </w:rPr>
              <w:lastRenderedPageBreak/>
              <w:t>L</w:t>
            </w:r>
            <w:r>
              <w:rPr>
                <w:rFonts w:eastAsia="Malgun Gothic"/>
                <w:lang w:eastAsia="ko-KR"/>
              </w:rPr>
              <w:t>GE</w:t>
            </w:r>
          </w:p>
        </w:tc>
        <w:tc>
          <w:tcPr>
            <w:tcW w:w="7796" w:type="dxa"/>
            <w:shd w:val="clear" w:color="auto" w:fill="auto"/>
          </w:tcPr>
          <w:p w14:paraId="72E4A0B1" w14:textId="449F83D4"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BodyText"/>
            </w:pPr>
            <w:r>
              <w:rPr>
                <w:rFonts w:hint="eastAsia"/>
              </w:rPr>
              <w:t>Spreadtrum</w:t>
            </w:r>
          </w:p>
        </w:tc>
        <w:tc>
          <w:tcPr>
            <w:tcW w:w="7796" w:type="dxa"/>
            <w:shd w:val="clear" w:color="auto" w:fill="auto"/>
          </w:tcPr>
          <w:p w14:paraId="45F0E5CB" w14:textId="5DFAE5CD"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BodyText"/>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PSCell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ell is the PSCell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PSCell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7"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if the Serving Cell is PSCell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r w:rsidRPr="000B2AEF">
                <w:rPr>
                  <w:i/>
                  <w:iCs/>
                  <w:lang w:eastAsia="ko-KR"/>
                </w:rPr>
                <w:t>firstActiveDownlinkBWP-Id</w:t>
              </w:r>
              <w:r>
                <w:rPr>
                  <w:lang w:eastAsia="ko-KR"/>
                </w:rPr>
                <w:t xml:space="preserve"> is </w:t>
              </w:r>
              <w:r w:rsidRPr="006830CB">
                <w:rPr>
                  <w:lang w:eastAsia="ko-KR"/>
                </w:rPr>
                <w:t xml:space="preserve">included in the </w:t>
              </w:r>
              <w:r w:rsidRPr="006830CB">
                <w:rPr>
                  <w:i/>
                  <w:iCs/>
                  <w:lang w:eastAsia="ko-KR"/>
                </w:rPr>
                <w:t>spCellConfigDedicated</w:t>
              </w:r>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r w:rsidRPr="000B2AEF">
                <w:rPr>
                  <w:i/>
                  <w:iCs/>
                  <w:lang w:eastAsia="ko-KR"/>
                </w:rPr>
                <w:t>firstActiveDownlinkBWP-Id</w:t>
              </w:r>
              <w:r w:rsidRPr="000B2AEF">
                <w:rPr>
                  <w:lang w:eastAsia="ko-KR"/>
                </w:rPr>
                <w:t xml:space="preserve"> </w:t>
              </w:r>
              <w:r w:rsidRPr="00611D6E">
                <w:rPr>
                  <w:rFonts w:eastAsia="Times New Roman"/>
                  <w:lang w:eastAsia="ko-KR"/>
                </w:rPr>
                <w:t>as an active DL BWP on the PSCell</w:t>
              </w:r>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as an active DL BWP on the PSCell</w:t>
              </w:r>
            </w:ins>
            <w:r w:rsidRPr="00611D6E">
              <w:rPr>
                <w:rFonts w:eastAsia="Times New Roman"/>
                <w:lang w:eastAsia="ko-KR"/>
              </w:rPr>
              <w:t>.</w:t>
            </w:r>
          </w:p>
          <w:p w14:paraId="5641B97A" w14:textId="77777777" w:rsidR="0092338C" w:rsidRP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BodyText"/>
              <w:rPr>
                <w:rFonts w:eastAsia="Yu Mincho"/>
                <w:lang w:eastAsia="ja-JP"/>
              </w:rPr>
            </w:pPr>
            <w:r>
              <w:rPr>
                <w:rFonts w:eastAsia="Yu Mincho"/>
                <w:lang w:eastAsia="ja-JP"/>
              </w:rPr>
              <w:lastRenderedPageBreak/>
              <w:t>Huawei, HiSilicon</w:t>
            </w:r>
          </w:p>
        </w:tc>
        <w:tc>
          <w:tcPr>
            <w:tcW w:w="7796" w:type="dxa"/>
            <w:shd w:val="clear" w:color="auto" w:fill="auto"/>
          </w:tcPr>
          <w:p w14:paraId="3A7AC22D" w14:textId="491DEA93" w:rsidR="00B177D5" w:rsidRDefault="00B177D5"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BodyText"/>
              <w:rPr>
                <w:rFonts w:eastAsia="Yu Mincho"/>
                <w:lang w:eastAsia="ja-JP"/>
              </w:rPr>
            </w:pPr>
            <w:r>
              <w:rPr>
                <w:rFonts w:eastAsia="Yu Mincho"/>
                <w:lang w:eastAsia="ja-JP"/>
              </w:rPr>
              <w:t>Ericsson</w:t>
            </w:r>
          </w:p>
        </w:tc>
        <w:tc>
          <w:tcPr>
            <w:tcW w:w="7796" w:type="dxa"/>
            <w:shd w:val="clear" w:color="auto" w:fill="auto"/>
          </w:tcPr>
          <w:p w14:paraId="65AF03A4" w14:textId="0D57EF8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sidR="00A0358B">
              <w:rPr>
                <w:rFonts w:eastAsia="Yu Mincho"/>
              </w:rPr>
              <w:t xml:space="preserve">from Sharp </w:t>
            </w:r>
            <w:r>
              <w:rPr>
                <w:rFonts w:eastAsia="Yu Mincho"/>
              </w:rPr>
              <w:t>on the BWP actions on PSCell when SCG is deactivated, we are not sure the</w:t>
            </w:r>
            <w:r w:rsidR="00A0358B">
              <w:rPr>
                <w:rFonts w:eastAsia="Yu Mincho"/>
              </w:rPr>
              <w:t xml:space="preserve"> proposed</w:t>
            </w:r>
            <w:r>
              <w:rPr>
                <w:rFonts w:eastAsia="Yu Mincho"/>
              </w:rPr>
              <w:t xml:space="preserve"> addition is needed, as the current text in 5.15.1 does not mention monitoring of DL radio link qu</w:t>
            </w:r>
            <w:r w:rsidR="00A0358B">
              <w:rPr>
                <w:rFonts w:eastAsia="Yu Mincho"/>
              </w:rPr>
              <w:t>a</w:t>
            </w:r>
            <w:r>
              <w:rPr>
                <w:rFonts w:eastAsia="Yu Mincho"/>
              </w:rPr>
              <w:t>lity, so it is not in conflict with the sentence from 38.213:</w:t>
            </w:r>
          </w:p>
          <w:p w14:paraId="0E781E7E" w14:textId="77777777" w:rsidR="006D0255" w:rsidRDefault="006D0255" w:rsidP="00A0358B">
            <w:pPr>
              <w:pStyle w:val="BodyText"/>
              <w:ind w:left="567"/>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rPr>
            </w:pP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r w:rsidRPr="00F24CC6">
              <w:rPr>
                <w:rFonts w:ascii="Times New Roman" w:eastAsia="DengXian" w:hAnsi="Times New Roman"/>
              </w:rPr>
              <w:t>PSCell</w:t>
            </w:r>
          </w:p>
          <w:p w14:paraId="37400BAC" w14:textId="2CB824C3" w:rsidR="00A0358B" w:rsidRPr="00A0358B" w:rsidRDefault="00A0358B"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Pr>
                <w:rFonts w:eastAsia="Yu Mincho"/>
              </w:rPr>
              <w:t>from CATT, with the common understanding that PSCell is activated, we see no need to add the additional in the first line.</w:t>
            </w:r>
          </w:p>
        </w:tc>
      </w:tr>
      <w:tr w:rsidR="00A0358B"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7777777" w:rsidR="00A0358B" w:rsidRDefault="00A0358B" w:rsidP="006D0255">
            <w:pPr>
              <w:pStyle w:val="BodyText"/>
              <w:rPr>
                <w:rFonts w:eastAsia="Yu Mincho"/>
                <w:lang w:eastAsia="ja-JP"/>
              </w:rPr>
            </w:pPr>
          </w:p>
        </w:tc>
        <w:tc>
          <w:tcPr>
            <w:tcW w:w="7796" w:type="dxa"/>
            <w:shd w:val="clear" w:color="auto" w:fill="auto"/>
          </w:tcPr>
          <w:p w14:paraId="77A0CB84" w14:textId="77777777" w:rsidR="00A0358B" w:rsidRDefault="00A0358B" w:rsidP="006D0255">
            <w:pPr>
              <w:pStyle w:val="BodyText"/>
              <w:cnfStyle w:val="000000000000" w:firstRow="0" w:lastRow="0" w:firstColumn="0" w:lastColumn="0" w:oddVBand="0" w:evenVBand="0" w:oddHBand="0" w:evenHBand="0" w:firstRowFirstColumn="0" w:firstRowLastColumn="0" w:lastRowFirstColumn="0" w:lastRowLastColumn="0"/>
            </w:pPr>
          </w:p>
        </w:tc>
      </w:tr>
    </w:tbl>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t>3.2</w:t>
      </w:r>
      <w:r>
        <w:tab/>
      </w:r>
      <w:r w:rsidR="00C41257">
        <w:t>SCG activation timing</w:t>
      </w:r>
    </w:p>
    <w:p w14:paraId="6D74DD5B" w14:textId="7EDF112A" w:rsidR="002A7330" w:rsidRDefault="00D6582F" w:rsidP="00FF7FC9">
      <w:pPr>
        <w:pStyle w:val="BodyText"/>
      </w:pPr>
      <w:r>
        <w:t xml:space="preserve">The CR in </w:t>
      </w:r>
      <w:hyperlink r:id="rId26"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DB00A3">
            <w:pPr>
              <w:pStyle w:val="BodyText"/>
            </w:pPr>
            <w:r>
              <w:rPr>
                <w:rFonts w:hint="eastAsia"/>
              </w:rPr>
              <w:t>Z</w:t>
            </w:r>
            <w:r>
              <w:t>TE</w:t>
            </w:r>
          </w:p>
        </w:tc>
        <w:tc>
          <w:tcPr>
            <w:tcW w:w="1134" w:type="dxa"/>
            <w:shd w:val="clear" w:color="auto" w:fill="auto"/>
          </w:tcPr>
          <w:p w14:paraId="53B2D741" w14:textId="6136EC54"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DB00A3">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DB00A3">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DB00A3">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DB00A3">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r w:rsidR="00886214" w14:paraId="4C4E02FA"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BodyText"/>
            </w:pPr>
            <w:r>
              <w:rPr>
                <w:rFonts w:hint="eastAsia"/>
              </w:rPr>
              <w:t>C</w:t>
            </w:r>
            <w:r>
              <w:t>ATT</w:t>
            </w:r>
          </w:p>
        </w:tc>
        <w:tc>
          <w:tcPr>
            <w:tcW w:w="1134" w:type="dxa"/>
            <w:shd w:val="clear" w:color="auto" w:fill="auto"/>
          </w:tcPr>
          <w:p w14:paraId="298838C9" w14:textId="18D6FD0E" w:rsid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7FF44D58" w14:textId="77777777"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BodyText"/>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is larger than BFI max count for PSCell,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lastRenderedPageBreak/>
              <w:t>In addition, in our view, it is unclear what "direct SCG activation" means. The terminology is not used anywhere in RAN1 spec and RAN2 spec. We think "direct SCG activation" should be removed.</w:t>
            </w:r>
          </w:p>
        </w:tc>
      </w:tr>
      <w:tr w:rsidR="00EF24E0" w14:paraId="139A949B"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BodyText"/>
            </w:pPr>
            <w:r>
              <w:rPr>
                <w:rFonts w:hint="eastAsia"/>
              </w:rPr>
              <w:lastRenderedPageBreak/>
              <w:t>S</w:t>
            </w:r>
            <w:r>
              <w:t>preadtrum</w:t>
            </w:r>
          </w:p>
        </w:tc>
        <w:tc>
          <w:tcPr>
            <w:tcW w:w="1134" w:type="dxa"/>
            <w:shd w:val="clear" w:color="auto" w:fill="auto"/>
          </w:tcPr>
          <w:p w14:paraId="0AE33CA4" w14:textId="62586ECC"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BodyText"/>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BodyText"/>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BodyText"/>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BodyText"/>
              <w:rPr>
                <w:rFonts w:eastAsia="Yu Mincho"/>
                <w:lang w:eastAsia="ja-JP"/>
              </w:rPr>
            </w:pPr>
            <w:r>
              <w:rPr>
                <w:rFonts w:eastAsia="Yu Mincho"/>
                <w:lang w:eastAsia="ja-JP"/>
              </w:rPr>
              <w:t>Huawei, HiSilicon</w:t>
            </w:r>
          </w:p>
        </w:tc>
        <w:tc>
          <w:tcPr>
            <w:tcW w:w="1134" w:type="dxa"/>
            <w:shd w:val="clear" w:color="auto" w:fill="auto"/>
          </w:tcPr>
          <w:p w14:paraId="382B3090" w14:textId="2DC5E02A"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BodyText"/>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BodyText"/>
              <w:rPr>
                <w:rFonts w:eastAsia="Yu Mincho"/>
                <w:lang w:eastAsia="ja-JP"/>
              </w:rPr>
            </w:pPr>
            <w:r>
              <w:t>Lenovo</w:t>
            </w:r>
          </w:p>
        </w:tc>
        <w:tc>
          <w:tcPr>
            <w:tcW w:w="1134" w:type="dxa"/>
            <w:shd w:val="clear" w:color="auto" w:fill="auto"/>
          </w:tcPr>
          <w:p w14:paraId="4E78ABED" w14:textId="5187FD15" w:rsidR="002769BE" w:rsidRDefault="002769BE" w:rsidP="002769B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BodyText"/>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BodyText"/>
            </w:pPr>
            <w:r>
              <w:t>Ericsson</w:t>
            </w:r>
          </w:p>
        </w:tc>
        <w:tc>
          <w:tcPr>
            <w:tcW w:w="1134" w:type="dxa"/>
            <w:shd w:val="clear" w:color="auto" w:fill="auto"/>
          </w:tcPr>
          <w:p w14:paraId="2D1809B0" w14:textId="1B5687C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BodyText"/>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bl>
    <w:p w14:paraId="312BF450" w14:textId="77777777" w:rsidR="00981069" w:rsidRDefault="00981069"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r w:rsidR="004F257A" w:rsidRPr="003F3E88">
        <w:rPr>
          <w:i/>
          <w:iCs/>
        </w:rPr>
        <w:t>sCellState</w:t>
      </w:r>
      <w:r w:rsidR="004F257A" w:rsidRPr="004F257A">
        <w:t xml:space="preserve"> and </w:t>
      </w:r>
      <w:r w:rsidR="004F257A" w:rsidRPr="003F3E88">
        <w:rPr>
          <w:i/>
          <w:iCs/>
        </w:rPr>
        <w:t>scg-State</w:t>
      </w:r>
    </w:p>
    <w:p w14:paraId="1592F97F" w14:textId="00996A56" w:rsidR="006F04B6" w:rsidRDefault="00E52098" w:rsidP="003F3E88">
      <w:pPr>
        <w:pStyle w:val="BodyText"/>
      </w:pPr>
      <w:r>
        <w:t xml:space="preserve">The CR in </w:t>
      </w:r>
      <w:hyperlink r:id="rId27"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SCell activation </w:t>
      </w:r>
      <w:r w:rsidR="002C08B9">
        <w:t xml:space="preserve">is supported also when </w:t>
      </w:r>
      <w:r w:rsidR="002C08B9" w:rsidRPr="00931D60">
        <w:rPr>
          <w:i/>
          <w:iCs/>
        </w:rPr>
        <w:t>reconfigurationWithSync</w:t>
      </w:r>
      <w:r w:rsidR="002C08B9">
        <w:t xml:space="preserve"> is not included for the SCG, if the SCG SCell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Support direct SCG SCell activation (i.e. including sCellState), even if reconfigurationWithSync is not included for the SCG and the SCG SCell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r w:rsidR="000B53D9" w:rsidRPr="000B53D9">
        <w:rPr>
          <w:i/>
          <w:iCs/>
        </w:rPr>
        <w:t>sCellState</w:t>
      </w:r>
      <w:r w:rsidR="000B53D9">
        <w:t xml:space="preserve"> in secondaryCellGroup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DB00A3">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DB00A3">
            <w:pPr>
              <w:pStyle w:val="BodyText"/>
            </w:pPr>
            <w:r>
              <w:rPr>
                <w:rFonts w:hint="eastAsia"/>
              </w:rPr>
              <w:t>Z</w:t>
            </w:r>
            <w:r>
              <w:t>TE</w:t>
            </w:r>
          </w:p>
        </w:tc>
        <w:tc>
          <w:tcPr>
            <w:tcW w:w="1139" w:type="dxa"/>
            <w:shd w:val="clear" w:color="auto" w:fill="auto"/>
          </w:tcPr>
          <w:p w14:paraId="2AE9FB62" w14:textId="6EFFEA84" w:rsidR="00CC539F" w:rsidRDefault="00A172A6" w:rsidP="00DB00A3">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ased on current TS38.133, RAN4 only specifies UE requirements for SCell addition, handover and RRCResume,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lang w:val="en-US"/>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SCell, even if in this case, </w:t>
            </w:r>
            <w:r w:rsidR="008421D8">
              <w:t xml:space="preserve">SCG </w:t>
            </w:r>
            <w:r w:rsidRPr="00A172A6">
              <w:rPr>
                <w:i/>
              </w:rPr>
              <w:t>reconfigurationWithSync</w:t>
            </w:r>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DB00A3">
            <w:pPr>
              <w:pStyle w:val="BodyText"/>
              <w:rPr>
                <w:b w:val="0"/>
                <w:bCs w:val="0"/>
              </w:rPr>
            </w:pPr>
            <w:r w:rsidRPr="007E0979">
              <w:rPr>
                <w:rFonts w:hint="eastAsia"/>
                <w:b w:val="0"/>
                <w:bCs w:val="0"/>
              </w:rPr>
              <w:t>v</w:t>
            </w:r>
            <w:r w:rsidRPr="007E0979">
              <w:rPr>
                <w:b w:val="0"/>
                <w:bCs w:val="0"/>
              </w:rPr>
              <w:t>ivo</w:t>
            </w:r>
          </w:p>
        </w:tc>
        <w:tc>
          <w:tcPr>
            <w:tcW w:w="1139" w:type="dxa"/>
            <w:shd w:val="clear" w:color="auto" w:fill="auto"/>
          </w:tcPr>
          <w:p w14:paraId="47107290" w14:textId="6950432E" w:rsidR="00CC539F" w:rsidRDefault="007E0979" w:rsidP="00DB00A3">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For direct SCell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r w:rsidR="00E2506E" w:rsidRPr="00A53BAB">
              <w:rPr>
                <w:iCs/>
              </w:rPr>
              <w:t>reconfigurationWithSync</w:t>
            </w:r>
            <w:r w:rsidR="00E2506E" w:rsidRPr="00A53BAB">
              <w:rPr>
                <w:rFonts w:hint="eastAsia"/>
              </w:rPr>
              <w:t xml:space="preserve"> is </w:t>
            </w:r>
            <w:r w:rsidR="00E2506E" w:rsidRPr="00A53BAB">
              <w:t>mandatory</w:t>
            </w:r>
            <w:r w:rsidR="00E2506E" w:rsidRPr="00A53BAB">
              <w:rPr>
                <w:rFonts w:hint="eastAsia"/>
              </w:rPr>
              <w:t xml:space="preserve"> present in </w:t>
            </w:r>
            <w:r w:rsidR="00E2506E" w:rsidRPr="00A53BAB">
              <w:t xml:space="preserve">secondaryCellGroup </w:t>
            </w:r>
            <w:r w:rsidR="00E2506E" w:rsidRPr="00A53BAB">
              <w:rPr>
                <w:rFonts w:hint="eastAsia"/>
              </w:rPr>
              <w:t xml:space="preserve">in </w:t>
            </w:r>
            <w:r w:rsidR="00E2506E" w:rsidRPr="00A53BAB">
              <w:t>RRCResume</w:t>
            </w:r>
            <w:r w:rsidR="004E551E" w:rsidRPr="00A53BAB">
              <w:t xml:space="preserve">, so the RRC resume case is removed. So, we can understand the intention, but we think better not to change the original sentence and the original </w:t>
            </w:r>
            <w:r w:rsidR="004E551E" w:rsidRPr="00A53BAB">
              <w:lastRenderedPageBreak/>
              <w:t xml:space="preserve">sentence is helpful to understand the </w:t>
            </w:r>
            <w:r w:rsidR="00975FDD" w:rsidRPr="00A53BAB">
              <w:t>scenarios</w:t>
            </w:r>
            <w:r w:rsidR="004E551E" w:rsidRPr="00A53BAB">
              <w:t xml:space="preserve"> for direct SCell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lastRenderedPageBreak/>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r w:rsidRPr="00BA7DA7">
              <w:rPr>
                <w:i/>
                <w:iCs/>
              </w:rPr>
              <w:t>reconfigurationWithSync</w:t>
            </w:r>
            <w:r>
              <w:t>” so that it covers all cases</w:t>
            </w:r>
            <w:r w:rsidR="001643F5">
              <w:t>? (as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r w:rsidRPr="00962B3F">
              <w:rPr>
                <w:i/>
                <w:iCs/>
              </w:rPr>
              <w:t>RRCReconfiguration</w:t>
            </w:r>
            <w:r w:rsidRPr="00962B3F">
              <w:t xml:space="preserve"> message </w:t>
            </w:r>
            <w:r w:rsidRPr="00D24E3F">
              <w:rPr>
                <w:strike/>
                <w:color w:val="FF0000"/>
              </w:rPr>
              <w:t xml:space="preserve">including </w:t>
            </w:r>
            <w:r w:rsidRPr="00D24E3F">
              <w:rPr>
                <w:i/>
                <w:iCs/>
                <w:strike/>
                <w:color w:val="FF0000"/>
              </w:rPr>
              <w:t>reconfigurationWithSync</w:t>
            </w:r>
            <w:r w:rsidRPr="00D24E3F">
              <w:rPr>
                <w:color w:val="FF0000"/>
              </w:rPr>
              <w:t xml:space="preserve"> </w:t>
            </w:r>
            <w:r w:rsidRPr="00962B3F">
              <w:t xml:space="preserve">embedded in an </w:t>
            </w:r>
            <w:r w:rsidRPr="00962B3F">
              <w:rPr>
                <w:i/>
                <w:iCs/>
              </w:rPr>
              <w:t>RRCResume</w:t>
            </w:r>
            <w:r w:rsidRPr="00962B3F">
              <w:t xml:space="preserve"> message or embedded in an </w:t>
            </w:r>
            <w:r w:rsidRPr="00962B3F">
              <w:rPr>
                <w:i/>
              </w:rPr>
              <w:t>RRCReconfiguration</w:t>
            </w:r>
            <w:r w:rsidRPr="00962B3F">
              <w:t xml:space="preserve"> message or embedded in an E-UTRA </w:t>
            </w:r>
            <w:r w:rsidRPr="00962B3F">
              <w:rPr>
                <w:i/>
              </w:rPr>
              <w:t>RRCConnectionReconfiguration</w:t>
            </w:r>
            <w:r w:rsidRPr="00962B3F">
              <w:t xml:space="preserve"> message or embedded in an E-UTRA </w:t>
            </w:r>
            <w:r w:rsidRPr="00962B3F">
              <w:rPr>
                <w:i/>
                <w:iCs/>
              </w:rPr>
              <w:t>RRCConnectionResume</w:t>
            </w:r>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Cover sheet has a problem – it talks about sCellState – it should be scg-State</w:t>
            </w:r>
            <w:r w:rsidR="004D0F48">
              <w:t>. Anyway intention is ok and we are optn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BodyText"/>
            </w:pPr>
            <w:r>
              <w:rPr>
                <w:rFonts w:hint="eastAsia"/>
              </w:rPr>
              <w:t>C</w:t>
            </w:r>
            <w:r>
              <w:t>ATT</w:t>
            </w:r>
          </w:p>
        </w:tc>
        <w:tc>
          <w:tcPr>
            <w:tcW w:w="1139" w:type="dxa"/>
            <w:shd w:val="clear" w:color="auto" w:fill="auto"/>
          </w:tcPr>
          <w:p w14:paraId="7DACD6B8" w14:textId="2EAA8973" w:rsidR="002F558C" w:rsidRDefault="002F558C"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3" w:type="dxa"/>
            <w:shd w:val="clear" w:color="auto" w:fill="auto"/>
          </w:tcPr>
          <w:p w14:paraId="0699EC1C" w14:textId="23CDF66E" w:rsidR="009B069F" w:rsidRDefault="002F558C" w:rsidP="002F558C">
            <w:pPr>
              <w:pStyle w:val="BodyText"/>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r w:rsidRPr="00913E61">
              <w:rPr>
                <w:b/>
                <w:bCs/>
                <w:i/>
                <w:iCs/>
              </w:rPr>
              <w:t xml:space="preserve">vivo’s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At least for now, it is true that there is not applicable requirement for scell activation upon SCG activation. As for vivo’s comment, w</w:t>
            </w:r>
            <w:r w:rsidR="009B069F">
              <w:t xml:space="preserve">e are checking with our RAN4 colleague </w:t>
            </w:r>
            <w:r w:rsidR="009B069F" w:rsidRPr="009B069F">
              <w:t xml:space="preserve">whether the discussion (R2-2210605) is </w:t>
            </w:r>
            <w:r>
              <w:t xml:space="preserve">intended </w:t>
            </w:r>
            <w:r w:rsidR="009B069F" w:rsidRPr="009B069F">
              <w:t>for the case of SCG SCell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regarding the RRCResume</w:t>
            </w:r>
            <w:r w:rsidRPr="00913E61">
              <w:rPr>
                <w:rFonts w:hint="eastAsia"/>
                <w:b/>
                <w:bCs/>
                <w:i/>
                <w:iCs/>
              </w:rPr>
              <w:t>:</w:t>
            </w:r>
          </w:p>
          <w:p w14:paraId="6F26E7F3" w14:textId="60ACE1FC"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r w:rsidRPr="00962B3F">
              <w:rPr>
                <w:i/>
                <w:iCs/>
              </w:rPr>
              <w:t>reconfigurationWithSync</w:t>
            </w:r>
            <w:r>
              <w:rPr>
                <w:rFonts w:hint="eastAsia"/>
              </w:rPr>
              <w:t xml:space="preserve"> is </w:t>
            </w:r>
            <w:r w:rsidRPr="00881C3F">
              <w:t>mandatory</w:t>
            </w:r>
            <w:r>
              <w:rPr>
                <w:rFonts w:hint="eastAsia"/>
              </w:rPr>
              <w:t xml:space="preserve"> in </w:t>
            </w:r>
            <w:r w:rsidRPr="00881C3F">
              <w:rPr>
                <w:i/>
              </w:rPr>
              <w:t>secondaryCellGroup</w:t>
            </w:r>
            <w:r w:rsidRPr="00881C3F">
              <w:t xml:space="preserve"> </w:t>
            </w:r>
            <w:r>
              <w:rPr>
                <w:rFonts w:hint="eastAsia"/>
              </w:rPr>
              <w:t xml:space="preserve">in </w:t>
            </w:r>
            <w:r w:rsidRPr="00881C3F">
              <w:rPr>
                <w:i/>
              </w:rPr>
              <w:t>RRCResume</w:t>
            </w:r>
            <w:r>
              <w:rPr>
                <w:rFonts w:hint="eastAsia"/>
              </w:rPr>
              <w:t xml:space="preserve"> message and</w:t>
            </w:r>
            <w:r w:rsidRPr="00C84ED7">
              <w:rPr>
                <w:rFonts w:hint="eastAsia"/>
              </w:rPr>
              <w:t xml:space="preserve"> </w:t>
            </w:r>
            <w:r w:rsidRPr="00C84ED7">
              <w:rPr>
                <w:i/>
              </w:rPr>
              <w:t>RRCConnectionResume</w:t>
            </w:r>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r w:rsidRPr="00881C3F">
              <w:rPr>
                <w:i/>
              </w:rPr>
              <w:t>secondaryCellGroup</w:t>
            </w:r>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BodyText"/>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ins w:id="28" w:author="CATT" w:date="2022-10-12T17:09:00Z">
              <w:r w:rsidR="009B069F" w:rsidRPr="00BA7DA7">
                <w:rPr>
                  <w:i/>
                  <w:iCs/>
                </w:rPr>
                <w:t>reconfigurationWithSync</w:t>
              </w:r>
            </w:ins>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r w:rsidR="009B069F" w:rsidRPr="00D37173">
              <w:rPr>
                <w:i/>
              </w:rPr>
              <w:t>sCellState</w:t>
            </w:r>
            <w:r w:rsidR="009B069F">
              <w:t xml:space="preserve"> </w:t>
            </w:r>
            <w:r w:rsidR="009B069F">
              <w:rPr>
                <w:rFonts w:hint="eastAsia"/>
              </w:rPr>
              <w:t xml:space="preserve">in any SCG </w:t>
            </w:r>
            <w:r w:rsidR="009B069F" w:rsidRPr="00D37173">
              <w:rPr>
                <w:rFonts w:hint="eastAsia"/>
                <w:i/>
              </w:rPr>
              <w:t>RRCReconfiguration</w:t>
            </w:r>
            <w:r w:rsidR="009B069F">
              <w:rPr>
                <w:rFonts w:hint="eastAsia"/>
              </w:rPr>
              <w:t xml:space="preserve"> message</w:t>
            </w:r>
            <w:r w:rsidR="00833E6C">
              <w:t xml:space="preserve"> even when the RRCReconfiguraiton message is only to modify some configurations, like measConfig. </w:t>
            </w:r>
            <w:r w:rsidR="00913E61">
              <w:t xml:space="preserve">But we can also accept the proposed change if majority agree in the phase 2 (CR reviewing). </w:t>
            </w:r>
          </w:p>
          <w:p w14:paraId="6AB650BE" w14:textId="329FA5A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BodyText"/>
            </w:pPr>
            <w:r>
              <w:rPr>
                <w:rFonts w:eastAsia="Malgun Gothic" w:hint="eastAsia"/>
                <w:lang w:eastAsia="ko-KR"/>
              </w:rPr>
              <w:t>L</w:t>
            </w:r>
            <w:r>
              <w:rPr>
                <w:rFonts w:eastAsia="Malgun Gothic"/>
                <w:lang w:eastAsia="ko-KR"/>
              </w:rPr>
              <w:t>GE</w:t>
            </w:r>
          </w:p>
        </w:tc>
        <w:tc>
          <w:tcPr>
            <w:tcW w:w="1139" w:type="dxa"/>
            <w:shd w:val="clear" w:color="auto" w:fill="auto"/>
          </w:tcPr>
          <w:p w14:paraId="0D5C01C2" w14:textId="32E1BC58"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BodyText"/>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154B53">
              <w:lastRenderedPageBreak/>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BodyText"/>
            </w:pPr>
            <w:r>
              <w:rPr>
                <w:rFonts w:hint="eastAsia"/>
              </w:rPr>
              <w:lastRenderedPageBreak/>
              <w:t>Spreadtrum</w:t>
            </w:r>
          </w:p>
        </w:tc>
        <w:tc>
          <w:tcPr>
            <w:tcW w:w="1139" w:type="dxa"/>
            <w:shd w:val="clear" w:color="auto" w:fill="auto"/>
          </w:tcPr>
          <w:p w14:paraId="02DDBFDD" w14:textId="3CCB9B05"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or the requirements for direct SCell activation, RAN2 should coordinate with RAN4 whether the CR is agreeable or not.</w:t>
            </w:r>
          </w:p>
          <w:p w14:paraId="5B16D850" w14:textId="53B738B0"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r w:rsidRPr="00E73B47">
              <w:rPr>
                <w:rFonts w:eastAsia="Yu Mincho"/>
                <w:i/>
                <w:iCs/>
                <w:lang w:eastAsia="ja-JP"/>
              </w:rPr>
              <w:t>SCellAddSync</w:t>
            </w:r>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r w:rsidR="00A63327" w:rsidRPr="00962B3F">
              <w:rPr>
                <w:i/>
                <w:lang w:eastAsia="sv-SE"/>
              </w:rPr>
              <w:t>masterCellGroup</w:t>
            </w:r>
            <w:r w:rsidR="00A63327" w:rsidRPr="00962B3F">
              <w:rPr>
                <w:lang w:eastAsia="sv-SE"/>
              </w:rPr>
              <w:t xml:space="preserve"> </w:t>
            </w:r>
            <w:ins w:id="30" w:author="Sharp" w:date="2022-10-13T16:40:00Z">
              <w:r w:rsidR="00A63327" w:rsidRPr="00962B3F">
                <w:rPr>
                  <w:lang w:eastAsia="sv-SE"/>
                </w:rPr>
                <w:t>in case of SCell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r w:rsidR="00A63327" w:rsidRPr="00962B3F">
              <w:rPr>
                <w:i/>
                <w:lang w:eastAsia="sv-SE"/>
              </w:rPr>
              <w:t>secondaryCellGroup</w:t>
            </w:r>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r w:rsidR="00A63327" w:rsidRPr="00962B3F">
              <w:rPr>
                <w:lang w:eastAsia="sv-SE"/>
              </w:rPr>
              <w:t>SCell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BodyText"/>
              <w:rPr>
                <w:rFonts w:eastAsia="Yu Mincho"/>
                <w:lang w:eastAsia="ja-JP"/>
              </w:rPr>
            </w:pPr>
            <w:r>
              <w:rPr>
                <w:rFonts w:eastAsia="Yu Mincho"/>
                <w:lang w:eastAsia="ja-JP"/>
              </w:rPr>
              <w:t>Huawei, HiSilicon</w:t>
            </w:r>
          </w:p>
        </w:tc>
        <w:tc>
          <w:tcPr>
            <w:tcW w:w="1139" w:type="dxa"/>
            <w:shd w:val="clear" w:color="auto" w:fill="auto"/>
          </w:tcPr>
          <w:p w14:paraId="59D4594E" w14:textId="77777777"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r w:rsidRPr="00962B3F">
              <w:rPr>
                <w:i/>
                <w:iCs/>
              </w:rPr>
              <w:t>sCellToAddModList</w:t>
            </w:r>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masterCellGroup</w:t>
            </w:r>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SCell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39"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r w:rsidRPr="00116DC1">
              <w:rPr>
                <w:rFonts w:ascii="Arial" w:eastAsia="Calibri" w:hAnsi="Arial" w:cs="Arial"/>
                <w:i/>
                <w:sz w:val="18"/>
                <w:szCs w:val="18"/>
              </w:rPr>
              <w:t>secondaryCellGroup</w:t>
            </w:r>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0" w:author="Huawei, HiSilicon" w:date="2022-10-13T14:04:00Z">
              <w:r>
                <w:rPr>
                  <w:rFonts w:ascii="Arial" w:hAnsi="Arial" w:cs="Arial"/>
                  <w:sz w:val="18"/>
                  <w:szCs w:val="18"/>
                  <w:lang w:eastAsia="zh-CN"/>
                </w:rPr>
                <w:t>when the SCG was deactivated</w:t>
              </w:r>
            </w:ins>
            <w:del w:id="41"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r w:rsidRPr="00055E20">
              <w:rPr>
                <w:rFonts w:ascii="Arial" w:eastAsia="Calibri" w:hAnsi="Arial" w:cs="Arial"/>
                <w:sz w:val="18"/>
                <w:szCs w:val="18"/>
              </w:rPr>
              <w:t>SCell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BodyText"/>
              <w:rPr>
                <w:rFonts w:eastAsia="Yu Mincho"/>
                <w:lang w:eastAsia="ja-JP"/>
              </w:rPr>
            </w:pPr>
            <w:r>
              <w:t>Lenovo</w:t>
            </w:r>
          </w:p>
        </w:tc>
        <w:tc>
          <w:tcPr>
            <w:tcW w:w="1139" w:type="dxa"/>
            <w:shd w:val="clear" w:color="auto" w:fill="auto"/>
          </w:tcPr>
          <w:p w14:paraId="6B28A68C" w14:textId="0AF27FA6" w:rsidR="00714E7F" w:rsidRDefault="00714E7F" w:rsidP="00714E7F">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 with comments</w:t>
            </w:r>
          </w:p>
        </w:tc>
        <w:tc>
          <w:tcPr>
            <w:tcW w:w="6653" w:type="dxa"/>
            <w:shd w:val="clear" w:color="auto" w:fill="auto"/>
          </w:tcPr>
          <w:p w14:paraId="118A33A3" w14:textId="1417CAA4" w:rsidR="00714E7F" w:rsidRDefault="00714E7F" w:rsidP="00714E7F">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BodyText"/>
            </w:pPr>
            <w:r>
              <w:t>Ericsson</w:t>
            </w:r>
          </w:p>
        </w:tc>
        <w:tc>
          <w:tcPr>
            <w:tcW w:w="1139" w:type="dxa"/>
            <w:shd w:val="clear" w:color="auto" w:fill="auto"/>
          </w:tcPr>
          <w:p w14:paraId="58940811" w14:textId="1C6BD3EC"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Yu Mincho"/>
              </w:rPr>
            </w:pPr>
            <w:r>
              <w:t>With the proposed changes</w:t>
            </w:r>
            <w:r w:rsidR="00A037E9">
              <w:t xml:space="preserve"> to the if condition </w:t>
            </w:r>
            <w:r w:rsidR="00A037E9">
              <w:rPr>
                <w:rFonts w:eastAsia="Yu Mincho"/>
                <w:lang w:eastAsia="ja-JP"/>
              </w:rPr>
              <w:t>"</w:t>
            </w:r>
            <w:r w:rsidR="00A037E9" w:rsidRPr="00962B3F">
              <w:t xml:space="preserve"> if the </w:t>
            </w:r>
            <w:r w:rsidR="00A037E9" w:rsidRPr="00962B3F">
              <w:rPr>
                <w:i/>
                <w:iCs/>
              </w:rPr>
              <w:t>sCellToAddModList</w:t>
            </w:r>
            <w:r w:rsidR="00A037E9" w:rsidRPr="00962B3F">
              <w:t xml:space="preserve"> was received in</w:t>
            </w:r>
            <w:r w:rsidR="00A037E9">
              <w:rPr>
                <w:rFonts w:eastAsia="Yu Mincho"/>
                <w:lang w:eastAsia="ja-JP"/>
              </w:rPr>
              <w:t xml:space="preserve"> ..."</w:t>
            </w:r>
            <w:r w:rsidR="00A037E9">
              <w:t>,</w:t>
            </w:r>
            <w:r>
              <w:t xml:space="preserve"> the text becomes difficult to read. </w:t>
            </w:r>
            <w:r w:rsidR="00A037E9">
              <w:t xml:space="preserve">And as pointed out by Huawei, </w:t>
            </w:r>
            <w:r w:rsidR="00A037E9">
              <w:rPr>
                <w:rFonts w:eastAsia="Yu Mincho"/>
              </w:rPr>
              <w:t xml:space="preserve">with the updates to the field condition of </w:t>
            </w:r>
            <w:r w:rsidR="00A037E9" w:rsidRPr="00A037E9">
              <w:rPr>
                <w:rFonts w:eastAsia="Yu Mincho"/>
                <w:i/>
                <w:iCs/>
              </w:rPr>
              <w:t>SCellAddSync</w:t>
            </w:r>
            <w:r w:rsidR="00A037E9">
              <w:rPr>
                <w:rFonts w:eastAsia="Yu Mincho"/>
              </w:rPr>
              <w:t>,</w:t>
            </w:r>
            <w:r w:rsidR="00A037E9">
              <w:rPr>
                <w:rFonts w:eastAsia="Yu Mincho"/>
              </w:rPr>
              <w:t xml:space="preserve"> the if sentence becomes actually obsolete and is better removed.</w:t>
            </w:r>
            <w:r w:rsidR="00A037E9">
              <w:rPr>
                <w:rFonts w:eastAsia="Yu Mincho"/>
              </w:rPr>
              <w:t xml:space="preserve"> </w:t>
            </w:r>
          </w:p>
          <w:p w14:paraId="62D318BF" w14:textId="11DDB352"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For the possible LS to RAN4 on direct SCell activation, tend to agree with vivo that it was already discussed in RAN4 for the case of SCG activation with reconfigurationWithSync, and the conclusion was that no requirements were defined for Rel-17 due to lack of time. Then, there seems no need to send an LS now regarding the case of without reconfigurationWithSync. RAN2 can just update 38.331 to cover also the agreed case of without reconfigurationWithSync, and then let RAN4 do their work when they get to it. But based on the discussion here so far, I will add a proposal to discuss the need for LS in the conclusion.</w:t>
            </w:r>
          </w:p>
          <w:p w14:paraId="42066039" w14:textId="5CA79DB6" w:rsidR="006D0255" w:rsidRDefault="006D0255" w:rsidP="006D0255">
            <w:pPr>
              <w:pStyle w:val="BodyText"/>
              <w:jc w:val="left"/>
              <w:cnfStyle w:val="000000000000" w:firstRow="0" w:lastRow="0" w:firstColumn="0" w:lastColumn="0" w:oddVBand="0" w:evenVBand="0" w:oddHBand="0" w:evenHBand="0" w:firstRowFirstColumn="0" w:firstRowLastColumn="0" w:lastRowFirstColumn="0" w:lastRowLastColumn="0"/>
            </w:pPr>
            <w:r>
              <w:rPr>
                <w:rFonts w:eastAsia="Yu Mincho"/>
              </w:rPr>
              <w:t xml:space="preserve">For the change in the field condition </w:t>
            </w:r>
            <w:r w:rsidRPr="00CD3A7E">
              <w:rPr>
                <w:rFonts w:eastAsia="Yu Mincho"/>
                <w:i/>
                <w:iCs/>
              </w:rPr>
              <w:t>SCellAddSync</w:t>
            </w:r>
            <w:r>
              <w:rPr>
                <w:rFonts w:eastAsia="Yu Mincho"/>
              </w:rPr>
              <w:t xml:space="preserve">, we think the tabular listing of cases is </w:t>
            </w:r>
            <w:r w:rsidR="00F60863">
              <w:rPr>
                <w:rFonts w:eastAsia="Yu Mincho"/>
              </w:rPr>
              <w:t xml:space="preserve">actually </w:t>
            </w:r>
            <w:r w:rsidR="00D55B76">
              <w:rPr>
                <w:rFonts w:eastAsia="Yu Mincho"/>
              </w:rPr>
              <w:t>easier to read</w:t>
            </w:r>
            <w:r>
              <w:rPr>
                <w:rFonts w:eastAsia="Yu Mincho"/>
              </w:rPr>
              <w:t xml:space="preserve"> than a long sentence, but “SCG activation from deactivation SCG” should be changed to “SCG activation from deactivated SCG” or simply “SCG activation”.</w:t>
            </w:r>
          </w:p>
        </w:tc>
      </w:tr>
    </w:tbl>
    <w:p w14:paraId="10CA625A" w14:textId="213CDD5B" w:rsidR="00CC539F" w:rsidRDefault="00CC539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r w:rsidR="00A55DB4" w:rsidRPr="00E733E8">
        <w:rPr>
          <w:i/>
          <w:iCs/>
        </w:rPr>
        <w:t>scg-State</w:t>
      </w:r>
      <w:r w:rsidR="00A55DB4">
        <w:t xml:space="preserve"> field </w:t>
      </w:r>
      <w:r w:rsidR="00791FB9">
        <w:t xml:space="preserve">in </w:t>
      </w:r>
      <w:r w:rsidR="00791FB9" w:rsidRPr="00791FB9">
        <w:rPr>
          <w:i/>
          <w:iCs/>
        </w:rPr>
        <w:t>RRCReconfiguration</w:t>
      </w:r>
      <w:r w:rsidR="00791FB9">
        <w:t xml:space="preserve"> </w:t>
      </w:r>
      <w:r w:rsidR="00F6025B">
        <w:t xml:space="preserve">and </w:t>
      </w:r>
      <w:r w:rsidR="00F6025B" w:rsidRPr="00F6025B">
        <w:rPr>
          <w:i/>
          <w:iCs/>
        </w:rPr>
        <w:t>RRCResume</w:t>
      </w:r>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DB0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DB00A3">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DB00A3">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DB00A3">
            <w:pPr>
              <w:pStyle w:val="BodyText"/>
            </w:pPr>
            <w:r>
              <w:rPr>
                <w:rFonts w:hint="eastAsia"/>
              </w:rPr>
              <w:t>Z</w:t>
            </w:r>
            <w:r>
              <w:t>TE</w:t>
            </w:r>
          </w:p>
        </w:tc>
        <w:tc>
          <w:tcPr>
            <w:tcW w:w="1134" w:type="dxa"/>
            <w:shd w:val="clear" w:color="auto" w:fill="auto"/>
          </w:tcPr>
          <w:p w14:paraId="1A292BEF" w14:textId="6E1A74E2" w:rsidR="00981069" w:rsidRDefault="00944B97" w:rsidP="00DB00A3">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DB00A3">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DB00A3">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DB00A3">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BodyText"/>
            </w:pPr>
            <w:r>
              <w:rPr>
                <w:rFonts w:hint="eastAsia"/>
              </w:rPr>
              <w:t>C</w:t>
            </w:r>
            <w:r>
              <w:t>ATT</w:t>
            </w:r>
          </w:p>
        </w:tc>
        <w:tc>
          <w:tcPr>
            <w:tcW w:w="1134" w:type="dxa"/>
            <w:shd w:val="clear" w:color="auto" w:fill="auto"/>
          </w:tcPr>
          <w:p w14:paraId="02400DA2" w14:textId="600C2F1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56E8FF8A" w14:textId="72CD718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sidRPr="004E4811">
              <w:t>Whether the IE scg-state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scg-state is absent, UE need to perform SCG activation procedure</w:t>
            </w:r>
            <w:r>
              <w:t>, instead of no action</w:t>
            </w:r>
            <w:r w:rsidRPr="004E4811">
              <w:t xml:space="preserve">. </w:t>
            </w:r>
          </w:p>
          <w:tbl>
            <w:tblPr>
              <w:tblStyle w:val="TableGrid"/>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BodyText"/>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BodyText"/>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BodyText"/>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BodyText"/>
            </w:pPr>
            <w:r>
              <w:rPr>
                <w:rFonts w:eastAsia="Malgun Gothic" w:hint="eastAsia"/>
                <w:lang w:eastAsia="ko-KR"/>
              </w:rPr>
              <w:t>L</w:t>
            </w:r>
            <w:r>
              <w:rPr>
                <w:rFonts w:eastAsia="Malgun Gothic"/>
                <w:lang w:eastAsia="ko-KR"/>
              </w:rPr>
              <w:t>GE</w:t>
            </w:r>
          </w:p>
        </w:tc>
        <w:tc>
          <w:tcPr>
            <w:tcW w:w="1134" w:type="dxa"/>
            <w:shd w:val="clear" w:color="auto" w:fill="auto"/>
          </w:tcPr>
          <w:p w14:paraId="73D50FA7" w14:textId="3617D1E1"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BodyText"/>
            </w:pPr>
            <w:r>
              <w:rPr>
                <w:rFonts w:hint="eastAsia"/>
              </w:rPr>
              <w:t>Spreadtrum</w:t>
            </w:r>
          </w:p>
        </w:tc>
        <w:tc>
          <w:tcPr>
            <w:tcW w:w="1134" w:type="dxa"/>
            <w:shd w:val="clear" w:color="auto" w:fill="auto"/>
          </w:tcPr>
          <w:p w14:paraId="0CBD961B" w14:textId="2D7BB941"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r w:rsidRPr="007D47BB">
              <w:rPr>
                <w:i/>
              </w:rPr>
              <w:t>scg-State</w:t>
            </w:r>
            <w:r>
              <w:t>”.</w:t>
            </w:r>
          </w:p>
        </w:tc>
      </w:tr>
      <w:tr w:rsidR="00483B95" w14:paraId="4746053A"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BodyText"/>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BodyText"/>
              <w:rPr>
                <w:rFonts w:eastAsia="Yu Mincho"/>
                <w:lang w:eastAsia="ja-JP"/>
              </w:rPr>
            </w:pPr>
            <w:r>
              <w:rPr>
                <w:rFonts w:eastAsia="Yu Mincho"/>
                <w:lang w:eastAsia="ja-JP"/>
              </w:rPr>
              <w:t>Huawei, HiSilicon</w:t>
            </w:r>
          </w:p>
        </w:tc>
        <w:tc>
          <w:tcPr>
            <w:tcW w:w="1134" w:type="dxa"/>
            <w:shd w:val="clear" w:color="auto" w:fill="auto"/>
          </w:tcPr>
          <w:p w14:paraId="5F4C18B4" w14:textId="121A45E7"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DB0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BodyText"/>
              <w:rPr>
                <w:rFonts w:eastAsia="Yu Mincho"/>
                <w:lang w:eastAsia="ja-JP"/>
              </w:rPr>
            </w:pPr>
            <w:r>
              <w:t>Lenovo</w:t>
            </w:r>
          </w:p>
        </w:tc>
        <w:tc>
          <w:tcPr>
            <w:tcW w:w="1134" w:type="dxa"/>
            <w:shd w:val="clear" w:color="auto" w:fill="auto"/>
          </w:tcPr>
          <w:p w14:paraId="1133F08C" w14:textId="4337068A"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r w:rsidR="006D0255" w14:paraId="7F80B556" w14:textId="77777777" w:rsidTr="00DB00A3">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BodyText"/>
            </w:pPr>
            <w:r>
              <w:t xml:space="preserve">Ericsson </w:t>
            </w:r>
          </w:p>
        </w:tc>
        <w:tc>
          <w:tcPr>
            <w:tcW w:w="1134" w:type="dxa"/>
            <w:shd w:val="clear" w:color="auto" w:fill="auto"/>
          </w:tcPr>
          <w:p w14:paraId="04430427" w14:textId="1C9B1DB8"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Agree with MTK</w:t>
            </w:r>
          </w:p>
        </w:tc>
      </w:tr>
    </w:tbl>
    <w:p w14:paraId="15AE0394" w14:textId="750400DE" w:rsidR="00981069" w:rsidRDefault="00981069" w:rsidP="001C5EBD">
      <w:pPr>
        <w:pStyle w:val="BodyText"/>
      </w:pPr>
    </w:p>
    <w:p w14:paraId="35A24873" w14:textId="77777777" w:rsidR="00981069" w:rsidRDefault="00981069" w:rsidP="001C5EBD">
      <w:pPr>
        <w:pStyle w:val="BodyText"/>
      </w:pPr>
    </w:p>
    <w:p w14:paraId="029CA090" w14:textId="01AB4F56" w:rsidR="006E1C82" w:rsidRPr="002E6ABA" w:rsidRDefault="00FB373B" w:rsidP="002E6ABA">
      <w:pPr>
        <w:pStyle w:val="Heading1"/>
      </w:pPr>
      <w:r>
        <w:lastRenderedPageBreak/>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2E6ABA">
          <w:rPr>
            <w:rStyle w:val="Hyperlink"/>
            <w:noProof/>
          </w:rPr>
          <w:t>To be updated</w:t>
        </w:r>
        <w:r w:rsidR="005B1409" w:rsidRPr="000B0B64">
          <w:rPr>
            <w:rStyle w:val="Hyperlink"/>
            <w:noProof/>
          </w:rPr>
          <w:t>.</w:t>
        </w:r>
      </w:hyperlink>
    </w:p>
    <w:p w14:paraId="5DCC939F" w14:textId="1475B487"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7977" w14:textId="77777777" w:rsidR="00734FD2" w:rsidRDefault="00734FD2">
      <w:r>
        <w:separator/>
      </w:r>
    </w:p>
  </w:endnote>
  <w:endnote w:type="continuationSeparator" w:id="0">
    <w:p w14:paraId="6740CEB2" w14:textId="77777777" w:rsidR="00734FD2" w:rsidRDefault="007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5F731EB2"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24E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24E0">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59DE" w14:textId="77777777" w:rsidR="00734FD2" w:rsidRDefault="00734FD2">
      <w:r>
        <w:separator/>
      </w:r>
    </w:p>
  </w:footnote>
  <w:footnote w:type="continuationSeparator" w:id="0">
    <w:p w14:paraId="72781E48" w14:textId="77777777" w:rsidR="00734FD2" w:rsidRDefault="0073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62FB"/>
    <w:rsid w:val="001063E6"/>
    <w:rsid w:val="00113CF4"/>
    <w:rsid w:val="001153EA"/>
    <w:rsid w:val="00115643"/>
    <w:rsid w:val="00116765"/>
    <w:rsid w:val="001219F5"/>
    <w:rsid w:val="00121A20"/>
    <w:rsid w:val="0012313F"/>
    <w:rsid w:val="0012377F"/>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7BA1"/>
    <w:rsid w:val="00311702"/>
    <w:rsid w:val="00311C6E"/>
    <w:rsid w:val="00311E82"/>
    <w:rsid w:val="00313FD6"/>
    <w:rsid w:val="003143BD"/>
    <w:rsid w:val="00315363"/>
    <w:rsid w:val="0032012D"/>
    <w:rsid w:val="003203ED"/>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8C1"/>
    <w:rsid w:val="00441A92"/>
    <w:rsid w:val="004431DC"/>
    <w:rsid w:val="0044463E"/>
    <w:rsid w:val="00444F56"/>
    <w:rsid w:val="00446488"/>
    <w:rsid w:val="004517AA"/>
    <w:rsid w:val="00452CAC"/>
    <w:rsid w:val="004552A6"/>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62C"/>
    <w:rsid w:val="006E1C82"/>
    <w:rsid w:val="006E1E07"/>
    <w:rsid w:val="006E28B7"/>
    <w:rsid w:val="006E2A9B"/>
    <w:rsid w:val="006E3310"/>
    <w:rsid w:val="006E4E39"/>
    <w:rsid w:val="006E565E"/>
    <w:rsid w:val="006E673D"/>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57D7"/>
    <w:rsid w:val="00A660AC"/>
    <w:rsid w:val="00A67E6C"/>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02AA"/>
    <w:rsid w:val="00C324C2"/>
    <w:rsid w:val="00C3719D"/>
    <w:rsid w:val="00C37CB2"/>
    <w:rsid w:val="00C41257"/>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
    <w:name w:val="未解決のメンション1"/>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 w:type="paragraph" w:customStyle="1" w:styleId="ReviewText">
    <w:name w:val="ReviewText"/>
    <w:basedOn w:val="Normal"/>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6D0255"/>
    <w:rPr>
      <w:rFonts w:ascii="Arial" w:eastAsia="Times New Roman" w:hAnsi="Arial"/>
      <w:lang w:eastAsia="zh-CN"/>
    </w:rPr>
  </w:style>
  <w:style w:type="character" w:styleId="UnresolvedMention">
    <w:name w:val="Unresolved Mention"/>
    <w:basedOn w:val="DefaultParagraphFont"/>
    <w:uiPriority w:val="99"/>
    <w:semiHidden/>
    <w:unhideWhenUsed/>
    <w:rsid w:val="00D5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672.zip" TargetMode="External"/><Relationship Id="rId26" Type="http://schemas.openxmlformats.org/officeDocument/2006/relationships/hyperlink" Target="https://www.3gpp.org/ftp/TSG_RAN/WG2_RL2/TSGR2_119bis-e/Docs/R2-2210455.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bis-e/Docs/R2-2210127.zip" TargetMode="External"/><Relationship Id="rId25" Type="http://schemas.openxmlformats.org/officeDocument/2006/relationships/hyperlink" Target="https://www.3gpp.org/ftp/TSG_RAN/WG2_RL2/TSGR2_119bis-e/Docs/R2-22106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45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Inbox/Drafts/%5BOffline-205%5D%5BDCCA%5D%20BWP%20handling%20for%20deactivated%20SCG%20(Ericsson)"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455.zip"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3gpp.org/ftp/TSG_RAN/WG2_RL2/TSGR2_119bis-e/Docs/R2-221081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127.zip" TargetMode="External"/><Relationship Id="rId27" Type="http://schemas.openxmlformats.org/officeDocument/2006/relationships/hyperlink" Target="https://www.3gpp.org/ftp/TSG_RAN/WG2_RL2/TSGR2_119bis-e/Docs/R2-2210456.zip" TargetMode="External"/><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58281-B761-4008-B402-556C1AF98F55}">
  <ds:schemaRefs>
    <ds:schemaRef ds:uri="http://schemas.openxmlformats.org/officeDocument/2006/bibliography"/>
  </ds:schemaRefs>
</ds:datastoreItem>
</file>

<file path=customXml/itemProps2.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3.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27</TotalTime>
  <Pages>11</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25326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5</cp:revision>
  <cp:lastPrinted>2008-01-31T07:09:00Z</cp:lastPrinted>
  <dcterms:created xsi:type="dcterms:W3CDTF">2022-10-13T13:06:00Z</dcterms:created>
  <dcterms:modified xsi:type="dcterms:W3CDTF">2022-10-13T13:43:00Z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