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pPr>
      <w:r>
        <w:t>3GPP TSG-RAN WG2 Meeting #119bis electronic</w:t>
      </w:r>
      <w:r>
        <w:tab/>
      </w:r>
      <w:r>
        <w:t>R2-2210858</w:t>
      </w:r>
    </w:p>
    <w:p>
      <w:pPr>
        <w:pStyle w:val="63"/>
      </w:pPr>
      <w:r>
        <w:t>Online, October 2022</w:t>
      </w:r>
    </w:p>
    <w:p>
      <w:pPr>
        <w:pStyle w:val="63"/>
      </w:pPr>
      <w:r>
        <w:t>Agenda Item:</w:t>
      </w:r>
      <w:r>
        <w:tab/>
      </w:r>
      <w:r>
        <w:t>6.10.5.</w:t>
      </w:r>
    </w:p>
    <w:p>
      <w:pPr>
        <w:pStyle w:val="63"/>
      </w:pPr>
      <w:r>
        <w:t>Source:</w:t>
      </w:r>
      <w:r>
        <w:tab/>
      </w:r>
      <w:r>
        <w:t>Ericsson</w:t>
      </w:r>
    </w:p>
    <w:p>
      <w:pPr>
        <w:pStyle w:val="47"/>
        <w:rPr>
          <w:rStyle w:val="54"/>
        </w:rPr>
      </w:pPr>
      <w:r>
        <w:rPr>
          <w:rStyle w:val="54"/>
        </w:rPr>
        <w:t>Title:</w:t>
      </w:r>
      <w:r>
        <w:rPr>
          <w:rStyle w:val="54"/>
        </w:rPr>
        <w:tab/>
      </w:r>
      <w:r>
        <w:rPr>
          <w:rStyle w:val="54"/>
        </w:rPr>
        <w:t>[offline-115] RRC corrections (Ericsson)</w:t>
      </w:r>
    </w:p>
    <w:p>
      <w:pPr>
        <w:pStyle w:val="63"/>
      </w:pPr>
    </w:p>
    <w:p>
      <w:pPr>
        <w:pStyle w:val="63"/>
      </w:pPr>
      <w:r>
        <w:t>Document for:</w:t>
      </w:r>
      <w:r>
        <w:tab/>
      </w:r>
      <w:r>
        <w:t>Discussion, Decision</w:t>
      </w:r>
    </w:p>
    <w:p>
      <w:pPr>
        <w:pStyle w:val="2"/>
        <w:numPr>
          <w:ilvl w:val="0"/>
          <w:numId w:val="17"/>
        </w:numPr>
        <w:pBdr>
          <w:top w:val="single" w:color="auto" w:sz="12" w:space="3"/>
        </w:pBdr>
        <w:tabs>
          <w:tab w:val="clear" w:pos="432"/>
        </w:tabs>
        <w:overflowPunct/>
        <w:autoSpaceDE/>
        <w:autoSpaceDN/>
        <w:adjustRightInd/>
        <w:spacing w:line="259" w:lineRule="auto"/>
        <w:ind w:left="1134" w:hanging="1134"/>
        <w:jc w:val="both"/>
        <w:textAlignment w:val="auto"/>
        <w:rPr>
          <w:lang w:val="en-US"/>
        </w:rPr>
      </w:pPr>
      <w:r>
        <w:rPr>
          <w:rFonts w:eastAsia="宋体" w:cs="Times New Roman"/>
          <w:szCs w:val="20"/>
          <w:lang w:eastAsia="en-US"/>
        </w:rPr>
        <w:t>Introduction</w:t>
      </w:r>
    </w:p>
    <w:p>
      <w:pPr>
        <w:pStyle w:val="113"/>
      </w:pPr>
      <w:bookmarkStart w:id="0" w:name="_Ref178064866"/>
      <w:bookmarkStart w:id="1" w:name="_Hlk51759500"/>
      <w:bookmarkStart w:id="2" w:name="_Hlk84414552"/>
    </w:p>
    <w:p>
      <w:pPr>
        <w:pStyle w:val="118"/>
      </w:pPr>
      <w:r>
        <w:t>[AT119bis-e][115][NR NTN] RRC corrections (Ericsson)</w:t>
      </w:r>
    </w:p>
    <w:p>
      <w:pPr>
        <w:pStyle w:val="175"/>
        <w:ind w:left="1619" w:firstLine="0"/>
        <w:rPr>
          <w:color w:val="000000" w:themeColor="text1"/>
          <w14:textFill>
            <w14:solidFill>
              <w14:schemeClr w14:val="tx1"/>
            </w14:solidFill>
          </w14:textFill>
        </w:rPr>
      </w:pPr>
      <w:r>
        <w:t xml:space="preserve">Initial scope: Discuss remaining RRC corrections </w:t>
      </w:r>
    </w:p>
    <w:p>
      <w:pPr>
        <w:pStyle w:val="175"/>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175"/>
        <w:numPr>
          <w:ilvl w:val="0"/>
          <w:numId w:val="18"/>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175"/>
        <w:numPr>
          <w:ilvl w:val="0"/>
          <w:numId w:val="18"/>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175"/>
        <w:numPr>
          <w:ilvl w:val="0"/>
          <w:numId w:val="18"/>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175"/>
        <w:ind w:left="1619" w:firstLine="0"/>
      </w:pPr>
      <w:r>
        <w:t>Deadline (for companies' feedback):  Thursday 2022-10-13 18:00 UTC</w:t>
      </w:r>
    </w:p>
    <w:p>
      <w:pPr>
        <w:pStyle w:val="175"/>
        <w:ind w:left="1619" w:firstLine="0"/>
      </w:pPr>
      <w:r>
        <w:t>Deadline (for rapporteur's summary in R2-2210858):  Thursday 2022-10-13 22:00 UTC</w:t>
      </w:r>
    </w:p>
    <w:p>
      <w:pPr>
        <w:pStyle w:val="175"/>
        <w:ind w:left="1619" w:firstLine="0"/>
        <w:rPr>
          <w:u w:val="single"/>
        </w:rPr>
      </w:pPr>
      <w:r>
        <w:rPr>
          <w:u w:val="single"/>
        </w:rPr>
        <w:t>Proposals marked "for agreement" in R2-2210858 not challenged until Friday 2022-10-14 10:00 UTC will be declared as agreed via email by the session chair (for the rest the discussion might continue online).</w:t>
      </w:r>
    </w:p>
    <w:p>
      <w:pPr>
        <w:pStyle w:val="113"/>
        <w:ind w:left="0" w:firstLine="0"/>
      </w:pPr>
    </w:p>
    <w:p>
      <w:pPr>
        <w:pStyle w:val="172"/>
      </w:pPr>
      <w:r>
        <w:t>R2-2208767</w:t>
      </w:r>
      <w:r>
        <w:tab/>
      </w:r>
      <w:r>
        <w:t>[Offline-111] RRC corrections</w:t>
      </w:r>
      <w:r>
        <w:tab/>
      </w:r>
      <w:r>
        <w:t>Ericsson</w:t>
      </w:r>
      <w:r>
        <w:tab/>
      </w:r>
      <w:r>
        <w:t>discussion</w:t>
      </w:r>
      <w:r>
        <w:tab/>
      </w:r>
      <w:r>
        <w:t>Rel-17</w:t>
      </w:r>
      <w:r>
        <w:tab/>
      </w:r>
      <w:r>
        <w:t>NR_NTN_solutions-Core</w:t>
      </w:r>
    </w:p>
    <w:p>
      <w:pPr>
        <w:pStyle w:val="113"/>
        <w:rPr>
          <w:lang w:val="en-GB" w:eastAsia="en-GB"/>
        </w:rPr>
      </w:pPr>
    </w:p>
    <w:p>
      <w:pPr>
        <w:pStyle w:val="113"/>
        <w:rPr>
          <w:lang w:val="en-GB" w:eastAsia="en-GB"/>
        </w:rPr>
      </w:pPr>
    </w:p>
    <w:p>
      <w:pPr>
        <w:pStyle w:val="113"/>
        <w:rPr>
          <w:lang w:val="en-GB" w:eastAsia="en-GB"/>
        </w:rPr>
      </w:pPr>
    </w:p>
    <w:p>
      <w:pPr>
        <w:pStyle w:val="113"/>
        <w:rPr>
          <w:lang w:val="en-GB" w:eastAsia="en-GB"/>
        </w:rPr>
      </w:pPr>
    </w:p>
    <w:p>
      <w:pPr>
        <w:pStyle w:val="2"/>
        <w:numPr>
          <w:ilvl w:val="0"/>
          <w:numId w:val="17"/>
        </w:numPr>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hint="eastAsia" w:eastAsia="宋体"/>
        </w:rPr>
        <w:t>C</w:t>
      </w:r>
      <w:r>
        <w:rPr>
          <w:rFonts w:eastAsia="宋体"/>
        </w:rPr>
        <w:t xml:space="preserve">ontact </w:t>
      </w:r>
      <w:r>
        <w:rPr>
          <w:rFonts w:eastAsia="宋体" w:cs="Times New Roman"/>
          <w:szCs w:val="20"/>
          <w:lang w:eastAsia="en-US"/>
        </w:rPr>
        <w:t>Information</w:t>
      </w:r>
    </w:p>
    <w:p>
      <w:r>
        <w:rPr>
          <w:rFonts w:eastAsia="宋体"/>
        </w:rPr>
        <w:br w:type="textWrapping"/>
      </w:r>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8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8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8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Abhishek Roy</w:t>
            </w: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Abhishek.Roy@meidatek.com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Xiaomi</w:t>
            </w:r>
          </w:p>
        </w:tc>
        <w:tc>
          <w:tcPr>
            <w:tcW w:w="3118"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xiaowei jiang</w:t>
            </w:r>
          </w:p>
        </w:tc>
        <w:tc>
          <w:tcPr>
            <w:tcW w:w="4391"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jiangxiaowei@xiaomi.com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firstLine="284"/>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bl>
    <w:p/>
    <w:p>
      <w:pPr>
        <w:pStyle w:val="2"/>
        <w:pBdr>
          <w:top w:val="single" w:color="auto" w:sz="12" w:space="3"/>
        </w:pBdr>
        <w:overflowPunct/>
        <w:autoSpaceDE/>
        <w:autoSpaceDN/>
        <w:adjustRightInd/>
        <w:spacing w:line="259" w:lineRule="auto"/>
        <w:ind w:left="1134" w:hanging="1134"/>
        <w:jc w:val="both"/>
        <w:textAlignment w:val="auto"/>
      </w:pPr>
      <w:r>
        <w:t>Neighbour cell list</w:t>
      </w:r>
    </w:p>
    <w:p>
      <w:pPr>
        <w:pStyle w:val="172"/>
      </w:pPr>
      <w:r>
        <w:fldChar w:fldCharType="begin"/>
      </w:r>
      <w:r>
        <w:instrText xml:space="preserve"> HYPERLINK "file:///C:\\Data\\3GPP\\Extracts\\R2-2209526%20-%20On%20neighbor%20cell%20SI.docx" \o "C:Data3GPPExtractsR2-2209526 - On neighbor cell SI.docx" </w:instrText>
      </w:r>
      <w:r>
        <w:fldChar w:fldCharType="separate"/>
      </w:r>
      <w:r>
        <w:rPr>
          <w:rStyle w:val="58"/>
        </w:rPr>
        <w:t>R2-2209526</w:t>
      </w:r>
      <w:r>
        <w:rPr>
          <w:rStyle w:val="58"/>
        </w:rPr>
        <w:fldChar w:fldCharType="end"/>
      </w:r>
      <w:r>
        <w:tab/>
      </w:r>
      <w:r>
        <w:t>On neighbour cell SI</w:t>
      </w:r>
      <w:r>
        <w:tab/>
      </w:r>
      <w:r>
        <w:t>Ericsson</w:t>
      </w:r>
      <w:r>
        <w:tab/>
      </w:r>
      <w:r>
        <w:t>discussion</w:t>
      </w:r>
      <w:r>
        <w:tab/>
      </w:r>
      <w:r>
        <w:t>Rel-17</w:t>
      </w:r>
    </w:p>
    <w:p>
      <w:pPr>
        <w:pStyle w:val="151"/>
        <w:numPr>
          <w:ilvl w:val="0"/>
          <w:numId w:val="0"/>
        </w:numPr>
        <w:ind w:left="720"/>
      </w:pPr>
    </w:p>
    <w:p>
      <w:pPr>
        <w:pStyle w:val="151"/>
        <w:numPr>
          <w:ilvl w:val="0"/>
          <w:numId w:val="0"/>
        </w:numPr>
      </w:pPr>
      <w:r>
        <w:t>Proposal 1</w:t>
      </w:r>
      <w:r>
        <w:tab/>
      </w:r>
      <w:r>
        <w:t>RAN2 does not enhance further the release 17 neighbour cell SI broadcasting</w:t>
      </w:r>
    </w:p>
    <w:p>
      <w:pPr>
        <w:pStyle w:val="172"/>
        <w:rPr>
          <w:rStyle w:val="58"/>
        </w:rPr>
      </w:pPr>
    </w:p>
    <w:p>
      <w:pPr>
        <w:pStyle w:val="172"/>
      </w:pPr>
      <w:r>
        <w:fldChar w:fldCharType="begin"/>
      </w:r>
      <w:r>
        <w:instrText xml:space="preserve"> HYPERLINK "file:///C:\\Data\\3GPP\\Extracts\\R2-2210663_Further%20consideration%20on%20NTN%20neighbour%20cell%20list%20in%20SIB19.docx" \o "C:Data3GPPExtractsR2-2210663_Further consideration on NTN neighbour cell list in SIB19.docx" </w:instrText>
      </w:r>
      <w:r>
        <w:fldChar w:fldCharType="separate"/>
      </w:r>
      <w:r>
        <w:rPr>
          <w:rStyle w:val="58"/>
        </w:rPr>
        <w:t>R2-2210663</w:t>
      </w:r>
      <w:r>
        <w:rPr>
          <w:rStyle w:val="58"/>
        </w:rPr>
        <w:fldChar w:fldCharType="end"/>
      </w:r>
      <w:r>
        <w:tab/>
      </w:r>
      <w:r>
        <w:t>Further consideration on NTN neighbour cell list in SIB19</w:t>
      </w:r>
      <w:r>
        <w:tab/>
      </w:r>
      <w:r>
        <w:t>ZTE Corporation, Sanechips</w:t>
      </w:r>
      <w:r>
        <w:tab/>
      </w:r>
      <w:r>
        <w:t>discussion</w:t>
      </w:r>
      <w:r>
        <w:tab/>
      </w:r>
      <w:r>
        <w:t>Rel-17</w:t>
      </w:r>
    </w:p>
    <w:p>
      <w:pPr>
        <w:pStyle w:val="172"/>
      </w:pPr>
      <w:r>
        <w:fldChar w:fldCharType="begin"/>
      </w:r>
      <w:r>
        <w:instrText xml:space="preserve"> HYPERLINK "file:///C:\\Data\\3GPP\\Extracts\\R2-2210664_REL-17_38.331_CR3559_Clarification%20on%20the%20NTN%20neighbour%20cell%20list%20in%20SIB19.docx" \o "C:Data3GPPExtractsR2-2210664_REL-17_38.331_CR3559_Clarification on the NTN neighbour cell list in SIB19.docx" </w:instrText>
      </w:r>
      <w:r>
        <w:fldChar w:fldCharType="separate"/>
      </w:r>
      <w:r>
        <w:rPr>
          <w:rStyle w:val="58"/>
        </w:rPr>
        <w:t>R2-2210664</w:t>
      </w:r>
      <w:r>
        <w:rPr>
          <w:rStyle w:val="58"/>
        </w:rPr>
        <w:fldChar w:fldCharType="end"/>
      </w:r>
      <w:r>
        <w:tab/>
      </w:r>
      <w:r>
        <w:t>Clarification on the NTN neighbour cell list in SIB19</w:t>
      </w:r>
      <w:r>
        <w:tab/>
      </w:r>
      <w:r>
        <w:t>ZTE Corporation, Sanechips</w:t>
      </w:r>
      <w:r>
        <w:tab/>
      </w:r>
      <w:r>
        <w:t>CR</w:t>
      </w:r>
      <w:r>
        <w:tab/>
      </w:r>
      <w:r>
        <w:t>Rel-17</w:t>
      </w:r>
      <w:r>
        <w:tab/>
      </w:r>
      <w:r>
        <w:t>38.331</w:t>
      </w:r>
      <w:r>
        <w:tab/>
      </w:r>
      <w:r>
        <w:t>17.2.0</w:t>
      </w:r>
      <w:r>
        <w:tab/>
      </w:r>
      <w:r>
        <w:t>3559</w:t>
      </w:r>
      <w:r>
        <w:tab/>
      </w:r>
      <w:r>
        <w:t>-</w:t>
      </w:r>
      <w:r>
        <w:tab/>
      </w:r>
      <w:r>
        <w:t>F</w:t>
      </w:r>
      <w:r>
        <w:tab/>
      </w:r>
      <w:r>
        <w:t>NR_NTN_solutions-Core</w:t>
      </w:r>
    </w:p>
    <w:p>
      <w:pPr>
        <w:rPr>
          <w:rFonts w:ascii="Arial" w:hAnsi="Arial" w:cs="Arial"/>
          <w:b/>
          <w:bCs/>
          <w:sz w:val="20"/>
          <w:szCs w:val="20"/>
        </w:rPr>
      </w:pPr>
    </w:p>
    <w:tbl>
      <w:tblPr>
        <w:tblStyle w:val="51"/>
        <w:tblW w:w="9188" w:type="dxa"/>
        <w:tblInd w:w="-10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18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25" w:hRule="atLeast"/>
          <w:tblHeader/>
        </w:trPr>
        <w:tc>
          <w:tcPr>
            <w:tcW w:w="918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textAlignment w:val="baseline"/>
              <w:rPr>
                <w:rFonts w:ascii="Arial" w:hAnsi="Arial" w:eastAsia="Times New Roman"/>
                <w:b/>
                <w:sz w:val="18"/>
                <w:szCs w:val="20"/>
                <w:lang w:val="en-GB" w:eastAsia="en-GB"/>
              </w:rPr>
            </w:pPr>
            <w:r>
              <w:rPr>
                <w:rFonts w:ascii="Arial" w:hAnsi="Arial" w:eastAsia="Times New Roman"/>
                <w:b/>
                <w:i/>
                <w:sz w:val="18"/>
                <w:szCs w:val="20"/>
                <w:lang w:val="en-GB" w:eastAsia="en-GB"/>
              </w:rPr>
              <w:t xml:space="preserve">SIB19 </w:t>
            </w:r>
            <w:r>
              <w:rPr>
                <w:rFonts w:ascii="Arial" w:hAnsi="Arial" w:eastAsia="Times New Roman"/>
                <w:b/>
                <w:iCs/>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899" w:hRule="atLeast"/>
        </w:trPr>
        <w:tc>
          <w:tcPr>
            <w:tcW w:w="918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eastAsia="Times New Roman"/>
                <w:b/>
                <w:bCs/>
                <w:i/>
                <w:iCs/>
                <w:sz w:val="18"/>
                <w:szCs w:val="20"/>
                <w:lang w:val="en-GB" w:eastAsia="ja-JP"/>
              </w:rPr>
            </w:pPr>
            <w:r>
              <w:rPr>
                <w:rFonts w:ascii="Arial" w:hAnsi="Arial" w:eastAsia="Times New Roman"/>
                <w:b/>
                <w:bCs/>
                <w:i/>
                <w:iCs/>
                <w:sz w:val="18"/>
                <w:szCs w:val="20"/>
                <w:lang w:val="en-GB" w:eastAsia="ja-JP"/>
              </w:rPr>
              <w:t>ntn-NeighCellConfigList, ntn-NeighCellConfigListExt</w:t>
            </w:r>
          </w:p>
          <w:p>
            <w:pPr>
              <w:keepNext/>
              <w:keepLines/>
              <w:overflowPunct w:val="0"/>
              <w:autoSpaceDE w:val="0"/>
              <w:autoSpaceDN w:val="0"/>
              <w:adjustRightInd w:val="0"/>
              <w:textAlignment w:val="baseline"/>
              <w:rPr>
                <w:rFonts w:ascii="Arial" w:hAnsi="Arial" w:eastAsia="Times New Roman"/>
                <w:b/>
                <w:bCs/>
                <w:i/>
                <w:iCs/>
                <w:sz w:val="18"/>
                <w:szCs w:val="20"/>
                <w:lang w:val="en-GB" w:eastAsia="ja-JP"/>
              </w:rPr>
            </w:pPr>
            <w:r>
              <w:rPr>
                <w:rFonts w:ascii="Arial" w:hAnsi="Arial" w:eastAsia="Times New Roman"/>
                <w:sz w:val="18"/>
                <w:szCs w:val="20"/>
                <w:lang w:val="en-GB"/>
              </w:rPr>
              <w:t xml:space="preserve">Provides a list of NTN neighbour cells including their </w:t>
            </w:r>
            <w:r>
              <w:rPr>
                <w:rFonts w:ascii="Arial" w:hAnsi="Arial" w:eastAsia="Times New Roman"/>
                <w:i/>
                <w:iCs/>
                <w:sz w:val="18"/>
                <w:szCs w:val="20"/>
                <w:lang w:val="en-GB"/>
              </w:rPr>
              <w:t>ntn-Config</w:t>
            </w:r>
            <w:r>
              <w:rPr>
                <w:rFonts w:ascii="Arial" w:hAnsi="Arial" w:eastAsia="Times New Roman"/>
                <w:sz w:val="18"/>
                <w:szCs w:val="20"/>
                <w:lang w:val="en-GB"/>
              </w:rPr>
              <w:t xml:space="preserve">, carrier frequency and </w:t>
            </w:r>
            <w:r>
              <w:rPr>
                <w:rFonts w:ascii="Arial" w:hAnsi="Arial" w:eastAsia="Times New Roman"/>
                <w:i/>
                <w:iCs/>
                <w:sz w:val="18"/>
                <w:szCs w:val="20"/>
                <w:lang w:val="en-GB"/>
              </w:rPr>
              <w:t>PhysCellId</w:t>
            </w:r>
            <w:r>
              <w:rPr>
                <w:rFonts w:ascii="Arial" w:hAnsi="Arial" w:eastAsia="Times New Roman"/>
                <w:sz w:val="18"/>
                <w:szCs w:val="20"/>
                <w:lang w:val="en-GB"/>
              </w:rPr>
              <w:t xml:space="preserve">. This set includes all elements of </w:t>
            </w:r>
            <w:r>
              <w:rPr>
                <w:rFonts w:ascii="Arial" w:hAnsi="Arial" w:eastAsia="Times New Roman"/>
                <w:i/>
                <w:iCs/>
                <w:sz w:val="18"/>
                <w:szCs w:val="20"/>
                <w:lang w:val="en-GB"/>
              </w:rPr>
              <w:t>ntn-NeighCellConfigList</w:t>
            </w:r>
            <w:r>
              <w:rPr>
                <w:rFonts w:ascii="Arial" w:hAnsi="Arial" w:eastAsia="Times New Roman"/>
                <w:sz w:val="18"/>
                <w:szCs w:val="20"/>
                <w:lang w:val="en-GB"/>
              </w:rPr>
              <w:t xml:space="preserve"> (without suffix) and all elements of </w:t>
            </w:r>
            <w:r>
              <w:rPr>
                <w:rFonts w:ascii="Arial" w:hAnsi="Arial" w:eastAsia="Times New Roman"/>
                <w:i/>
                <w:iCs/>
                <w:sz w:val="18"/>
                <w:szCs w:val="20"/>
                <w:lang w:val="en-GB"/>
              </w:rPr>
              <w:t>ntn-NeighCellConfigListExt-v1720</w:t>
            </w:r>
            <w:r>
              <w:rPr>
                <w:rFonts w:ascii="Arial" w:hAnsi="Arial" w:eastAsia="Times New Roman"/>
                <w:sz w:val="18"/>
                <w:szCs w:val="20"/>
                <w:lang w:val="en-GB"/>
              </w:rPr>
              <w:t>.</w:t>
            </w:r>
            <w:r>
              <w:rPr>
                <w:rFonts w:ascii="Arial" w:hAnsi="Arial" w:eastAsia="Times New Roman"/>
                <w:sz w:val="18"/>
                <w:szCs w:val="20"/>
                <w:lang w:val="en-GB" w:eastAsia="ja-JP"/>
              </w:rPr>
              <w:t xml:space="preserve"> </w:t>
            </w:r>
            <w:r>
              <w:rPr>
                <w:rFonts w:ascii="Arial" w:hAnsi="Arial" w:eastAsia="Times New Roman"/>
                <w:sz w:val="18"/>
                <w:szCs w:val="20"/>
                <w:lang w:val="en-GB"/>
              </w:rPr>
              <w:t xml:space="preserve">If </w:t>
            </w:r>
            <w:r>
              <w:rPr>
                <w:rFonts w:ascii="Arial" w:hAnsi="Arial" w:eastAsia="Times New Roman"/>
                <w:i/>
                <w:iCs/>
                <w:sz w:val="18"/>
                <w:szCs w:val="20"/>
                <w:lang w:val="en-GB"/>
              </w:rPr>
              <w:t xml:space="preserve">ntn-Config </w:t>
            </w:r>
            <w:r>
              <w:rPr>
                <w:rFonts w:ascii="Arial" w:hAnsi="Arial" w:eastAsia="Times New Roman"/>
                <w:sz w:val="18"/>
                <w:szCs w:val="20"/>
                <w:lang w:val="en-GB"/>
              </w:rPr>
              <w:t xml:space="preserve">is absent for an entry in </w:t>
            </w:r>
            <w:r>
              <w:rPr>
                <w:rFonts w:ascii="Arial" w:hAnsi="Arial" w:eastAsia="Times New Roman"/>
                <w:i/>
                <w:iCs/>
                <w:sz w:val="18"/>
                <w:szCs w:val="20"/>
                <w:lang w:val="en-GB"/>
              </w:rPr>
              <w:t xml:space="preserve">ntn-NeighCellConfigList </w:t>
            </w:r>
            <w:r>
              <w:rPr>
                <w:rFonts w:ascii="Arial" w:hAnsi="Arial" w:eastAsia="Times New Roman"/>
                <w:iCs/>
                <w:sz w:val="18"/>
                <w:szCs w:val="20"/>
                <w:lang w:val="en-GB"/>
              </w:rPr>
              <w:t xml:space="preserve">or </w:t>
            </w:r>
            <w:r>
              <w:rPr>
                <w:rFonts w:ascii="Arial" w:hAnsi="Arial" w:eastAsia="Times New Roman"/>
                <w:i/>
                <w:iCs/>
                <w:sz w:val="18"/>
                <w:szCs w:val="20"/>
                <w:lang w:val="en-GB"/>
              </w:rPr>
              <w:t>ntn-NeighCellConfigListExt</w:t>
            </w:r>
            <w:r>
              <w:rPr>
                <w:rFonts w:ascii="Arial" w:hAnsi="Arial" w:eastAsia="Times New Roman"/>
                <w:sz w:val="18"/>
                <w:szCs w:val="20"/>
                <w:lang w:val="en-GB"/>
              </w:rPr>
              <w:t xml:space="preserve">, the </w:t>
            </w:r>
            <w:r>
              <w:rPr>
                <w:rFonts w:ascii="Arial" w:hAnsi="Arial" w:eastAsia="Times New Roman"/>
                <w:i/>
                <w:iCs/>
                <w:sz w:val="18"/>
                <w:szCs w:val="20"/>
                <w:lang w:val="en-GB"/>
              </w:rPr>
              <w:t>ntn-Config</w:t>
            </w:r>
            <w:r>
              <w:rPr>
                <w:rFonts w:ascii="Arial" w:hAnsi="Arial" w:eastAsia="Times New Roman"/>
                <w:sz w:val="18"/>
                <w:szCs w:val="20"/>
                <w:lang w:val="en-GB"/>
              </w:rPr>
              <w:t xml:space="preserve"> provided in the previous entry in </w:t>
            </w:r>
            <w:r>
              <w:rPr>
                <w:rFonts w:ascii="Arial" w:hAnsi="Arial" w:eastAsia="Times New Roman"/>
                <w:i/>
                <w:iCs/>
                <w:sz w:val="18"/>
                <w:szCs w:val="20"/>
                <w:lang w:val="en-GB"/>
              </w:rPr>
              <w:t>ntn-NeighCellConfigList</w:t>
            </w:r>
            <w:r>
              <w:rPr>
                <w:rFonts w:ascii="Arial" w:hAnsi="Arial" w:eastAsia="Times New Roman"/>
                <w:sz w:val="18"/>
                <w:szCs w:val="20"/>
                <w:lang w:val="en-GB"/>
              </w:rPr>
              <w:t xml:space="preserve"> or </w:t>
            </w:r>
            <w:r>
              <w:rPr>
                <w:rFonts w:ascii="Arial" w:hAnsi="Arial" w:eastAsia="Times New Roman"/>
                <w:i/>
                <w:iCs/>
                <w:sz w:val="18"/>
                <w:szCs w:val="20"/>
                <w:lang w:val="en-GB"/>
              </w:rPr>
              <w:t>ntn-NeighCellConfigListExt</w:t>
            </w:r>
            <w:r>
              <w:rPr>
                <w:rFonts w:ascii="Arial" w:hAnsi="Arial" w:eastAsia="Times New Roman"/>
                <w:sz w:val="18"/>
                <w:szCs w:val="20"/>
                <w:lang w:val="en-GB"/>
              </w:rPr>
              <w:t xml:space="preserve"> applies.</w:t>
            </w:r>
          </w:p>
        </w:tc>
      </w:tr>
    </w:tbl>
    <w:p>
      <w:pPr>
        <w:pStyle w:val="151"/>
        <w:numPr>
          <w:ilvl w:val="0"/>
          <w:numId w:val="0"/>
        </w:numPr>
        <w:ind w:left="720"/>
        <w:rPr>
          <w:rStyle w:val="58"/>
          <w:color w:val="auto"/>
        </w:rPr>
      </w:pPr>
      <w:r>
        <w:rPr>
          <w:rStyle w:val="58"/>
          <w:color w:val="auto"/>
        </w:rPr>
        <w:t xml:space="preserve"> </w:t>
      </w:r>
    </w:p>
    <w:p>
      <w:pPr>
        <w:pStyle w:val="172"/>
      </w:pPr>
      <w:r>
        <w:fldChar w:fldCharType="begin"/>
      </w:r>
      <w:r>
        <w:instrText xml:space="preserve"> HYPERLINK "file:///C:\\Data\\3GPP\\Extracts\\R2-2210412%20Remaining%20issues%20on%20neighbour%20cell%20ephemeris.doc" \o "C:Data3GPPExtractsR2-2210412 Remaining issues on neighbour cell ephemeris.doc" </w:instrText>
      </w:r>
      <w:r>
        <w:fldChar w:fldCharType="separate"/>
      </w:r>
      <w:r>
        <w:rPr>
          <w:rStyle w:val="58"/>
        </w:rPr>
        <w:t>R2-2210412</w:t>
      </w:r>
      <w:r>
        <w:rPr>
          <w:rStyle w:val="58"/>
        </w:rPr>
        <w:fldChar w:fldCharType="end"/>
      </w:r>
      <w:r>
        <w:tab/>
      </w:r>
      <w:r>
        <w:t>Remaining issues on neighbour cell ephemeris</w:t>
      </w:r>
      <w:r>
        <w:tab/>
      </w:r>
      <w:r>
        <w:t>Huawei, HiSilicon</w:t>
      </w:r>
      <w:r>
        <w:tab/>
      </w:r>
      <w:r>
        <w:t>discussion</w:t>
      </w:r>
      <w:r>
        <w:tab/>
      </w:r>
      <w:r>
        <w:t>Rel-17</w:t>
      </w:r>
      <w:r>
        <w:tab/>
      </w:r>
      <w:r>
        <w:t>NR_NTN_solutions-Core</w:t>
      </w:r>
    </w:p>
    <w:p>
      <w:pPr>
        <w:pStyle w:val="151"/>
        <w:numPr>
          <w:ilvl w:val="0"/>
          <w:numId w:val="0"/>
        </w:numPr>
      </w:pPr>
      <w:r>
        <w:t>Proposal 1: Add the carrier frequency list and the neighbour cell list in SIB19.</w:t>
      </w:r>
    </w:p>
    <w:p>
      <w:pPr>
        <w:pStyle w:val="151"/>
        <w:numPr>
          <w:ilvl w:val="0"/>
          <w:numId w:val="0"/>
        </w:numPr>
      </w:pPr>
      <w:r>
        <w:t>Proposal 2: The neighbour cells not included in SIB19 can be neglected by UE implementation when performing measurements.</w:t>
      </w:r>
    </w:p>
    <w:p>
      <w:pPr>
        <w:pStyle w:val="151"/>
        <w:numPr>
          <w:ilvl w:val="0"/>
          <w:numId w:val="0"/>
        </w:numPr>
        <w:ind w:left="720"/>
        <w:rPr>
          <w:rStyle w:val="58"/>
          <w:color w:val="auto"/>
        </w:rPr>
      </w:pPr>
    </w:p>
    <w:p>
      <w:pPr>
        <w:pStyle w:val="172"/>
      </w:pPr>
      <w:r>
        <w:fldChar w:fldCharType="begin"/>
      </w:r>
      <w:r>
        <w:instrText xml:space="preserve"> HYPERLINK "file:///C:\\Data\\3GPP\\Extracts\\38331_CR3492_(Rel-17)_R2-2209538%20Correction%20on%20neighbor%20cells’%20satellite%20ephemeris%20information_v1.docx" \o "C:Data3GPPExtracts38331_CR3492_(Rel-17)_R2-2209538 Correction on neighbor cells’ satellite ephemeris information_v1.docx" </w:instrText>
      </w:r>
      <w:r>
        <w:fldChar w:fldCharType="separate"/>
      </w:r>
      <w:r>
        <w:rPr>
          <w:rStyle w:val="58"/>
        </w:rPr>
        <w:t>R2-2209538</w:t>
      </w:r>
      <w:r>
        <w:rPr>
          <w:rStyle w:val="58"/>
        </w:rPr>
        <w:fldChar w:fldCharType="end"/>
      </w:r>
      <w:r>
        <w:tab/>
      </w:r>
      <w:r>
        <w:t>Correction on neighbour cells’ satellite ephemeris information (38.331)</w:t>
      </w:r>
      <w:r>
        <w:tab/>
      </w:r>
      <w:r>
        <w:t>MediaTek Inc.</w:t>
      </w:r>
      <w:r>
        <w:tab/>
      </w:r>
      <w:r>
        <w:t>CR</w:t>
      </w:r>
      <w:r>
        <w:tab/>
      </w:r>
      <w:r>
        <w:t>Rel-17</w:t>
      </w:r>
      <w:r>
        <w:tab/>
      </w:r>
      <w:r>
        <w:t>38.331</w:t>
      </w:r>
      <w:r>
        <w:tab/>
      </w:r>
      <w:r>
        <w:t>17.2.0</w:t>
      </w:r>
      <w:r>
        <w:tab/>
      </w:r>
      <w:r>
        <w:t>3492</w:t>
      </w:r>
      <w:r>
        <w:tab/>
      </w:r>
      <w:r>
        <w:t>-</w:t>
      </w:r>
      <w:r>
        <w:tab/>
      </w:r>
      <w:r>
        <w:t>F</w:t>
      </w:r>
      <w:r>
        <w:tab/>
      </w:r>
      <w:r>
        <w:t>NR_NTN_solutions-Core</w:t>
      </w:r>
    </w:p>
    <w:tbl>
      <w:tblPr>
        <w:tblStyle w:val="51"/>
        <w:tblW w:w="8936"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3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60" w:hRule="atLeast"/>
          <w:tblHeader/>
        </w:trPr>
        <w:tc>
          <w:tcPr>
            <w:tcW w:w="8936" w:type="dxa"/>
            <w:tcBorders>
              <w:top w:val="single" w:color="808080" w:sz="4" w:space="0"/>
              <w:left w:val="single" w:color="808080" w:sz="4" w:space="0"/>
              <w:bottom w:val="single" w:color="808080" w:sz="4" w:space="0"/>
              <w:right w:val="single" w:color="808080" w:sz="4" w:space="0"/>
            </w:tcBorders>
          </w:tcPr>
          <w:p>
            <w:pPr>
              <w:keepNext/>
              <w:keepLines/>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32" w:hRule="atLeast"/>
          <w:tblHeader/>
        </w:trPr>
        <w:tc>
          <w:tcPr>
            <w:tcW w:w="8936" w:type="dxa"/>
            <w:tcBorders>
              <w:top w:val="single" w:color="808080" w:sz="4" w:space="0"/>
              <w:left w:val="single" w:color="808080" w:sz="4" w:space="0"/>
              <w:bottom w:val="single" w:color="808080" w:sz="4" w:space="0"/>
              <w:right w:val="single" w:color="808080" w:sz="4" w:space="0"/>
            </w:tcBorders>
          </w:tcPr>
          <w:p>
            <w:pPr>
              <w:pStyle w:val="78"/>
              <w:rPr>
                <w:b/>
                <w:bCs/>
                <w:i/>
                <w:iCs/>
              </w:rPr>
            </w:pPr>
            <w:r>
              <w:rPr>
                <w:b/>
                <w:bCs/>
                <w:i/>
                <w:iCs/>
              </w:rPr>
              <w:t>distanceThresh</w:t>
            </w:r>
          </w:p>
          <w:p>
            <w:pPr>
              <w:pStyle w:val="78"/>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22" w:hRule="atLeast"/>
        </w:trPr>
        <w:tc>
          <w:tcPr>
            <w:tcW w:w="8936" w:type="dxa"/>
            <w:tcBorders>
              <w:top w:val="single" w:color="808080" w:sz="4" w:space="0"/>
              <w:left w:val="single" w:color="808080" w:sz="4" w:space="0"/>
              <w:bottom w:val="single" w:color="808080" w:sz="4" w:space="0"/>
              <w:right w:val="single" w:color="808080" w:sz="4" w:space="0"/>
            </w:tcBorders>
          </w:tcPr>
          <w:p>
            <w:pPr>
              <w:pStyle w:val="78"/>
              <w:rPr>
                <w:b/>
                <w:bCs/>
                <w:i/>
                <w:iCs/>
              </w:rPr>
            </w:pPr>
            <w:r>
              <w:rPr>
                <w:b/>
                <w:bCs/>
                <w:i/>
                <w:iCs/>
              </w:rPr>
              <w:t>ntn-Config</w:t>
            </w:r>
          </w:p>
          <w:p>
            <w:pPr>
              <w:pStyle w:val="78"/>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224" w:hRule="atLeast"/>
        </w:trPr>
        <w:tc>
          <w:tcPr>
            <w:tcW w:w="8936" w:type="dxa"/>
            <w:tcBorders>
              <w:top w:val="single" w:color="808080" w:sz="4" w:space="0"/>
              <w:left w:val="single" w:color="808080" w:sz="4" w:space="0"/>
              <w:bottom w:val="single" w:color="808080" w:sz="4" w:space="0"/>
              <w:right w:val="single" w:color="808080" w:sz="4" w:space="0"/>
            </w:tcBorders>
          </w:tcPr>
          <w:p>
            <w:pPr>
              <w:pStyle w:val="78"/>
              <w:rPr>
                <w:b/>
                <w:bCs/>
                <w:i/>
                <w:iCs/>
              </w:rPr>
            </w:pPr>
            <w:r>
              <w:rPr>
                <w:b/>
                <w:bCs/>
                <w:i/>
                <w:iCs/>
              </w:rPr>
              <w:t>ntn-NeighCellConfigList, ntn-NeighCellConfigListExt</w:t>
            </w:r>
          </w:p>
          <w:p>
            <w:pPr>
              <w:pStyle w:val="78"/>
              <w:rPr>
                <w:b/>
                <w:bCs/>
                <w:i/>
                <w:iCs/>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(without suffix) and all elements of </w:t>
            </w:r>
            <w:r>
              <w:rPr>
                <w:i/>
                <w:iCs/>
                <w:lang w:eastAsia="zh-CN"/>
              </w:rPr>
              <w:t>ntn-NeighCellConfigListExt-v1720</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 </w:t>
            </w:r>
            <w:r>
              <w:t xml:space="preserve">If both </w:t>
            </w:r>
            <w:r>
              <w:rPr>
                <w:i/>
                <w:iCs/>
              </w:rPr>
              <w:t>physCellId</w:t>
            </w:r>
            <w:r>
              <w:t xml:space="preserve"> and </w:t>
            </w:r>
            <w:r>
              <w:rPr>
                <w:i/>
                <w:iCs/>
              </w:rPr>
              <w:t>carrierFreq</w:t>
            </w:r>
            <w:r>
              <w:t xml:space="preserve"> are configured, the corresponding </w:t>
            </w:r>
            <w:r>
              <w:rPr>
                <w:i/>
                <w:iCs/>
              </w:rPr>
              <w:t>ntn-Config</w:t>
            </w:r>
            <w:r>
              <w:t xml:space="preserve"> is applicable to the neighbour cells listed in </w:t>
            </w:r>
            <w:r>
              <w:rPr>
                <w:i/>
                <w:iCs/>
              </w:rPr>
              <w:t>SIB3/SIB4/measObjectNR</w:t>
            </w:r>
            <w:r>
              <w:t xml:space="preserve"> with the same </w:t>
            </w:r>
            <w:r>
              <w:rPr>
                <w:i/>
                <w:iCs/>
              </w:rPr>
              <w:t>physCellId</w:t>
            </w:r>
            <w:r>
              <w:t xml:space="preserve"> and on the same carrier frequency as </w:t>
            </w:r>
            <w:r>
              <w:rPr>
                <w:i/>
                <w:iCs/>
              </w:rPr>
              <w:t>carrierFreq</w:t>
            </w:r>
            <w:r>
              <w:t xml:space="preserve">. If </w:t>
            </w:r>
            <w:r>
              <w:rPr>
                <w:i/>
                <w:iCs/>
              </w:rPr>
              <w:t>physCellId</w:t>
            </w:r>
            <w:r>
              <w:t xml:space="preserve"> is not configured but </w:t>
            </w:r>
            <w:r>
              <w:rPr>
                <w:i/>
                <w:iCs/>
              </w:rPr>
              <w:t>carrierFreq</w:t>
            </w:r>
            <w:r>
              <w:t xml:space="preserve"> is configured, the corresponding </w:t>
            </w:r>
            <w:r>
              <w:rPr>
                <w:i/>
                <w:iCs/>
              </w:rPr>
              <w:t>ntn-Config</w:t>
            </w:r>
            <w:r>
              <w:t xml:space="preserve"> is applicable to the neighbour cells listed in </w:t>
            </w:r>
            <w:r>
              <w:rPr>
                <w:i/>
                <w:iCs/>
              </w:rPr>
              <w:t>SIB3/SIB4/measObjectNR</w:t>
            </w:r>
            <w:r>
              <w:t xml:space="preserve"> on the same carrier frequency as </w:t>
            </w:r>
            <w:r>
              <w:rPr>
                <w:i/>
                <w:iCs/>
              </w:rPr>
              <w:t>carrierFreq</w:t>
            </w:r>
            <w:r>
              <w:t>.</w:t>
            </w:r>
          </w:p>
        </w:tc>
      </w:tr>
    </w:tbl>
    <w:p>
      <w:pPr>
        <w:pStyle w:val="113"/>
        <w:rPr>
          <w:lang w:val="en-GB" w:eastAsia="en-GB"/>
        </w:rPr>
      </w:pPr>
    </w:p>
    <w:p>
      <w:pPr>
        <w:pStyle w:val="172"/>
      </w:pPr>
      <w:r>
        <w:fldChar w:fldCharType="begin"/>
      </w:r>
      <w:r>
        <w:instrText xml:space="preserve"> HYPERLINK "file:///C:\\Data\\3GPP\\Extracts\\R2-2210346_NR%20RRC%20CR%20on%20neighbour%20cell%20ephemeris%20signalling.docx" \o "C:Data3GPPExtractsR2-2210346_NR RRC CR on neighbour cell ephemeris signalling.docx" </w:instrText>
      </w:r>
      <w:r>
        <w:fldChar w:fldCharType="separate"/>
      </w:r>
      <w:r>
        <w:rPr>
          <w:rStyle w:val="58"/>
        </w:rPr>
        <w:t>R2-2210346</w:t>
      </w:r>
      <w:r>
        <w:rPr>
          <w:rStyle w:val="58"/>
        </w:rPr>
        <w:fldChar w:fldCharType="end"/>
      </w:r>
      <w:r>
        <w:tab/>
      </w:r>
      <w:r>
        <w:t>NR RRC CR on neighbour cell ephemeris signalling</w:t>
      </w:r>
      <w:r>
        <w:tab/>
      </w:r>
      <w:r>
        <w:t>Nokia, Nokia Shanghai Bell</w:t>
      </w:r>
      <w:r>
        <w:tab/>
      </w:r>
      <w:r>
        <w:t>CR</w:t>
      </w:r>
      <w:r>
        <w:tab/>
      </w:r>
      <w:r>
        <w:t>Rel-17</w:t>
      </w:r>
      <w:r>
        <w:tab/>
      </w:r>
      <w:r>
        <w:t>38.331</w:t>
      </w:r>
      <w:r>
        <w:tab/>
      </w:r>
      <w:r>
        <w:t>17.2.0</w:t>
      </w:r>
      <w:r>
        <w:tab/>
      </w:r>
      <w:r>
        <w:t>3539</w:t>
      </w:r>
      <w:r>
        <w:tab/>
      </w:r>
      <w:r>
        <w:t>-</w:t>
      </w:r>
      <w:r>
        <w:tab/>
      </w:r>
      <w:r>
        <w:t>F</w:t>
      </w:r>
      <w:r>
        <w:tab/>
      </w:r>
      <w:r>
        <w:t>NR_NTN_solutions-Core</w:t>
      </w:r>
    </w:p>
    <w:p>
      <w:pPr>
        <w:rPr>
          <w:rFonts w:ascii="Arial" w:hAnsi="Arial" w:cs="Arial"/>
          <w:lang w:val="en-GB"/>
        </w:rPr>
      </w:pPr>
      <w: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pPr>
        <w:rPr>
          <w:rFonts w:ascii="Arial" w:hAnsi="Arial" w:cs="Arial"/>
          <w:lang w:val="en-GB"/>
        </w:rPr>
      </w:pPr>
    </w:p>
    <w:p>
      <w:pPr>
        <w:pStyle w:val="111"/>
        <w:numPr>
          <w:ilvl w:val="0"/>
          <w:numId w:val="19"/>
        </w:numPr>
        <w:tabs>
          <w:tab w:val="left" w:pos="384"/>
        </w:tabs>
        <w:spacing w:before="20" w:after="80"/>
        <w:ind w:left="384" w:hanging="284"/>
      </w:pPr>
      <w:r>
        <w:t>ntn-ConfigID is added to NTN-NeighCellConfig</w:t>
      </w:r>
    </w:p>
    <w:p>
      <w:pPr>
        <w:pStyle w:val="111"/>
        <w:numPr>
          <w:ilvl w:val="0"/>
          <w:numId w:val="19"/>
        </w:numPr>
        <w:tabs>
          <w:tab w:val="left" w:pos="384"/>
        </w:tabs>
        <w:spacing w:before="20" w:after="80"/>
        <w:ind w:left="384" w:hanging="284"/>
      </w:pPr>
      <w:r>
        <w:t>ntn-ConfigID is included in NTN-Config</w:t>
      </w:r>
    </w:p>
    <w:p>
      <w:pPr>
        <w:rPr>
          <w:rFonts w:ascii="Arial" w:hAnsi="Arial" w:cs="Arial"/>
          <w:lang w:val="en-GB"/>
        </w:rPr>
      </w:pPr>
    </w:p>
    <w:p>
      <w:pPr>
        <w:rPr>
          <w:b/>
          <w:bCs/>
        </w:rPr>
      </w:pPr>
      <w:r>
        <w:rPr>
          <w:b/>
          <w:bCs/>
        </w:rPr>
        <w:t>Question 1.</w:t>
      </w:r>
      <w:r>
        <w:t xml:space="preserve"> </w:t>
      </w:r>
      <w:r>
        <w:rPr>
          <w:b/>
          <w:bCs/>
        </w:rPr>
        <w:t>Do you support to further enhance rel-17 neighbor cell SI? If yes, please indicate which enhancement(CR) you support</w:t>
      </w:r>
    </w:p>
    <w:p/>
    <w:tbl>
      <w:tblPr>
        <w:tblStyle w:val="51"/>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10"/>
        <w:gridCol w:w="1834"/>
        <w:gridCol w:w="67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4"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95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Yes/no</w:t>
            </w:r>
          </w:p>
        </w:tc>
        <w:tc>
          <w:tcPr>
            <w:tcW w:w="352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right="57"/>
              <w:jc w:val="left"/>
              <w:rPr>
                <w:lang w:val="fi-FI"/>
              </w:rPr>
            </w:pPr>
            <w:r>
              <w:rPr>
                <w:lang w:val="fi-FI"/>
              </w:rPr>
              <w:t>TDOC number of supported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9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 xml:space="preserve">No </w:t>
            </w: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9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Yes</w:t>
            </w: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en-US" w:eastAsia="zh-CN"/>
              </w:rPr>
            </w:pPr>
            <w:r>
              <w:rPr>
                <w:rFonts w:eastAsia="宋体"/>
                <w:lang w:val="en-US" w:eastAsia="zh-CN"/>
              </w:rPr>
              <w:t xml:space="preserve">Nokia’s proposal in R2-2210346 is also ok. We should make use of such for measurement object configuration and when network requesting propagation delay difference report. </w:t>
            </w:r>
          </w:p>
          <w:p>
            <w:pPr>
              <w:pStyle w:val="79"/>
              <w:spacing w:before="20" w:after="20"/>
              <w:ind w:right="57"/>
              <w:jc w:val="left"/>
              <w:rPr>
                <w:rFonts w:eastAsia="宋体"/>
                <w:lang w:val="en-US" w:eastAsia="zh-CN"/>
              </w:rPr>
            </w:pPr>
            <w:r>
              <w:rPr>
                <w:rFonts w:eastAsia="宋体"/>
                <w:lang w:val="en-US" w:eastAsia="zh-CN"/>
              </w:rPr>
              <w:t>For other proposals, we could use SIB4 extension to indicate up to 8 frequencies for one satellite.</w:t>
            </w:r>
          </w:p>
          <w:p>
            <w:pPr>
              <w:pStyle w:val="79"/>
              <w:spacing w:before="20" w:after="20"/>
              <w:ind w:right="57"/>
              <w:jc w:val="left"/>
              <w:rPr>
                <w:rFonts w:eastAsia="宋体"/>
                <w:lang w:val="en-US" w:eastAsia="zh-CN"/>
              </w:rPr>
            </w:pPr>
          </w:p>
          <w:p>
            <w:pPr>
              <w:pStyle w:val="137"/>
            </w:pPr>
            <w:r>
              <w:t xml:space="preserve">InterFreqCarrierFreqInfo-v1720 ::=  </w:t>
            </w:r>
            <w:r>
              <w:rPr>
                <w:color w:val="993366"/>
              </w:rPr>
              <w:t>SEQUENCE</w:t>
            </w:r>
            <w:r>
              <w:t xml:space="preserve"> {</w:t>
            </w:r>
          </w:p>
          <w:p>
            <w:pPr>
              <w:pStyle w:val="137"/>
              <w:rPr>
                <w:color w:val="808080"/>
              </w:rPr>
            </w:pPr>
            <w:r>
              <w:t xml:space="preserve">    smtc4list-r17                       SSB-MTC4List-r17                                            </w:t>
            </w:r>
            <w:r>
              <w:rPr>
                <w:color w:val="993366"/>
              </w:rPr>
              <w:t>OPTIONAL</w:t>
            </w:r>
            <w:r>
              <w:t xml:space="preserve">     </w:t>
            </w:r>
            <w:r>
              <w:rPr>
                <w:color w:val="808080"/>
              </w:rPr>
              <w:t>-- Need R</w:t>
            </w:r>
          </w:p>
          <w:p>
            <w:pPr>
              <w:pStyle w:val="137"/>
            </w:pPr>
            <w:r>
              <w:t>}</w:t>
            </w:r>
          </w:p>
          <w:p>
            <w:pPr>
              <w:pStyle w:val="137"/>
              <w:rPr>
                <w:color w:val="FF0000"/>
              </w:rPr>
            </w:pPr>
            <w:r>
              <w:rPr>
                <w:color w:val="FF0000"/>
              </w:rPr>
              <w:t>InterFreqCarrierFreqInfo-v17x0 ::=  SEQUENCE {</w:t>
            </w:r>
          </w:p>
          <w:p>
            <w:pPr>
              <w:pStyle w:val="137"/>
              <w:rPr>
                <w:color w:val="FF0000"/>
              </w:rPr>
            </w:pPr>
            <w:r>
              <w:rPr>
                <w:color w:val="FF0000"/>
              </w:rPr>
              <w:t xml:space="preserve">    ntn-ConfigID-r17                       INTEGER (1..8)                                            OPTIONAL     -- Need R</w:t>
            </w:r>
          </w:p>
          <w:p>
            <w:pPr>
              <w:pStyle w:val="137"/>
              <w:rPr>
                <w:color w:val="FF0000"/>
              </w:rPr>
            </w:pPr>
            <w:r>
              <w:rPr>
                <w:color w:val="FF0000"/>
              </w:rPr>
              <w:t>}</w:t>
            </w:r>
          </w:p>
          <w:p>
            <w:pPr>
              <w:pStyle w:val="79"/>
              <w:spacing w:before="20" w:after="20"/>
              <w:ind w:right="57"/>
              <w:jc w:val="left"/>
              <w:rPr>
                <w:rFonts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val="en-US" w:eastAsia="zh-CN"/>
              </w:rPr>
            </w:pPr>
            <w:r>
              <w:rPr>
                <w:lang w:val="en-US" w:eastAsia="zh-CN"/>
              </w:rPr>
              <w:t>MediaTek</w:t>
            </w:r>
          </w:p>
        </w:tc>
        <w:tc>
          <w:tcPr>
            <w:tcW w:w="9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Yes</w:t>
            </w: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en-US" w:eastAsia="zh-CN"/>
              </w:rPr>
            </w:pPr>
            <w:r>
              <w:rPr>
                <w:rFonts w:eastAsia="宋体"/>
                <w:lang w:val="en-US" w:eastAsia="zh-CN"/>
              </w:rPr>
              <w:t xml:space="preserve">Support </w:t>
            </w:r>
            <w:r>
              <w:fldChar w:fldCharType="begin"/>
            </w:r>
            <w:r>
              <w:instrText xml:space="preserve"> HYPERLINK "file:///C:\\Data\\3GPP\\Extracts\\38331_CR3492_(Rel-17)_R2-2209538%20Correction%20on%20neighbor%20cells’%20satellite%20ephemeris%20information_v1.docx" \o "C:Data3GPPExtracts38331_CR3492_(Rel-17)_R2-2209538 Correction on neighbor cells’ satellite ephemeris information_v1.docx" </w:instrText>
            </w:r>
            <w:r>
              <w:fldChar w:fldCharType="separate"/>
            </w:r>
            <w:r>
              <w:rPr>
                <w:rFonts w:eastAsia="宋体"/>
                <w:lang w:val="en-US" w:eastAsia="zh-CN"/>
              </w:rPr>
              <w:t>R2-2209538</w:t>
            </w:r>
            <w:r>
              <w:rPr>
                <w:rFonts w:eastAsia="宋体"/>
                <w:lang w:val="en-US" w:eastAsia="zh-CN"/>
              </w:rPr>
              <w:fldChar w:fldCharType="end"/>
            </w:r>
            <w:r>
              <w:rPr>
                <w:rFonts w:eastAsia="宋体"/>
                <w:lang w:val="en-US" w:eastAsia="zh-CN"/>
              </w:rPr>
              <w:t xml:space="preserve"> as it makes clear linkage between SIB3/SIB4/measObjectNR and SIB19. For example, if PCI is not configured in NTN-NeighCellConfig, how to apply the ntn-Config to the cells in SIB4? Current specification does not mention this. </w:t>
            </w:r>
            <w:r>
              <w:rPr>
                <w:rFonts w:hint="eastAsia" w:eastAsia="PMingLiU"/>
                <w:lang w:val="en-US" w:eastAsia="zh-TW"/>
              </w:rPr>
              <w:t>R</w:t>
            </w:r>
            <w:r>
              <w:rPr>
                <w:rFonts w:eastAsia="PMingLiU"/>
                <w:lang w:val="en-US" w:eastAsia="zh-TW"/>
              </w:rPr>
              <w:t xml:space="preserve">egarding increasing the neighbor cells in SIB19, it can be also done not configuring PCI in </w:t>
            </w:r>
            <w:r>
              <w:rPr>
                <w:rFonts w:eastAsia="宋体"/>
                <w:lang w:val="en-US" w:eastAsia="zh-CN"/>
              </w:rPr>
              <w:t>NTN-NeighCellConfig but configuring multiple PCIs in SIB3/4/measObjectNR.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4" w:type="pct"/>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Theme="minorEastAsia" w:cstheme="minorBidi"/>
                <w:sz w:val="18"/>
                <w:szCs w:val="22"/>
                <w:lang w:val="zh-CN" w:eastAsia="zh-CN" w:bidi="ar-SA"/>
              </w:rPr>
            </w:pPr>
            <w:r>
              <w:rPr>
                <w:rFonts w:hint="eastAsia"/>
              </w:rPr>
              <w:t>X</w:t>
            </w:r>
            <w:r>
              <w:t>iaomi</w:t>
            </w:r>
          </w:p>
        </w:tc>
        <w:tc>
          <w:tcPr>
            <w:tcW w:w="951" w:type="pct"/>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N</w:t>
            </w:r>
            <w:r>
              <w:rPr>
                <w:rFonts w:eastAsia="宋体"/>
                <w:lang w:val="en-US"/>
              </w:rPr>
              <w:t>o</w:t>
            </w: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52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9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52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bl>
    <w:p>
      <w:pPr>
        <w:rPr>
          <w:u w:val="single"/>
        </w:rPr>
      </w:pPr>
    </w:p>
    <w:p>
      <w:r>
        <w:br w:type="page"/>
      </w:r>
    </w:p>
    <w:p>
      <w:pPr>
        <w:rPr>
          <w:rFonts w:eastAsia="宋体"/>
        </w:rPr>
      </w:pPr>
    </w:p>
    <w:p>
      <w:pPr>
        <w:pStyle w:val="2"/>
        <w:numPr>
          <w:ilvl w:val="0"/>
          <w:numId w:val="17"/>
        </w:numPr>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eastAsia="宋体"/>
        </w:rPr>
        <w:t>SMTC</w:t>
      </w:r>
    </w:p>
    <w:p>
      <w:pPr>
        <w:pStyle w:val="113"/>
        <w:ind w:left="0" w:firstLine="0"/>
        <w:rPr>
          <w:rFonts w:cs="Times New Roman"/>
          <w:sz w:val="20"/>
          <w:szCs w:val="24"/>
          <w:lang w:val="en-GB" w:eastAsia="en-GB"/>
        </w:rPr>
      </w:pPr>
      <w:bookmarkStart w:id="3" w:name="_Hlk111733727"/>
    </w:p>
    <w:p>
      <w:pPr>
        <w:pStyle w:val="113"/>
        <w:ind w:left="0" w:firstLine="0"/>
        <w:rPr>
          <w:rFonts w:cs="Times New Roman"/>
          <w:sz w:val="20"/>
          <w:szCs w:val="24"/>
          <w:lang w:val="en-GB" w:eastAsia="en-GB"/>
        </w:rPr>
      </w:pPr>
      <w:bookmarkStart w:id="4" w:name="_Hlk116486480"/>
      <w:r>
        <w:rPr>
          <w:rFonts w:cs="Times New Roman"/>
          <w:sz w:val="20"/>
          <w:szCs w:val="24"/>
          <w:lang w:val="en-GB" w:eastAsia="en-GB"/>
        </w:rPr>
        <w:t>R2-2209505</w:t>
      </w:r>
      <w:bookmarkEnd w:id="4"/>
      <w:r>
        <w:rPr>
          <w:rFonts w:cs="Times New Roman"/>
          <w:sz w:val="20"/>
          <w:szCs w:val="24"/>
          <w:lang w:val="en-GB" w:eastAsia="en-GB"/>
        </w:rPr>
        <w:tab/>
      </w:r>
      <w:r>
        <w:rPr>
          <w:rFonts w:cs="Times New Roman"/>
          <w:sz w:val="20"/>
          <w:szCs w:val="24"/>
          <w:lang w:val="en-GB" w:eastAsia="en-GB"/>
        </w:rPr>
        <w:t>Correction on UE behavior on SMTC in TS 38.331</w:t>
      </w:r>
      <w:r>
        <w:rPr>
          <w:rFonts w:cs="Times New Roman"/>
          <w:sz w:val="20"/>
          <w:szCs w:val="24"/>
          <w:lang w:val="en-GB" w:eastAsia="en-GB"/>
        </w:rPr>
        <w:tab/>
      </w:r>
      <w:r>
        <w:rPr>
          <w:rFonts w:cs="Times New Roman"/>
          <w:sz w:val="20"/>
          <w:szCs w:val="24"/>
          <w:lang w:val="en-GB" w:eastAsia="en-GB"/>
        </w:rPr>
        <w:t>vivo</w:t>
      </w:r>
      <w:r>
        <w:rPr>
          <w:rFonts w:cs="Times New Roman"/>
          <w:sz w:val="20"/>
          <w:szCs w:val="24"/>
          <w:lang w:val="en-GB" w:eastAsia="en-GB"/>
        </w:rPr>
        <w:tab/>
      </w:r>
      <w:r>
        <w:rPr>
          <w:rFonts w:cs="Times New Roman"/>
          <w:sz w:val="20"/>
          <w:szCs w:val="24"/>
          <w:lang w:val="en-GB" w:eastAsia="en-GB"/>
        </w:rPr>
        <w:t>CR</w:t>
      </w:r>
      <w:r>
        <w:rPr>
          <w:rFonts w:cs="Times New Roman"/>
          <w:sz w:val="20"/>
          <w:szCs w:val="24"/>
          <w:lang w:val="en-GB" w:eastAsia="en-GB"/>
        </w:rPr>
        <w:tab/>
      </w:r>
      <w:r>
        <w:rPr>
          <w:rFonts w:cs="Times New Roman"/>
          <w:sz w:val="20"/>
          <w:szCs w:val="24"/>
          <w:lang w:val="en-GB" w:eastAsia="en-GB"/>
        </w:rPr>
        <w:t>Rel-17</w:t>
      </w:r>
      <w:r>
        <w:rPr>
          <w:rFonts w:cs="Times New Roman"/>
          <w:sz w:val="20"/>
          <w:szCs w:val="24"/>
          <w:lang w:val="en-GB" w:eastAsia="en-GB"/>
        </w:rPr>
        <w:tab/>
      </w:r>
      <w:r>
        <w:rPr>
          <w:rFonts w:cs="Times New Roman"/>
          <w:sz w:val="20"/>
          <w:szCs w:val="24"/>
          <w:lang w:val="en-GB" w:eastAsia="en-GB"/>
        </w:rPr>
        <w:t>38.331</w:t>
      </w:r>
      <w:r>
        <w:rPr>
          <w:rFonts w:cs="Times New Roman"/>
          <w:sz w:val="20"/>
          <w:szCs w:val="24"/>
          <w:lang w:val="en-GB" w:eastAsia="en-GB"/>
        </w:rPr>
        <w:tab/>
      </w:r>
      <w:r>
        <w:rPr>
          <w:rFonts w:cs="Times New Roman"/>
          <w:sz w:val="20"/>
          <w:szCs w:val="24"/>
          <w:lang w:val="en-GB" w:eastAsia="en-GB"/>
        </w:rPr>
        <w:t>17.2.0</w:t>
      </w:r>
      <w:r>
        <w:rPr>
          <w:rFonts w:cs="Times New Roman"/>
          <w:sz w:val="20"/>
          <w:szCs w:val="24"/>
          <w:lang w:val="en-GB" w:eastAsia="en-GB"/>
        </w:rPr>
        <w:tab/>
      </w:r>
      <w:r>
        <w:rPr>
          <w:rFonts w:cs="Times New Roman"/>
          <w:sz w:val="20"/>
          <w:szCs w:val="24"/>
          <w:lang w:val="en-GB" w:eastAsia="en-GB"/>
        </w:rPr>
        <w:t>3488</w:t>
      </w:r>
      <w:r>
        <w:rPr>
          <w:rFonts w:cs="Times New Roman"/>
          <w:sz w:val="20"/>
          <w:szCs w:val="24"/>
          <w:lang w:val="en-GB" w:eastAsia="en-GB"/>
        </w:rPr>
        <w:tab/>
      </w:r>
      <w:r>
        <w:rPr>
          <w:rFonts w:cs="Times New Roman"/>
          <w:sz w:val="20"/>
          <w:szCs w:val="24"/>
          <w:lang w:val="en-GB" w:eastAsia="en-GB"/>
        </w:rPr>
        <w:t>-</w:t>
      </w:r>
      <w:r>
        <w:rPr>
          <w:rFonts w:cs="Times New Roman"/>
          <w:sz w:val="20"/>
          <w:szCs w:val="24"/>
          <w:lang w:val="en-GB" w:eastAsia="en-GB"/>
        </w:rPr>
        <w:tab/>
      </w:r>
      <w:r>
        <w:rPr>
          <w:rFonts w:cs="Times New Roman"/>
          <w:sz w:val="20"/>
          <w:szCs w:val="24"/>
          <w:lang w:val="en-GB" w:eastAsia="en-GB"/>
        </w:rPr>
        <w:t>F</w:t>
      </w:r>
      <w:r>
        <w:rPr>
          <w:rFonts w:cs="Times New Roman"/>
          <w:sz w:val="20"/>
          <w:szCs w:val="24"/>
          <w:lang w:val="en-GB" w:eastAsia="en-GB"/>
        </w:rPr>
        <w:tab/>
      </w:r>
      <w:r>
        <w:rPr>
          <w:rFonts w:cs="Times New Roman"/>
          <w:sz w:val="20"/>
          <w:szCs w:val="24"/>
          <w:lang w:val="en-GB" w:eastAsia="en-GB"/>
        </w:rPr>
        <w:t>NR_NTN_solutions-Core</w:t>
      </w:r>
    </w:p>
    <w:p>
      <w:pPr>
        <w:pStyle w:val="181"/>
      </w:pPr>
    </w:p>
    <w:tbl>
      <w:tblPr>
        <w:tblStyle w:val="51"/>
        <w:tblW w:w="992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92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891" w:hRule="atLeast"/>
        </w:trPr>
        <w:tc>
          <w:tcPr>
            <w:tcW w:w="9924" w:type="dxa"/>
            <w:tcBorders>
              <w:top w:val="single" w:color="808080" w:sz="4" w:space="0"/>
              <w:left w:val="single" w:color="808080" w:sz="4" w:space="0"/>
              <w:bottom w:val="single" w:color="808080" w:sz="4" w:space="0"/>
              <w:right w:val="single" w:color="808080" w:sz="4" w:space="0"/>
            </w:tcBorders>
          </w:tcPr>
          <w:p>
            <w:pPr>
              <w:keepNext/>
              <w:keepLines/>
              <w:rPr>
                <w:b/>
                <w:bCs/>
                <w:i/>
                <w:iCs/>
                <w:sz w:val="18"/>
                <w:lang w:eastAsia="sv-SE"/>
              </w:rPr>
            </w:pPr>
            <w:r>
              <w:rPr>
                <w:b/>
                <w:bCs/>
                <w:i/>
                <w:iCs/>
                <w:sz w:val="18"/>
                <w:lang w:eastAsia="sv-SE"/>
              </w:rPr>
              <w:t>smtc</w:t>
            </w:r>
          </w:p>
          <w:p>
            <w:pPr>
              <w:keepNext/>
              <w:keepLines/>
              <w:rPr>
                <w:b/>
                <w:bCs/>
                <w:i/>
                <w:sz w:val="18"/>
                <w:lang w:eastAsia="en-GB"/>
              </w:rPr>
            </w:pPr>
            <w:r>
              <w:rPr>
                <w:sz w:val="18"/>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lang w:eastAsia="sv-SE"/>
              </w:rPr>
              <w:t>offset</w:t>
            </w:r>
            <w:r>
              <w:rPr>
                <w:sz w:val="18"/>
                <w:lang w:eastAsia="sv-SE"/>
              </w:rPr>
              <w:t xml:space="preserve"> (derived from parameter </w:t>
            </w:r>
            <w:r>
              <w:rPr>
                <w:i/>
                <w:iCs/>
                <w:sz w:val="18"/>
                <w:lang w:eastAsia="sv-SE"/>
              </w:rPr>
              <w:t>periodicityAndOffset</w:t>
            </w:r>
            <w:r>
              <w:rPr>
                <w:sz w:val="18"/>
                <w:lang w:eastAsia="sv-SE"/>
              </w:rPr>
              <w:t xml:space="preserve">) is based on the assumption that service link propagation delay difference between the serving cell and neighbour cells equals to 0 ms, and UE can adjust the actual </w:t>
            </w:r>
            <w:r>
              <w:rPr>
                <w:i/>
                <w:iCs/>
                <w:sz w:val="18"/>
                <w:lang w:eastAsia="sv-SE"/>
              </w:rPr>
              <w:t>offset</w:t>
            </w:r>
            <w:r>
              <w:rPr>
                <w:sz w:val="18"/>
                <w:lang w:eastAsia="sv-SE"/>
              </w:rPr>
              <w:t xml:space="preserve"> based on the actual propagation delay difference</w:t>
            </w:r>
            <w:r>
              <w:t xml:space="preserve"> </w:t>
            </w:r>
            <w:r>
              <w:rPr>
                <w:sz w:val="18"/>
                <w:lang w:eastAsia="sv-SE"/>
              </w:rPr>
              <w:t>which can be calculated based on the ephemeris information in SIB19.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97" w:hRule="atLeast"/>
        </w:trPr>
        <w:tc>
          <w:tcPr>
            <w:tcW w:w="9924" w:type="dxa"/>
            <w:tcBorders>
              <w:top w:val="single" w:color="808080" w:sz="4" w:space="0"/>
              <w:left w:val="single" w:color="808080" w:sz="4" w:space="0"/>
              <w:bottom w:val="single" w:color="808080" w:sz="4" w:space="0"/>
              <w:right w:val="single" w:color="808080" w:sz="4" w:space="0"/>
            </w:tcBorders>
          </w:tcPr>
          <w:p>
            <w:pPr>
              <w:keepNext/>
              <w:keepLines/>
              <w:rPr>
                <w:b/>
                <w:bCs/>
                <w:i/>
                <w:iCs/>
                <w:sz w:val="18"/>
                <w:lang w:eastAsia="sv-SE"/>
              </w:rPr>
            </w:pPr>
            <w:r>
              <w:rPr>
                <w:b/>
                <w:bCs/>
                <w:i/>
                <w:iCs/>
                <w:sz w:val="18"/>
                <w:lang w:eastAsia="sv-SE"/>
              </w:rPr>
              <w:t>smtc2-LP</w:t>
            </w:r>
          </w:p>
          <w:p>
            <w:pPr>
              <w:keepNext/>
              <w:keepLines/>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97" w:hRule="atLeast"/>
        </w:trPr>
        <w:tc>
          <w:tcPr>
            <w:tcW w:w="9924" w:type="dxa"/>
            <w:tcBorders>
              <w:top w:val="single" w:color="808080" w:sz="4" w:space="0"/>
              <w:left w:val="single" w:color="808080" w:sz="4" w:space="0"/>
              <w:bottom w:val="single" w:color="808080" w:sz="4" w:space="0"/>
              <w:right w:val="single" w:color="808080" w:sz="4" w:space="0"/>
            </w:tcBorders>
          </w:tcPr>
          <w:p>
            <w:pPr>
              <w:keepNext/>
              <w:keepLines/>
              <w:rPr>
                <w:b/>
                <w:i/>
                <w:sz w:val="18"/>
                <w:lang w:eastAsia="en-GB"/>
              </w:rPr>
            </w:pPr>
            <w:r>
              <w:rPr>
                <w:b/>
                <w:i/>
                <w:sz w:val="18"/>
                <w:lang w:eastAsia="en-GB"/>
              </w:rPr>
              <w:t>smtc4list</w:t>
            </w:r>
          </w:p>
          <w:p>
            <w:pPr>
              <w:keepNext/>
              <w:keepLines/>
              <w:rPr>
                <w:b/>
                <w:bCs/>
                <w:i/>
                <w:iCs/>
                <w:sz w:val="18"/>
                <w:lang w:eastAsia="sv-SE"/>
              </w:rPr>
            </w:pPr>
            <w:r>
              <w:rPr>
                <w:bCs/>
                <w:iCs/>
                <w:sz w:val="18"/>
                <w:lang w:eastAsia="en-GB"/>
              </w:rPr>
              <w:t xml:space="preserve">Measurement timing configuration list for NTN deployments, see clause 5.5.2.10. The offset of each SSB-MTC4 in </w:t>
            </w:r>
            <w:r>
              <w:rPr>
                <w:bCs/>
                <w:i/>
                <w:sz w:val="18"/>
                <w:lang w:eastAsia="en-GB"/>
              </w:rPr>
              <w:t>smtc4list</w:t>
            </w:r>
            <w:r>
              <w:rPr>
                <w:bCs/>
                <w:iCs/>
                <w:sz w:val="18"/>
                <w:lang w:eastAsia="en-GB"/>
              </w:rPr>
              <w:t xml:space="preserve"> is based on the assumption that service link propagation delay difference between the serving cell and neighbour cells equals to 0 ms, and UE can adjust the actual </w:t>
            </w:r>
            <w:r>
              <w:rPr>
                <w:bCs/>
                <w:i/>
                <w:sz w:val="18"/>
                <w:lang w:eastAsia="en-GB"/>
              </w:rPr>
              <w:t>offset</w:t>
            </w:r>
            <w:r>
              <w:rPr>
                <w:bCs/>
                <w:iCs/>
                <w:sz w:val="18"/>
                <w:lang w:eastAsia="en-GB"/>
              </w:rPr>
              <w:t xml:space="preserve"> based on the actual propagation delay difference</w:t>
            </w:r>
            <w:r>
              <w:rPr>
                <w:sz w:val="18"/>
                <w:lang w:eastAsia="sv-SE"/>
              </w:rPr>
              <w:t xml:space="preserve"> which can be calculated based on the ephemeris information in SIB19</w:t>
            </w:r>
            <w:r>
              <w:rPr>
                <w:bCs/>
                <w:iCs/>
                <w:sz w:val="18"/>
                <w:lang w:eastAsia="en-GB"/>
              </w:rPr>
              <w:t xml:space="preserve">. </w:t>
            </w:r>
            <w:r>
              <w:rPr>
                <w:sz w:val="18"/>
                <w:lang w:eastAsia="sv-SE"/>
              </w:rPr>
              <w:t>For a UE that supports all the SMTC configurations</w:t>
            </w:r>
            <w:r>
              <w:rPr>
                <w:rFonts w:hint="eastAsia"/>
                <w:sz w:val="18"/>
                <w:lang w:eastAsia="sv-SE"/>
              </w:rPr>
              <w:t xml:space="preserve"> broadcast</w:t>
            </w:r>
            <w:r>
              <w:rPr>
                <w:sz w:val="18"/>
                <w:lang w:eastAsia="sv-SE"/>
              </w:rPr>
              <w:t xml:space="preserve"> by the NW, the UE shall use all the SMTCs </w:t>
            </w:r>
            <w:r>
              <w:rPr>
                <w:rFonts w:hint="eastAsia"/>
                <w:sz w:val="18"/>
                <w:lang w:eastAsia="sv-SE"/>
              </w:rPr>
              <w:t>broadcast</w:t>
            </w:r>
            <w:r>
              <w:rPr>
                <w:sz w:val="18"/>
                <w:lang w:eastAsia="sv-SE"/>
              </w:rPr>
              <w:t xml:space="preserve"> </w:t>
            </w:r>
            <w:r>
              <w:rPr>
                <w:rFonts w:hint="eastAsia"/>
                <w:sz w:val="18"/>
                <w:lang w:eastAsia="sv-SE"/>
              </w:rPr>
              <w:t>b</w:t>
            </w:r>
            <w:r>
              <w:rPr>
                <w:sz w:val="18"/>
                <w:lang w:eastAsia="sv-SE"/>
              </w:rPr>
              <w:t xml:space="preserve">y the NW. </w:t>
            </w:r>
            <w:r>
              <w:rPr>
                <w:bCs/>
                <w:iCs/>
                <w:sz w:val="18"/>
                <w:lang w:eastAsia="en-GB"/>
              </w:rPr>
              <w:t>For a UE that supports less SMTCs than what is</w:t>
            </w:r>
            <w:r>
              <w:rPr>
                <w:sz w:val="18"/>
                <w:lang w:eastAsia="sv-SE"/>
              </w:rPr>
              <w:t xml:space="preserve"> broadcast by the NW</w:t>
            </w:r>
            <w:r>
              <w:rPr>
                <w:bCs/>
                <w:iCs/>
                <w:sz w:val="18"/>
                <w:lang w:eastAsia="en-GB"/>
              </w:rPr>
              <w:t>, it is up to the UE to select which SMTCs to consider.</w:t>
            </w:r>
          </w:p>
        </w:tc>
      </w:tr>
    </w:tbl>
    <w:p>
      <w:pPr>
        <w:pStyle w:val="181"/>
        <w:rPr>
          <w:b/>
        </w:rPr>
      </w:pPr>
      <w:r>
        <w:br w:type="textWrapping"/>
      </w:r>
    </w:p>
    <w:p>
      <w:pPr>
        <w:pStyle w:val="181"/>
        <w:ind w:left="0"/>
        <w:rPr>
          <w:b/>
        </w:rPr>
      </w:pPr>
      <w:r>
        <w:rPr>
          <w:b/>
        </w:rPr>
        <w:t xml:space="preserve">The CR proposes that 38.331 would state advice for idle mode UE on Ephemeris data usage as well as SMTC configuration usage. </w:t>
      </w:r>
    </w:p>
    <w:p>
      <w:pPr>
        <w:pStyle w:val="181"/>
        <w:ind w:left="0"/>
        <w:rPr>
          <w:b/>
        </w:rPr>
      </w:pPr>
    </w:p>
    <w:p>
      <w:pPr>
        <w:pStyle w:val="181"/>
        <w:ind w:left="0"/>
        <w:rPr>
          <w:b/>
        </w:rPr>
      </w:pPr>
      <w:r>
        <w:rPr>
          <w:b/>
        </w:rPr>
        <w:t xml:space="preserve">Rapporteur thinks these are not corrections first of all and that 38.331 should not specify idle mode UE implementation. </w:t>
      </w:r>
    </w:p>
    <w:p>
      <w:pPr>
        <w:pStyle w:val="181"/>
        <w:ind w:left="0"/>
        <w:rPr>
          <w:bCs/>
        </w:rPr>
      </w:pPr>
    </w:p>
    <w:p>
      <w:pPr>
        <w:pStyle w:val="113"/>
        <w:rPr>
          <w:lang w:val="en-US"/>
        </w:rPr>
      </w:pPr>
      <w:r>
        <w:rPr>
          <w:lang w:val="en-US"/>
        </w:rPr>
        <w:t xml:space="preserve">  </w:t>
      </w:r>
    </w:p>
    <w:p>
      <w:pPr>
        <w:pStyle w:val="113"/>
        <w:ind w:left="363"/>
        <w:rPr>
          <w:lang w:val="en-US"/>
        </w:rPr>
      </w:pPr>
      <w:r>
        <w:rPr>
          <w:b/>
          <w:bCs/>
          <w:szCs w:val="24"/>
        </w:rPr>
        <w:t>Q</w:t>
      </w:r>
      <w:r>
        <w:rPr>
          <w:b/>
          <w:bCs/>
          <w:szCs w:val="24"/>
          <w:lang w:val="en-US"/>
        </w:rPr>
        <w:t>2</w:t>
      </w:r>
      <w:r>
        <w:rPr>
          <w:b/>
          <w:bCs/>
          <w:szCs w:val="24"/>
        </w:rPr>
        <w:t>: Please give your view</w:t>
      </w:r>
      <w:r>
        <w:rPr>
          <w:b/>
          <w:bCs/>
          <w:szCs w:val="24"/>
          <w:lang w:val="en-US"/>
        </w:rPr>
        <w:t xml:space="preserve"> whether you support</w:t>
      </w:r>
      <w:r>
        <w:rPr>
          <w:b/>
          <w:bCs/>
          <w:szCs w:val="24"/>
        </w:rPr>
        <w:t xml:space="preserve"> </w:t>
      </w:r>
      <w:r>
        <w:rPr>
          <w:b/>
          <w:bCs/>
          <w:szCs w:val="24"/>
          <w:lang w:val="en-US"/>
        </w:rPr>
        <w:t xml:space="preserve">CR R2-2209505? </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We also think for IDLE mode, this is up to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 xml:space="preserve"> Agree with Ericsson and Qualcom that this cannot be used in 38.331 for IDLE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Theme="minorEastAsia" w:cstheme="minorBidi"/>
                <w:sz w:val="18"/>
                <w:szCs w:val="22"/>
                <w:lang w:val="zh-CN" w:eastAsia="zh-CN" w:bidi="ar-SA"/>
              </w:rPr>
            </w:pPr>
            <w:r>
              <w:rPr>
                <w:rFonts w:hint="eastAsia"/>
              </w:rPr>
              <w:t>X</w:t>
            </w:r>
            <w:r>
              <w:t>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N</w:t>
            </w:r>
            <w:r>
              <w:rPr>
                <w:rFonts w:eastAsia="宋体"/>
                <w:lang w:val="en-US"/>
              </w:rPr>
              <w:t>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p>
      <w:pPr>
        <w:pStyle w:val="181"/>
        <w:ind w:left="0"/>
        <w:rPr>
          <w:bCs/>
        </w:rPr>
      </w:pPr>
    </w:p>
    <w:p>
      <w:pPr>
        <w:pStyle w:val="113"/>
        <w:ind w:left="0" w:firstLine="0"/>
        <w:rPr>
          <w:rFonts w:cs="Times New Roman"/>
          <w:sz w:val="20"/>
          <w:szCs w:val="24"/>
          <w:lang w:val="en-GB" w:eastAsia="en-GB"/>
        </w:rPr>
      </w:pPr>
    </w:p>
    <w:p>
      <w:pPr>
        <w:pStyle w:val="113"/>
        <w:ind w:left="0" w:firstLine="0"/>
        <w:rPr>
          <w:rFonts w:cs="Times New Roman"/>
          <w:sz w:val="20"/>
          <w:szCs w:val="24"/>
          <w:lang w:val="en-GB" w:eastAsia="en-GB"/>
        </w:rPr>
      </w:pPr>
      <w:r>
        <w:rPr>
          <w:rFonts w:cs="Times New Roman"/>
          <w:sz w:val="20"/>
          <w:szCs w:val="24"/>
          <w:lang w:val="en-GB" w:eastAsia="en-GB"/>
        </w:rPr>
        <w:t>R2-2210646</w:t>
      </w:r>
      <w:r>
        <w:rPr>
          <w:rFonts w:cs="Times New Roman"/>
          <w:sz w:val="20"/>
          <w:szCs w:val="24"/>
          <w:lang w:val="en-GB" w:eastAsia="en-GB"/>
        </w:rPr>
        <w:tab/>
      </w:r>
      <w:r>
        <w:rPr>
          <w:rFonts w:cs="Times New Roman"/>
          <w:sz w:val="20"/>
          <w:szCs w:val="24"/>
          <w:lang w:val="en-GB" w:eastAsia="en-GB"/>
        </w:rPr>
        <w:t>Corrections to the SMTC Field Description in System Information</w:t>
      </w:r>
      <w:r>
        <w:rPr>
          <w:rFonts w:cs="Times New Roman"/>
          <w:sz w:val="20"/>
          <w:szCs w:val="24"/>
          <w:lang w:val="en-GB" w:eastAsia="en-GB"/>
        </w:rPr>
        <w:tab/>
      </w:r>
      <w:r>
        <w:rPr>
          <w:rFonts w:cs="Times New Roman"/>
          <w:sz w:val="20"/>
          <w:szCs w:val="24"/>
          <w:lang w:val="en-GB" w:eastAsia="en-GB"/>
        </w:rPr>
        <w:t>Google Inc.</w:t>
      </w:r>
      <w:r>
        <w:rPr>
          <w:rFonts w:cs="Times New Roman"/>
          <w:sz w:val="20"/>
          <w:szCs w:val="24"/>
          <w:lang w:val="en-GB" w:eastAsia="en-GB"/>
        </w:rPr>
        <w:tab/>
      </w:r>
      <w:r>
        <w:rPr>
          <w:rFonts w:cs="Times New Roman"/>
          <w:sz w:val="20"/>
          <w:szCs w:val="24"/>
          <w:lang w:val="en-GB" w:eastAsia="en-GB"/>
        </w:rPr>
        <w:t>CR</w:t>
      </w:r>
      <w:r>
        <w:rPr>
          <w:rFonts w:cs="Times New Roman"/>
          <w:sz w:val="20"/>
          <w:szCs w:val="24"/>
          <w:lang w:val="en-GB" w:eastAsia="en-GB"/>
        </w:rPr>
        <w:tab/>
      </w:r>
      <w:r>
        <w:rPr>
          <w:rFonts w:cs="Times New Roman"/>
          <w:sz w:val="20"/>
          <w:szCs w:val="24"/>
          <w:lang w:val="en-GB" w:eastAsia="en-GB"/>
        </w:rPr>
        <w:t>Rel-17</w:t>
      </w:r>
      <w:r>
        <w:rPr>
          <w:rFonts w:cs="Times New Roman"/>
          <w:sz w:val="20"/>
          <w:szCs w:val="24"/>
          <w:lang w:val="en-GB" w:eastAsia="en-GB"/>
        </w:rPr>
        <w:tab/>
      </w:r>
      <w:r>
        <w:rPr>
          <w:rFonts w:cs="Times New Roman"/>
          <w:sz w:val="20"/>
          <w:szCs w:val="24"/>
          <w:lang w:val="en-GB" w:eastAsia="en-GB"/>
        </w:rPr>
        <w:t>38.331</w:t>
      </w:r>
      <w:r>
        <w:rPr>
          <w:rFonts w:cs="Times New Roman"/>
          <w:sz w:val="20"/>
          <w:szCs w:val="24"/>
          <w:lang w:val="en-GB" w:eastAsia="en-GB"/>
        </w:rPr>
        <w:tab/>
      </w:r>
      <w:r>
        <w:rPr>
          <w:rFonts w:cs="Times New Roman"/>
          <w:sz w:val="20"/>
          <w:szCs w:val="24"/>
          <w:lang w:val="en-GB" w:eastAsia="en-GB"/>
        </w:rPr>
        <w:t>17.2.0</w:t>
      </w:r>
      <w:r>
        <w:rPr>
          <w:rFonts w:cs="Times New Roman"/>
          <w:sz w:val="20"/>
          <w:szCs w:val="24"/>
          <w:lang w:val="en-GB" w:eastAsia="en-GB"/>
        </w:rPr>
        <w:tab/>
      </w:r>
      <w:r>
        <w:rPr>
          <w:rFonts w:cs="Times New Roman"/>
          <w:sz w:val="20"/>
          <w:szCs w:val="24"/>
          <w:lang w:val="en-GB" w:eastAsia="en-GB"/>
        </w:rPr>
        <w:t>3555</w:t>
      </w:r>
      <w:r>
        <w:rPr>
          <w:rFonts w:cs="Times New Roman"/>
          <w:sz w:val="20"/>
          <w:szCs w:val="24"/>
          <w:lang w:val="en-GB" w:eastAsia="en-GB"/>
        </w:rPr>
        <w:tab/>
      </w:r>
      <w:r>
        <w:rPr>
          <w:rFonts w:cs="Times New Roman"/>
          <w:sz w:val="20"/>
          <w:szCs w:val="24"/>
          <w:lang w:val="en-GB" w:eastAsia="en-GB"/>
        </w:rPr>
        <w:t>-</w:t>
      </w:r>
      <w:r>
        <w:rPr>
          <w:rFonts w:cs="Times New Roman"/>
          <w:sz w:val="20"/>
          <w:szCs w:val="24"/>
          <w:lang w:val="en-GB" w:eastAsia="en-GB"/>
        </w:rPr>
        <w:tab/>
      </w:r>
      <w:r>
        <w:rPr>
          <w:rFonts w:cs="Times New Roman"/>
          <w:sz w:val="20"/>
          <w:szCs w:val="24"/>
          <w:lang w:val="en-GB" w:eastAsia="en-GB"/>
        </w:rPr>
        <w:t>F</w:t>
      </w:r>
      <w:r>
        <w:rPr>
          <w:rFonts w:cs="Times New Roman"/>
          <w:sz w:val="20"/>
          <w:szCs w:val="24"/>
          <w:lang w:val="en-GB" w:eastAsia="en-GB"/>
        </w:rPr>
        <w:tab/>
      </w:r>
      <w:r>
        <w:rPr>
          <w:rFonts w:cs="Times New Roman"/>
          <w:sz w:val="20"/>
          <w:szCs w:val="24"/>
          <w:lang w:val="en-GB" w:eastAsia="en-GB"/>
        </w:rPr>
        <w:t>NR_NTN_solutions-Core</w:t>
      </w:r>
    </w:p>
    <w:p>
      <w:pPr>
        <w:pStyle w:val="113"/>
        <w:ind w:left="0" w:firstLine="0"/>
        <w:rPr>
          <w:rFonts w:cs="Times New Roman"/>
          <w:sz w:val="20"/>
          <w:szCs w:val="24"/>
          <w:lang w:val="en-GB" w:eastAsia="en-GB"/>
        </w:rPr>
      </w:pPr>
    </w:p>
    <w:tbl>
      <w:tblPr>
        <w:tblStyle w:val="51"/>
        <w:tblW w:w="983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8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854" w:hRule="atLeast"/>
        </w:trPr>
        <w:tc>
          <w:tcPr>
            <w:tcW w:w="983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eastAsia="Times New Roman"/>
                <w:b/>
                <w:bCs/>
                <w:i/>
                <w:iCs/>
                <w:sz w:val="18"/>
                <w:lang w:eastAsia="sv-SE"/>
              </w:rPr>
            </w:pPr>
            <w:r>
              <w:rPr>
                <w:rFonts w:ascii="Arial" w:hAnsi="Arial" w:eastAsia="Times New Roman"/>
                <w:b/>
                <w:bCs/>
                <w:i/>
                <w:iCs/>
                <w:sz w:val="18"/>
                <w:lang w:eastAsia="sv-SE"/>
              </w:rPr>
              <w:t>smtc</w:t>
            </w:r>
          </w:p>
          <w:p>
            <w:pPr>
              <w:keepNext/>
              <w:keepLines/>
              <w:overflowPunct w:val="0"/>
              <w:autoSpaceDE w:val="0"/>
              <w:autoSpaceDN w:val="0"/>
              <w:adjustRightInd w:val="0"/>
              <w:textAlignment w:val="baseline"/>
              <w:rPr>
                <w:rFonts w:ascii="Arial" w:hAnsi="Arial" w:eastAsia="Times New Roman"/>
                <w:b/>
                <w:bCs/>
                <w:i/>
                <w:sz w:val="18"/>
                <w:lang w:eastAsia="en-GB"/>
              </w:rPr>
            </w:pPr>
            <w:r>
              <w:rPr>
                <w:rFonts w:ascii="Arial" w:hAnsi="Arial" w:eastAsia="Times New Roman"/>
                <w:sz w:val="18"/>
                <w:lang w:eastAsia="sv-SE"/>
              </w:rPr>
              <w:t xml:space="preserve">Measurement timing configuration for intra-frequency measurement. If this field is absent, the UE assumes that SSB periodicity is 5 ms for the intra-frequnecy cells. If the field is broadcast by an NTN cell, the </w:t>
            </w:r>
            <w:r>
              <w:rPr>
                <w:rFonts w:ascii="Arial" w:hAnsi="Arial" w:eastAsia="Times New Roman"/>
                <w:i/>
                <w:iCs/>
                <w:sz w:val="18"/>
                <w:lang w:eastAsia="sv-SE"/>
              </w:rPr>
              <w:t>offset</w:t>
            </w:r>
            <w:r>
              <w:rPr>
                <w:rFonts w:ascii="Arial" w:hAnsi="Arial" w:eastAsia="Times New Roman"/>
                <w:sz w:val="18"/>
                <w:lang w:eastAsia="sv-SE"/>
              </w:rPr>
              <w:t xml:space="preserve"> (derived from parameter </w:t>
            </w:r>
            <w:r>
              <w:rPr>
                <w:rFonts w:ascii="Arial" w:hAnsi="Arial" w:eastAsia="Times New Roman"/>
                <w:i/>
                <w:iCs/>
                <w:sz w:val="18"/>
                <w:lang w:eastAsia="sv-SE"/>
              </w:rPr>
              <w:t>periodicityAndOffset</w:t>
            </w:r>
            <w:r>
              <w:rPr>
                <w:rFonts w:ascii="Arial" w:hAnsi="Arial" w:eastAsia="Times New Roman"/>
                <w:sz w:val="18"/>
                <w:lang w:eastAsia="sv-SE"/>
              </w:rPr>
              <w:t xml:space="preserve">) is based on the assumption that service link propagation delay difference, as well as the common TA difference between the serving cell and neighbour cells equals to 0 ms, and UE can adjust the actual </w:t>
            </w:r>
            <w:r>
              <w:rPr>
                <w:rFonts w:ascii="Arial" w:hAnsi="Arial" w:eastAsia="Times New Roman"/>
                <w:i/>
                <w:iCs/>
                <w:sz w:val="18"/>
                <w:lang w:eastAsia="sv-SE"/>
              </w:rPr>
              <w:t>offset</w:t>
            </w:r>
            <w:r>
              <w:rPr>
                <w:rFonts w:ascii="Arial" w:hAnsi="Arial" w:eastAsia="Times New Roman"/>
                <w:sz w:val="18"/>
                <w:lang w:eastAsia="sv-SE"/>
              </w:rPr>
              <w:t xml:space="preserve"> based on the actual service link propagation delay difference and common TA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09" w:hRule="atLeast"/>
        </w:trPr>
        <w:tc>
          <w:tcPr>
            <w:tcW w:w="983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eastAsia="Times New Roman"/>
                <w:b/>
                <w:bCs/>
                <w:i/>
                <w:iCs/>
                <w:sz w:val="18"/>
                <w:lang w:eastAsia="sv-SE"/>
              </w:rPr>
            </w:pPr>
            <w:r>
              <w:rPr>
                <w:rFonts w:ascii="Arial" w:hAnsi="Arial" w:eastAsia="Times New Roman"/>
                <w:b/>
                <w:bCs/>
                <w:i/>
                <w:iCs/>
                <w:sz w:val="18"/>
                <w:lang w:eastAsia="sv-SE"/>
              </w:rPr>
              <w:t>smtc2-LP</w:t>
            </w:r>
          </w:p>
          <w:p>
            <w:pPr>
              <w:keepNext/>
              <w:keepLines/>
              <w:overflowPunct w:val="0"/>
              <w:autoSpaceDE w:val="0"/>
              <w:autoSpaceDN w:val="0"/>
              <w:adjustRightInd w:val="0"/>
              <w:textAlignment w:val="baseline"/>
              <w:rPr>
                <w:rFonts w:ascii="Arial" w:hAnsi="Arial" w:eastAsia="Times New Roman"/>
                <w:b/>
                <w:bCs/>
                <w:i/>
                <w:iCs/>
                <w:sz w:val="18"/>
                <w:lang w:eastAsia="sv-SE"/>
              </w:rPr>
            </w:pPr>
            <w:r>
              <w:rPr>
                <w:rFonts w:ascii="Arial" w:hAnsi="Arial" w:eastAsia="Times New Roman"/>
                <w:bCs/>
                <w:iCs/>
                <w:sz w:val="18"/>
                <w:lang w:eastAsia="sv-SE"/>
              </w:rPr>
              <w:t xml:space="preserve">Measurement timing configuration for intra-frequency neighbour cells with a Long Periodicity (LP) indicated by periodicity in </w:t>
            </w:r>
            <w:r>
              <w:rPr>
                <w:rFonts w:ascii="Arial" w:hAnsi="Arial" w:eastAsia="Times New Roman"/>
                <w:bCs/>
                <w:i/>
                <w:iCs/>
                <w:sz w:val="18"/>
                <w:lang w:eastAsia="sv-SE"/>
              </w:rPr>
              <w:t>smtc2-LP</w:t>
            </w:r>
            <w:r>
              <w:rPr>
                <w:rFonts w:ascii="Arial" w:hAnsi="Arial" w:eastAsia="Times New Roman"/>
                <w:bCs/>
                <w:iCs/>
                <w:sz w:val="18"/>
                <w:lang w:eastAsia="sv-SE"/>
              </w:rPr>
              <w:t xml:space="preserve">. The timing offset and duration are equal to the offset and duration indicated in </w:t>
            </w:r>
            <w:r>
              <w:rPr>
                <w:rFonts w:ascii="Arial" w:hAnsi="Arial" w:eastAsia="Times New Roman"/>
                <w:bCs/>
                <w:i/>
                <w:iCs/>
                <w:sz w:val="18"/>
                <w:lang w:eastAsia="sv-SE"/>
              </w:rPr>
              <w:t>smtc</w:t>
            </w:r>
            <w:r>
              <w:rPr>
                <w:rFonts w:ascii="Arial" w:hAnsi="Arial" w:eastAsia="Times New Roman"/>
                <w:bCs/>
                <w:iCs/>
                <w:sz w:val="18"/>
                <w:lang w:eastAsia="sv-SE"/>
              </w:rPr>
              <w:t xml:space="preserve"> in </w:t>
            </w:r>
            <w:r>
              <w:rPr>
                <w:rFonts w:ascii="Arial" w:hAnsi="Arial" w:eastAsia="Times New Roman"/>
                <w:bCs/>
                <w:i/>
                <w:iCs/>
                <w:sz w:val="18"/>
                <w:lang w:eastAsia="sv-SE"/>
              </w:rPr>
              <w:t>intraFreqCellReselectionInfo</w:t>
            </w:r>
            <w:r>
              <w:rPr>
                <w:rFonts w:ascii="Arial" w:hAnsi="Arial" w:eastAsia="Times New Roman"/>
                <w:bCs/>
                <w:iCs/>
                <w:sz w:val="18"/>
                <w:lang w:eastAsia="sv-SE"/>
              </w:rPr>
              <w:t xml:space="preserve">. The periodicity in </w:t>
            </w:r>
            <w:r>
              <w:rPr>
                <w:rFonts w:ascii="Arial" w:hAnsi="Arial" w:eastAsia="Times New Roman"/>
                <w:bCs/>
                <w:i/>
                <w:iCs/>
                <w:sz w:val="18"/>
                <w:lang w:eastAsia="sv-SE"/>
              </w:rPr>
              <w:t>smtc2-LP</w:t>
            </w:r>
            <w:r>
              <w:rPr>
                <w:rFonts w:ascii="Arial" w:hAnsi="Arial" w:eastAsia="Times New Roman"/>
                <w:bCs/>
                <w:iCs/>
                <w:sz w:val="18"/>
                <w:lang w:eastAsia="sv-SE"/>
              </w:rPr>
              <w:t xml:space="preserve"> can only be set to a value strictly larger than the periodicity in </w:t>
            </w:r>
            <w:r>
              <w:rPr>
                <w:rFonts w:ascii="Arial" w:hAnsi="Arial" w:eastAsia="Times New Roman"/>
                <w:bCs/>
                <w:i/>
                <w:iCs/>
                <w:sz w:val="18"/>
                <w:lang w:eastAsia="sv-SE"/>
              </w:rPr>
              <w:t>smtc</w:t>
            </w:r>
            <w:r>
              <w:rPr>
                <w:rFonts w:ascii="Arial" w:hAnsi="Arial" w:eastAsia="Times New Roman"/>
                <w:bCs/>
                <w:iCs/>
                <w:sz w:val="18"/>
                <w:lang w:eastAsia="sv-SE"/>
              </w:rPr>
              <w:t xml:space="preserve"> in </w:t>
            </w:r>
            <w:r>
              <w:rPr>
                <w:rFonts w:ascii="Arial" w:hAnsi="Arial" w:eastAsia="Times New Roman"/>
                <w:bCs/>
                <w:i/>
                <w:iCs/>
                <w:sz w:val="18"/>
                <w:lang w:eastAsia="sv-SE"/>
              </w:rPr>
              <w:t>intraFreqCellReselectionInfo</w:t>
            </w:r>
            <w:r>
              <w:rPr>
                <w:rFonts w:ascii="Arial" w:hAnsi="Arial" w:eastAsia="Times New Roman"/>
                <w:bCs/>
                <w:iCs/>
                <w:sz w:val="18"/>
                <w:lang w:eastAsia="sv-SE"/>
              </w:rPr>
              <w:t xml:space="preserve"> (e.g. if </w:t>
            </w:r>
            <w:r>
              <w:rPr>
                <w:rFonts w:ascii="Arial" w:hAnsi="Arial" w:eastAsia="Times New Roman"/>
                <w:bCs/>
                <w:i/>
                <w:iCs/>
                <w:sz w:val="18"/>
                <w:lang w:eastAsia="sv-SE"/>
              </w:rPr>
              <w:t>smtc</w:t>
            </w:r>
            <w:r>
              <w:rPr>
                <w:rFonts w:ascii="Arial" w:hAnsi="Arial" w:eastAsia="Times New Roman"/>
                <w:bCs/>
                <w:iCs/>
                <w:sz w:val="18"/>
                <w:lang w:eastAsia="sv-SE"/>
              </w:rPr>
              <w:t xml:space="preserve"> indicates sf20 the Long Periodicity can only be set to sf40, sf80 or sf160, if </w:t>
            </w:r>
            <w:r>
              <w:rPr>
                <w:rFonts w:ascii="Arial" w:hAnsi="Arial" w:eastAsia="Times New Roman"/>
                <w:bCs/>
                <w:i/>
                <w:iCs/>
                <w:sz w:val="18"/>
                <w:lang w:eastAsia="sv-SE"/>
              </w:rPr>
              <w:t>smtc</w:t>
            </w:r>
            <w:r>
              <w:rPr>
                <w:rFonts w:ascii="Arial" w:hAnsi="Arial" w:eastAsia="Times New Roman"/>
                <w:bCs/>
                <w:iCs/>
                <w:sz w:val="18"/>
                <w:lang w:eastAsia="sv-SE"/>
              </w:rPr>
              <w:t xml:space="preserve"> indicates sf160, </w:t>
            </w:r>
            <w:r>
              <w:rPr>
                <w:rFonts w:ascii="Arial" w:hAnsi="Arial" w:eastAsia="Times New Roman"/>
                <w:bCs/>
                <w:i/>
                <w:iCs/>
                <w:sz w:val="18"/>
                <w:lang w:eastAsia="sv-SE"/>
              </w:rPr>
              <w:t>smtc2-LP</w:t>
            </w:r>
            <w:r>
              <w:rPr>
                <w:rFonts w:ascii="Arial" w:hAnsi="Arial" w:eastAsia="Times New Roman"/>
                <w:bCs/>
                <w:iCs/>
                <w:sz w:val="18"/>
                <w:lang w:eastAsia="sv-SE"/>
              </w:rPr>
              <w:t xml:space="preserve"> cannot be configured). The </w:t>
            </w:r>
            <w:r>
              <w:rPr>
                <w:rFonts w:ascii="Arial" w:hAnsi="Arial" w:eastAsia="Times New Roman"/>
                <w:bCs/>
                <w:i/>
                <w:iCs/>
                <w:sz w:val="18"/>
                <w:lang w:eastAsia="sv-SE"/>
              </w:rPr>
              <w:t>pci-List</w:t>
            </w:r>
            <w:r>
              <w:rPr>
                <w:rFonts w:ascii="Arial" w:hAnsi="Arial" w:eastAsia="Times New Roman"/>
                <w:bCs/>
                <w:iCs/>
                <w:sz w:val="18"/>
                <w:lang w:eastAsia="sv-SE"/>
              </w:rPr>
              <w:t xml:space="preserve">, if present, includes the physical cell identities of the intra-frequency neighbour cells with Long Periodicity. If </w:t>
            </w:r>
            <w:r>
              <w:rPr>
                <w:rFonts w:ascii="Arial" w:hAnsi="Arial" w:eastAsia="Times New Roman"/>
                <w:bCs/>
                <w:i/>
                <w:iCs/>
                <w:sz w:val="18"/>
                <w:lang w:eastAsia="sv-SE"/>
              </w:rPr>
              <w:t>smtc2-LP</w:t>
            </w:r>
            <w:r>
              <w:rPr>
                <w:rFonts w:ascii="Arial" w:hAnsi="Arial" w:eastAsia="Times New Roman"/>
                <w:bCs/>
                <w:iCs/>
                <w:sz w:val="18"/>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841" w:hRule="atLeast"/>
        </w:trPr>
        <w:tc>
          <w:tcPr>
            <w:tcW w:w="983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eastAsia="Times New Roman"/>
                <w:b/>
                <w:i/>
                <w:sz w:val="18"/>
                <w:lang w:eastAsia="en-GB"/>
              </w:rPr>
            </w:pPr>
            <w:r>
              <w:rPr>
                <w:rFonts w:ascii="Arial" w:hAnsi="Arial" w:eastAsia="Times New Roman"/>
                <w:b/>
                <w:i/>
                <w:sz w:val="18"/>
                <w:lang w:eastAsia="en-GB"/>
              </w:rPr>
              <w:t>smtc4list</w:t>
            </w:r>
          </w:p>
          <w:p>
            <w:pPr>
              <w:keepNext/>
              <w:keepLines/>
              <w:overflowPunct w:val="0"/>
              <w:autoSpaceDE w:val="0"/>
              <w:autoSpaceDN w:val="0"/>
              <w:adjustRightInd w:val="0"/>
              <w:textAlignment w:val="baseline"/>
              <w:rPr>
                <w:rFonts w:ascii="Arial" w:hAnsi="Arial" w:eastAsia="Times New Roman"/>
                <w:b/>
                <w:bCs/>
                <w:i/>
                <w:iCs/>
                <w:sz w:val="18"/>
                <w:lang w:eastAsia="sv-SE"/>
              </w:rPr>
            </w:pPr>
            <w:r>
              <w:rPr>
                <w:rFonts w:ascii="Arial" w:hAnsi="Arial" w:eastAsia="Times New Roman"/>
                <w:bCs/>
                <w:iCs/>
                <w:sz w:val="18"/>
                <w:lang w:eastAsia="en-GB"/>
              </w:rPr>
              <w:t xml:space="preserve">Measurement timing configuration list for NTN deployments, see clause 5.5.2.10. The offset of each SSB-MTC4 in </w:t>
            </w:r>
            <w:r>
              <w:rPr>
                <w:rFonts w:ascii="Arial" w:hAnsi="Arial" w:eastAsia="Times New Roman"/>
                <w:bCs/>
                <w:i/>
                <w:sz w:val="18"/>
                <w:lang w:eastAsia="en-GB"/>
              </w:rPr>
              <w:t>smtc4list</w:t>
            </w:r>
            <w:r>
              <w:rPr>
                <w:rFonts w:ascii="Arial" w:hAnsi="Arial" w:eastAsia="Times New Roman"/>
                <w:bCs/>
                <w:iCs/>
                <w:sz w:val="18"/>
                <w:lang w:eastAsia="en-GB"/>
              </w:rPr>
              <w:t xml:space="preserve"> is based on the assumption that service link propagation delay difference</w:t>
            </w:r>
            <w:r>
              <w:rPr>
                <w:rFonts w:ascii="Arial" w:hAnsi="Arial" w:eastAsia="Times New Roman"/>
                <w:sz w:val="18"/>
                <w:lang w:eastAsia="sv-SE"/>
              </w:rPr>
              <w:t>, as well as the common TA difference</w:t>
            </w:r>
            <w:r>
              <w:rPr>
                <w:rFonts w:ascii="Arial" w:hAnsi="Arial" w:eastAsia="Times New Roman"/>
                <w:bCs/>
                <w:iCs/>
                <w:sz w:val="18"/>
                <w:lang w:eastAsia="en-GB"/>
              </w:rPr>
              <w:t xml:space="preserve"> between the serving cell and neighbour cells equals to 0 ms, and UE can adjust the actual </w:t>
            </w:r>
            <w:r>
              <w:rPr>
                <w:rFonts w:ascii="Arial" w:hAnsi="Arial" w:eastAsia="Times New Roman"/>
                <w:bCs/>
                <w:i/>
                <w:sz w:val="18"/>
                <w:lang w:eastAsia="en-GB"/>
              </w:rPr>
              <w:t>offset</w:t>
            </w:r>
            <w:r>
              <w:rPr>
                <w:rFonts w:ascii="Arial" w:hAnsi="Arial" w:eastAsia="Times New Roman"/>
                <w:bCs/>
                <w:iCs/>
                <w:sz w:val="18"/>
                <w:lang w:eastAsia="en-GB"/>
              </w:rPr>
              <w:t xml:space="preserve"> based on the actual service link propagation delay difference and common TA difference. For a UE that supports less SMTCs than what is included in this list, it is up to the UE to select which SMTCs to consider.</w:t>
            </w:r>
          </w:p>
        </w:tc>
      </w:tr>
    </w:tbl>
    <w:p>
      <w:pPr>
        <w:pStyle w:val="113"/>
        <w:ind w:left="0" w:firstLine="0"/>
        <w:rPr>
          <w:rFonts w:cs="Times New Roman"/>
          <w:sz w:val="20"/>
          <w:szCs w:val="24"/>
          <w:lang w:val="en-GB" w:eastAsia="en-GB"/>
        </w:rPr>
      </w:pPr>
      <w:r>
        <w:rPr>
          <w:rFonts w:cs="Times New Roman"/>
          <w:sz w:val="20"/>
          <w:szCs w:val="24"/>
          <w:lang w:val="en-GB" w:eastAsia="en-GB"/>
        </w:rPr>
        <w:t xml:space="preserve"> </w:t>
      </w:r>
    </w:p>
    <w:p>
      <w:pPr>
        <w:pStyle w:val="113"/>
        <w:ind w:left="0" w:firstLine="0"/>
        <w:rPr>
          <w:b/>
          <w:bCs/>
          <w:lang w:val="en-US"/>
        </w:rPr>
      </w:pPr>
      <w:r>
        <w:rPr>
          <w:b/>
          <w:bCs/>
          <w:lang w:val="en-US"/>
        </w:rPr>
        <w:t>These seem like needed corrections to the rapporteur.</w:t>
      </w:r>
    </w:p>
    <w:p>
      <w:pPr>
        <w:pStyle w:val="113"/>
        <w:rPr>
          <w:lang w:val="en-US"/>
        </w:rPr>
      </w:pPr>
      <w:r>
        <w:rPr>
          <w:lang w:val="en-US"/>
        </w:rPr>
        <w:t xml:space="preserve">  </w:t>
      </w:r>
    </w:p>
    <w:p>
      <w:pPr>
        <w:pStyle w:val="113"/>
        <w:ind w:left="363"/>
        <w:rPr>
          <w:lang w:val="en-US"/>
        </w:rPr>
      </w:pPr>
      <w:r>
        <w:rPr>
          <w:b/>
          <w:bCs/>
          <w:szCs w:val="24"/>
        </w:rPr>
        <w:t>Q</w:t>
      </w:r>
      <w:r>
        <w:rPr>
          <w:b/>
          <w:bCs/>
          <w:szCs w:val="24"/>
          <w:lang w:val="en-US"/>
        </w:rPr>
        <w:t>2</w:t>
      </w:r>
      <w:r>
        <w:rPr>
          <w:b/>
          <w:bCs/>
          <w:szCs w:val="24"/>
        </w:rPr>
        <w:t>: Please give your view</w:t>
      </w:r>
      <w:r>
        <w:rPr>
          <w:b/>
          <w:bCs/>
          <w:szCs w:val="24"/>
          <w:lang w:val="en-US"/>
        </w:rPr>
        <w:t xml:space="preserve"> whether you support</w:t>
      </w:r>
      <w:r>
        <w:rPr>
          <w:b/>
          <w:bCs/>
          <w:szCs w:val="24"/>
        </w:rPr>
        <w:t xml:space="preserve"> </w:t>
      </w:r>
      <w:r>
        <w:rPr>
          <w:b/>
          <w:bCs/>
          <w:szCs w:val="24"/>
          <w:lang w:val="en-US"/>
        </w:rPr>
        <w:t xml:space="preserve">CR R2-2210646? </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If we understand, the agreement was that network should be able to compensate the feeder link.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 xml:space="preserve"> Agree with Qualcom that network should be able to take care of feederlink and current spec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p>
      <w:pPr>
        <w:pStyle w:val="113"/>
        <w:ind w:left="0" w:firstLine="0"/>
        <w:rPr>
          <w:lang w:val="en-GB" w:eastAsia="en-GB"/>
        </w:rPr>
      </w:pPr>
    </w:p>
    <w:p>
      <w:pPr>
        <w:pStyle w:val="113"/>
        <w:rPr>
          <w:lang w:val="en-GB" w:eastAsia="en-GB"/>
        </w:rPr>
      </w:pPr>
    </w:p>
    <w:bookmarkEnd w:id="3"/>
    <w:p>
      <w:pPr>
        <w:rPr>
          <w:u w:val="single"/>
        </w:rPr>
      </w:pPr>
    </w:p>
    <w:p/>
    <w:p>
      <w:pPr>
        <w:rPr>
          <w:b/>
          <w:bCs/>
        </w:rPr>
      </w:pPr>
      <w:r>
        <w:rPr>
          <w:b/>
          <w:bCs/>
        </w:rPr>
        <w:t>Conclusion:</w:t>
      </w:r>
    </w:p>
    <w:p>
      <w:pPr>
        <w:rPr>
          <w:rFonts w:eastAsia="宋体"/>
        </w:rPr>
      </w:pPr>
    </w:p>
    <w:p>
      <w:pPr>
        <w:pStyle w:val="2"/>
        <w:numPr>
          <w:ilvl w:val="0"/>
          <w:numId w:val="17"/>
        </w:numPr>
        <w:pBdr>
          <w:top w:val="single" w:color="auto" w:sz="12" w:space="3"/>
        </w:pBdr>
        <w:tabs>
          <w:tab w:val="clear" w:pos="432"/>
        </w:tabs>
        <w:overflowPunct/>
        <w:autoSpaceDE/>
        <w:autoSpaceDN/>
        <w:adjustRightInd/>
        <w:spacing w:line="259" w:lineRule="auto"/>
        <w:ind w:left="1134" w:hanging="1134"/>
        <w:jc w:val="both"/>
        <w:textAlignment w:val="auto"/>
        <w:rPr>
          <w:rStyle w:val="58"/>
          <w:color w:val="auto"/>
          <w:u w:val="none"/>
        </w:rPr>
      </w:pPr>
      <w:r>
        <w:rPr>
          <w:rStyle w:val="58"/>
          <w:color w:val="auto"/>
          <w:u w:val="none"/>
        </w:rPr>
        <w:t>UE behaviour if not able to acquire SIB19</w:t>
      </w:r>
    </w:p>
    <w:p>
      <w:pPr>
        <w:pStyle w:val="151"/>
        <w:numPr>
          <w:ilvl w:val="0"/>
          <w:numId w:val="0"/>
        </w:numPr>
        <w:ind w:left="720" w:hanging="720"/>
      </w:pPr>
    </w:p>
    <w:p>
      <w:pPr>
        <w:pStyle w:val="172"/>
      </w:pPr>
      <w:r>
        <w:fldChar w:fldCharType="begin"/>
      </w:r>
      <w:r>
        <w:instrText xml:space="preserve"> HYPERLINK "file:///C:\\Data\\3GPP\\Extracts\\R2-2210034%20Discussion%20on%20not%20being%20able%20to%20acquire%20SIB%2019%20for%20NR%20NTN.doc" \o "C:Data3GPPExtractsR2-2210034 Discussion on not being able to acquire SIB 19 for NR NTN.doc" </w:instrText>
      </w:r>
      <w:r>
        <w:fldChar w:fldCharType="separate"/>
      </w:r>
      <w:r>
        <w:rPr>
          <w:rStyle w:val="58"/>
        </w:rPr>
        <w:t>R2-2210034</w:t>
      </w:r>
      <w:r>
        <w:rPr>
          <w:rStyle w:val="58"/>
        </w:rPr>
        <w:fldChar w:fldCharType="end"/>
      </w:r>
      <w:r>
        <w:tab/>
      </w:r>
      <w:r>
        <w:t>Discussion on not being able to acquire SIB 19 for NR NTN</w:t>
      </w:r>
      <w:r>
        <w:tab/>
      </w:r>
      <w:r>
        <w:t>Xiaomi, CAICT</w:t>
      </w:r>
      <w:r>
        <w:tab/>
      </w:r>
      <w:r>
        <w:t>discussion</w:t>
      </w:r>
      <w:r>
        <w:tab/>
      </w:r>
      <w:r>
        <w:t>Rel-17</w:t>
      </w:r>
    </w:p>
    <w:p>
      <w:pPr>
        <w:pStyle w:val="172"/>
      </w:pPr>
      <w:r>
        <w:fldChar w:fldCharType="begin"/>
      </w:r>
      <w:r>
        <w:instrText xml:space="preserve"> HYPERLINK "file:///C:\\Data\\3GPP\\Extracts\\R2-2210035%20Correction%20on%20the%20action%20upon%20not%20being%20able%20to%20acquire%20SIB19%20for%20NR%20NTN.docx" \o "C:Data3GPPExtractsR2-2210035 Correction on the action upon not being able to acquire SIB19 for NR NTN.docx" </w:instrText>
      </w:r>
      <w:r>
        <w:fldChar w:fldCharType="separate"/>
      </w:r>
      <w:r>
        <w:rPr>
          <w:rStyle w:val="58"/>
        </w:rPr>
        <w:t>R2-2210035</w:t>
      </w:r>
      <w:r>
        <w:rPr>
          <w:rStyle w:val="58"/>
        </w:rPr>
        <w:fldChar w:fldCharType="end"/>
      </w:r>
      <w:r>
        <w:tab/>
      </w:r>
      <w:r>
        <w:t>Correction on the action upon not being able to acquire SIB19 for NR NTN</w:t>
      </w:r>
      <w:r>
        <w:tab/>
      </w:r>
      <w:r>
        <w:t>Xiaomi, CAICT</w:t>
      </w:r>
      <w:r>
        <w:tab/>
      </w:r>
      <w:r>
        <w:t>CR</w:t>
      </w:r>
      <w:r>
        <w:tab/>
      </w:r>
      <w:r>
        <w:t>Rel-17</w:t>
      </w:r>
      <w:r>
        <w:tab/>
      </w:r>
      <w:r>
        <w:t>36.331</w:t>
      </w:r>
      <w:r>
        <w:tab/>
      </w:r>
      <w:r>
        <w:t>17.2.0</w:t>
      </w:r>
      <w:r>
        <w:tab/>
      </w:r>
      <w:r>
        <w:t>4875</w:t>
      </w:r>
      <w:r>
        <w:tab/>
      </w:r>
      <w:r>
        <w:t>-</w:t>
      </w:r>
      <w:r>
        <w:tab/>
      </w:r>
      <w:r>
        <w:t>F</w:t>
      </w:r>
      <w:r>
        <w:tab/>
      </w:r>
      <w:r>
        <w:t>NR_NTN_solutions-Core</w:t>
      </w:r>
    </w:p>
    <w:p>
      <w:pPr>
        <w:pStyle w:val="172"/>
        <w:rPr>
          <w:rStyle w:val="58"/>
        </w:rPr>
      </w:pPr>
    </w:p>
    <w:p>
      <w:pPr>
        <w:pStyle w:val="113"/>
        <w:rPr>
          <w:lang w:val="en-GB" w:eastAsia="en-GB"/>
        </w:rPr>
      </w:pPr>
    </w:p>
    <w:p>
      <w:pPr>
        <w:pStyle w:val="113"/>
        <w:rPr>
          <w:lang w:val="en-GB" w:eastAsia="en-GB"/>
        </w:rPr>
      </w:pPr>
    </w:p>
    <w:p>
      <w:pPr>
        <w:pStyle w:val="172"/>
      </w:pPr>
      <w:r>
        <w:fldChar w:fldCharType="begin"/>
      </w:r>
      <w:r>
        <w:instrText xml:space="preserve"> HYPERLINK "file:///C:\\Data\\3GPP\\Extracts\\R2-2210484_38.331CR3547_(Rel-17)_Clarification%20on%20the%20necessity%20of%20SIB19%20in%20NTN%20cell_v0.docx" \o "C:Data3GPPExtractsR2-2210484_38.331CR3547_(Rel-17)_Clarification on the necessity of SIB19 in NTN cell_v0.docx" </w:instrText>
      </w:r>
      <w:r>
        <w:fldChar w:fldCharType="separate"/>
      </w:r>
      <w:r>
        <w:rPr>
          <w:rStyle w:val="58"/>
        </w:rPr>
        <w:t>R2-2210484</w:t>
      </w:r>
      <w:r>
        <w:rPr>
          <w:rStyle w:val="58"/>
        </w:rPr>
        <w:fldChar w:fldCharType="end"/>
      </w:r>
      <w:r>
        <w:tab/>
      </w:r>
      <w:r>
        <w:t>Clarification on the necessity of SIB19 in NTN cell</w:t>
      </w:r>
      <w:r>
        <w:tab/>
      </w:r>
      <w:r>
        <w:t>Apple</w:t>
      </w:r>
      <w:r>
        <w:tab/>
      </w:r>
      <w:r>
        <w:t>CR</w:t>
      </w:r>
      <w:r>
        <w:tab/>
      </w:r>
      <w:r>
        <w:t>Rel-17</w:t>
      </w:r>
      <w:r>
        <w:tab/>
      </w:r>
      <w:r>
        <w:t>38.331</w:t>
      </w:r>
      <w:r>
        <w:tab/>
      </w:r>
      <w:r>
        <w:t>17.2.0</w:t>
      </w:r>
      <w:r>
        <w:tab/>
      </w:r>
      <w:r>
        <w:t>3547</w:t>
      </w:r>
      <w:r>
        <w:tab/>
      </w:r>
      <w:r>
        <w:t>-</w:t>
      </w:r>
      <w:r>
        <w:tab/>
      </w:r>
      <w:r>
        <w:t>F</w:t>
      </w:r>
      <w:r>
        <w:tab/>
      </w:r>
      <w:r>
        <w:t>NR_NTN_solutions-Core</w:t>
      </w:r>
    </w:p>
    <w:p>
      <w:pPr>
        <w:pStyle w:val="113"/>
        <w:ind w:left="0" w:firstLine="0"/>
        <w:rPr>
          <w:b/>
          <w:bCs/>
          <w:szCs w:val="24"/>
        </w:rPr>
      </w:pPr>
    </w:p>
    <w:p>
      <w:pPr>
        <w:pStyle w:val="113"/>
        <w:ind w:left="0" w:firstLine="0"/>
        <w:rPr>
          <w:b/>
          <w:bCs/>
          <w:szCs w:val="24"/>
          <w:lang w:val="en-US"/>
        </w:rPr>
      </w:pPr>
      <w:r>
        <w:rPr>
          <w:b/>
          <w:bCs/>
          <w:szCs w:val="24"/>
          <w:lang w:val="en-US"/>
        </w:rPr>
        <w:t xml:space="preserve">The above papers suggest a note about SIB19 to Essential system information. However, SIB19 is not defined as Essential system information. Only MIB and SIB1 is. </w:t>
      </w:r>
    </w:p>
    <w:p>
      <w:pPr>
        <w:pStyle w:val="113"/>
        <w:rPr>
          <w:lang w:val="en-GB" w:eastAsia="en-GB"/>
        </w:rPr>
      </w:pPr>
    </w:p>
    <w:p>
      <w:pPr>
        <w:pStyle w:val="5"/>
        <w:rPr>
          <w:rFonts w:eastAsia="MS Mincho"/>
        </w:rPr>
      </w:pPr>
      <w:bookmarkStart w:id="5" w:name="_Toc100929532"/>
      <w:r>
        <w:rPr>
          <w:rFonts w:eastAsia="MS Mincho"/>
        </w:rPr>
        <w:t>5.2.2.5</w:t>
      </w:r>
      <w:r>
        <w:rPr>
          <w:rFonts w:eastAsia="MS Mincho"/>
        </w:rPr>
        <w:tab/>
      </w:r>
      <w:r>
        <w:rPr>
          <w:rFonts w:eastAsia="MS Mincho"/>
        </w:rPr>
        <w:t>Essential system information missing</w:t>
      </w:r>
      <w:bookmarkEnd w:id="5"/>
    </w:p>
    <w:p>
      <w:pPr>
        <w:rPr>
          <w:rFonts w:eastAsia="MS Mincho"/>
        </w:rPr>
      </w:pPr>
      <w:r>
        <w:t>The UE shall:</w:t>
      </w:r>
    </w:p>
    <w:p>
      <w:pPr>
        <w:pStyle w:val="69"/>
      </w:pPr>
      <w:r>
        <w:t>1&gt;</w:t>
      </w:r>
      <w:r>
        <w:tab/>
      </w:r>
      <w:r>
        <w:t>if in RRC_IDLE or in RRC_INACTIVE or in RRC_CONNECTED while T311 is running:</w:t>
      </w:r>
    </w:p>
    <w:p>
      <w:pPr>
        <w:pStyle w:val="70"/>
      </w:pPr>
      <w:r>
        <w:t>2&gt;</w:t>
      </w:r>
      <w:r>
        <w:tab/>
      </w:r>
      <w:r>
        <w:t xml:space="preserve">if the UE is unable to acquire the </w:t>
      </w:r>
      <w:r>
        <w:rPr>
          <w:i/>
        </w:rPr>
        <w:t>MIB</w:t>
      </w:r>
      <w:r>
        <w:t>:</w:t>
      </w:r>
    </w:p>
    <w:p>
      <w:pPr>
        <w:pStyle w:val="71"/>
      </w:pPr>
      <w:r>
        <w:t>3&gt;</w:t>
      </w:r>
      <w:r>
        <w:tab/>
      </w:r>
      <w:r>
        <w:t>consider the cell as barred in accordance with TS 38.304 [20];</w:t>
      </w:r>
    </w:p>
    <w:p>
      <w:pPr>
        <w:pStyle w:val="71"/>
      </w:pPr>
      <w:r>
        <w:t>3&gt;</w:t>
      </w:r>
      <w:r>
        <w:tab/>
      </w:r>
      <w:r>
        <w:t xml:space="preserve">perform barring as if </w:t>
      </w:r>
      <w:r>
        <w:rPr>
          <w:i/>
        </w:rPr>
        <w:t>intraFreqReselection</w:t>
      </w:r>
      <w:r>
        <w:t xml:space="preserve"> is set to allowed;</w:t>
      </w:r>
    </w:p>
    <w:p>
      <w:pPr>
        <w:pStyle w:val="70"/>
      </w:pPr>
      <w:r>
        <w:t>2&gt;</w:t>
      </w:r>
      <w:r>
        <w:tab/>
      </w:r>
      <w:r>
        <w:t xml:space="preserve">else if the UE is unable to acquire the </w:t>
      </w:r>
      <w:r>
        <w:rPr>
          <w:i/>
        </w:rPr>
        <w:t>SIB1</w:t>
      </w:r>
      <w:r>
        <w:t>:</w:t>
      </w:r>
    </w:p>
    <w:p>
      <w:pPr>
        <w:pStyle w:val="71"/>
      </w:pPr>
      <w:r>
        <w:t>3&gt;</w:t>
      </w:r>
      <w:r>
        <w:tab/>
      </w:r>
      <w:r>
        <w:t>consider the cell as barred in accordance with TS 38.304 [20];</w:t>
      </w:r>
    </w:p>
    <w:p>
      <w:pPr>
        <w:pStyle w:val="71"/>
      </w:pPr>
      <w:r>
        <w:t>3&gt;</w:t>
      </w:r>
      <w:r>
        <w:tab/>
      </w:r>
      <w:r>
        <w:t>if the UE is a RedCap UE:</w:t>
      </w:r>
    </w:p>
    <w:p>
      <w:pPr>
        <w:pStyle w:val="72"/>
      </w:pPr>
      <w:r>
        <w:t>4&gt;</w:t>
      </w:r>
      <w:r>
        <w:tab/>
      </w:r>
      <w:r>
        <w:t xml:space="preserve">peform barring as if </w:t>
      </w:r>
      <w:r>
        <w:rPr>
          <w:i/>
          <w:iCs/>
        </w:rPr>
        <w:t>intraFreqReselectionRedCap</w:t>
      </w:r>
      <w:r>
        <w:t xml:space="preserve"> is set to allowed;</w:t>
      </w:r>
    </w:p>
    <w:p>
      <w:pPr>
        <w:pStyle w:val="71"/>
      </w:pPr>
      <w:r>
        <w:t>3&gt;</w:t>
      </w:r>
      <w:r>
        <w:tab/>
      </w:r>
      <w:r>
        <w:t>else:</w:t>
      </w:r>
    </w:p>
    <w:p>
      <w:pPr>
        <w:pStyle w:val="72"/>
        <w:rPr>
          <w:iCs/>
        </w:rPr>
      </w:pPr>
      <w:r>
        <w:t>4&gt;</w:t>
      </w:r>
      <w:r>
        <w:tab/>
      </w:r>
      <w:r>
        <w:t>perform cell re-selection to other cells on the same frequency as the barred cell as specified in TS 38.304 [20]</w:t>
      </w:r>
      <w:r>
        <w:rPr>
          <w:iCs/>
        </w:rPr>
        <w:t>.</w:t>
      </w:r>
    </w:p>
    <w:p>
      <w:pPr>
        <w:pStyle w:val="66"/>
        <w:rPr>
          <w:rFonts w:eastAsia="宋体"/>
        </w:rPr>
      </w:pPr>
      <w:r>
        <w:t>NOTE:</w:t>
      </w:r>
      <w:r>
        <w:tab/>
      </w:r>
      <w:r>
        <w:rPr>
          <w:rFonts w:hint="eastAsia" w:eastAsia="宋体"/>
        </w:rPr>
        <w:t xml:space="preserve">For UE in </w:t>
      </w:r>
      <w:r>
        <w:t>RRC_IDLE or in RRC_INACTIVE or in RRC_CONNECTED while T311 is running</w:t>
      </w:r>
      <w:r>
        <w:rPr>
          <w:rFonts w:hint="eastAsia" w:eastAsia="宋体"/>
        </w:rPr>
        <w:t>, i</w:t>
      </w:r>
      <w:r>
        <w:t xml:space="preserve">f </w:t>
      </w:r>
      <w:r>
        <w:rPr>
          <w:rFonts w:hint="eastAsia" w:eastAsia="宋体"/>
        </w:rPr>
        <w:t>UE is unable to acquire SIB19, it is up to UE implementation to decide whether and when to reselect to another cell. If UE is still not be able to acquire SIB19 before establishing/reestablishing/resuming a RRC connection, UE should attempt to reselect to another cell by implementation.</w:t>
      </w:r>
    </w:p>
    <w:p>
      <w:pPr>
        <w:pStyle w:val="113"/>
        <w:ind w:left="0" w:firstLine="0"/>
        <w:rPr>
          <w:b/>
          <w:bCs/>
          <w:szCs w:val="24"/>
        </w:rPr>
      </w:pPr>
    </w:p>
    <w:p>
      <w:pPr>
        <w:pStyle w:val="113"/>
        <w:ind w:left="0" w:firstLine="0"/>
        <w:rPr>
          <w:b/>
          <w:bCs/>
          <w:szCs w:val="24"/>
        </w:rPr>
      </w:pPr>
    </w:p>
    <w:p>
      <w:pPr>
        <w:pStyle w:val="113"/>
        <w:ind w:left="0" w:firstLine="0"/>
        <w:rPr>
          <w:lang w:val="en-US"/>
        </w:rPr>
      </w:pPr>
      <w:r>
        <w:rPr>
          <w:b/>
          <w:bCs/>
          <w:szCs w:val="24"/>
        </w:rPr>
        <w:t>Q</w:t>
      </w:r>
      <w:r>
        <w:rPr>
          <w:b/>
          <w:bCs/>
          <w:szCs w:val="24"/>
          <w:lang w:val="en-US"/>
        </w:rPr>
        <w:t>4</w:t>
      </w:r>
      <w:r>
        <w:rPr>
          <w:b/>
          <w:bCs/>
          <w:szCs w:val="24"/>
        </w:rPr>
        <w:t xml:space="preserve">: </w:t>
      </w:r>
      <w:r>
        <w:rPr>
          <w:b/>
          <w:bCs/>
          <w:szCs w:val="24"/>
          <w:lang w:val="en-US"/>
        </w:rPr>
        <w:t>It is clear the suggested note cannot be added as SIB19 is not defined as Essential SI. Do companies prefer to have another way to clarify UE it is up to UE implementation to reselect to another cell?</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This can be left to UE implementation without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May be in the essential SIB section, we can add a note SIB19 is an essential SIB. We are not clear on the scenario in NR case if UE can read SIB1, then why it cannot read SIB19.</w:t>
            </w:r>
          </w:p>
          <w:p>
            <w:pPr>
              <w:pStyle w:val="79"/>
              <w:spacing w:before="20" w:after="20"/>
              <w:ind w:left="57" w:right="57"/>
              <w:jc w:val="left"/>
              <w:rPr>
                <w:rFonts w:eastAsia="宋体"/>
                <w:lang w:val="en-US" w:eastAsia="zh-CN"/>
              </w:rPr>
            </w:pPr>
            <w:r>
              <w:rPr>
                <w:rFonts w:hint="eastAsia" w:eastAsia="宋体"/>
                <w:highlight w:val="yellow"/>
                <w:lang w:val="en-US"/>
              </w:rPr>
              <w:t>[Xiaomi] In connected mode, we also capture the behavior when SIB19 cannot be acquired. But UE can acquire SIB1.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 xml:space="preserve"> Agree with Ericsson hat UE impmentation can take care of this and UE can try to access and read SIB 19 multiple times.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Yes</w:t>
            </w:r>
          </w:p>
        </w:tc>
        <w:tc>
          <w:tcPr>
            <w:tcW w:w="8468" w:type="dxa"/>
            <w:tcBorders>
              <w:top w:val="single" w:color="auto" w:sz="4" w:space="0"/>
              <w:left w:val="single" w:color="auto" w:sz="4" w:space="0"/>
              <w:bottom w:val="single" w:color="auto" w:sz="4" w:space="0"/>
              <w:right w:val="single" w:color="auto" w:sz="4" w:space="0"/>
            </w:tcBorders>
            <w:vAlign w:val="top"/>
          </w:tcPr>
          <w:p>
            <w:pPr>
              <w:pStyle w:val="79"/>
              <w:spacing w:before="20" w:after="20"/>
              <w:ind w:right="57"/>
              <w:jc w:val="left"/>
              <w:rPr>
                <w:rFonts w:eastAsia="宋体"/>
                <w:lang w:val="en-US"/>
              </w:rPr>
            </w:pPr>
            <w:r>
              <w:rPr>
                <w:rFonts w:hint="eastAsia" w:eastAsia="宋体"/>
                <w:lang w:val="en-US"/>
              </w:rPr>
              <w:t>In last RAN2 meeting, it is agree that:</w:t>
            </w:r>
          </w:p>
          <w:p>
            <w:pPr>
              <w:pStyle w:val="79"/>
              <w:spacing w:before="20" w:after="20"/>
              <w:ind w:right="57"/>
              <w:jc w:val="left"/>
              <w:rPr>
                <w:rFonts w:eastAsia="宋体"/>
                <w:lang w:val="en-US"/>
              </w:rPr>
            </w:pPr>
            <w:r>
              <w:rPr>
                <w:rFonts w:hint="eastAsia" w:eastAsia="宋体"/>
                <w:lang w:val="en-US"/>
              </w:rPr>
              <w:t xml:space="preserve">=&gt; </w:t>
            </w:r>
            <w:r>
              <w:t>RAN2 understands that SIB19 is essential for NTN cell, and it could be up to UE implementation if UE cannot acquire SIB19. FFS if a note is needed in the spec for this</w:t>
            </w:r>
            <w:r>
              <w:rPr>
                <w:rFonts w:hint="eastAsia" w:eastAsia="宋体"/>
                <w:lang w:val="en-US"/>
              </w:rPr>
              <w:t>.</w:t>
            </w:r>
          </w:p>
          <w:p>
            <w:pPr>
              <w:pStyle w:val="79"/>
              <w:spacing w:before="20" w:after="20"/>
              <w:ind w:right="57"/>
              <w:jc w:val="left"/>
              <w:rPr>
                <w:rFonts w:eastAsia="宋体"/>
                <w:lang w:val="en-US"/>
              </w:rPr>
            </w:pPr>
            <w:r>
              <w:rPr>
                <w:rFonts w:hint="eastAsia" w:eastAsia="宋体"/>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pPr>
              <w:pStyle w:val="79"/>
              <w:spacing w:before="20" w:after="20"/>
              <w:ind w:right="57"/>
              <w:jc w:val="left"/>
              <w:rPr>
                <w:rFonts w:eastAsia="宋体"/>
                <w:lang w:val="en-US"/>
              </w:rPr>
            </w:pPr>
          </w:p>
          <w:p>
            <w:pPr>
              <w:pStyle w:val="66"/>
              <w:rPr>
                <w:ins w:id="0" w:author="xiaowei-xiaomi" w:date="2022-09-27T19:44:00Z"/>
                <w:rFonts w:eastAsia="宋体"/>
              </w:rPr>
            </w:pPr>
            <w:ins w:id="1" w:author="xiaowei-xiaomi" w:date="2022-09-27T19:44:00Z">
              <w:r>
                <w:rPr/>
                <w:t>NOTE:</w:t>
              </w:r>
            </w:ins>
            <w:ins w:id="2" w:author="xiaowei-xiaomi" w:date="2022-09-27T19:44:00Z">
              <w:r>
                <w:rPr/>
                <w:tab/>
              </w:r>
            </w:ins>
            <w:ins w:id="3" w:author="xiaowei-xiaomi" w:date="2022-10-13T11:41:00Z">
              <w:r>
                <w:rPr>
                  <w:rFonts w:hint="eastAsia" w:eastAsia="宋体"/>
                  <w:highlight w:val="yellow"/>
                </w:rPr>
                <w:t xml:space="preserve">SIB19 is essential system information. </w:t>
              </w:r>
            </w:ins>
            <w:ins w:id="4" w:author="xiaowei-xiaomi" w:date="2022-09-27T19:45:00Z">
              <w:r>
                <w:rPr>
                  <w:rFonts w:hint="eastAsia" w:eastAsia="宋体"/>
                </w:rPr>
                <w:t xml:space="preserve">For UE in </w:t>
              </w:r>
            </w:ins>
            <w:ins w:id="5" w:author="xiaowei-xiaomi" w:date="2022-09-27T19:45:00Z">
              <w:r>
                <w:rPr/>
                <w:t>RRC_IDLE or in RRC_INACTIVE or in RRC_CONNECTED while T311 is running</w:t>
              </w:r>
            </w:ins>
            <w:ins w:id="6" w:author="xiaowei-xiaomi" w:date="2022-09-27T19:46:00Z">
              <w:r>
                <w:rPr>
                  <w:rFonts w:hint="eastAsia" w:eastAsia="宋体"/>
                </w:rPr>
                <w:t xml:space="preserve">, </w:t>
              </w:r>
            </w:ins>
            <w:ins w:id="7" w:author="xiaowei-xiaomi" w:date="2022-09-27T19:49:00Z">
              <w:r>
                <w:rPr>
                  <w:rFonts w:hint="eastAsia" w:eastAsia="宋体"/>
                </w:rPr>
                <w:t>i</w:t>
              </w:r>
            </w:ins>
            <w:ins w:id="8" w:author="xiaowei-xiaomi" w:date="2022-09-27T19:46:00Z">
              <w:r>
                <w:rPr/>
                <w:t xml:space="preserve">f </w:t>
              </w:r>
            </w:ins>
            <w:ins w:id="9" w:author="xiaowei-xiaomi" w:date="2022-09-27T19:46:00Z">
              <w:r>
                <w:rPr>
                  <w:rFonts w:hint="eastAsia" w:eastAsia="宋体"/>
                </w:rPr>
                <w:t xml:space="preserve">UE is unable to acquire SIB19, it is up to UE implementation to decide whether </w:t>
              </w:r>
            </w:ins>
            <w:ins w:id="10" w:author="xiaowei-xiaomi" w:date="2022-09-28T10:26:00Z">
              <w:r>
                <w:rPr>
                  <w:rFonts w:hint="eastAsia" w:eastAsia="宋体"/>
                </w:rPr>
                <w:t xml:space="preserve">and when </w:t>
              </w:r>
            </w:ins>
            <w:ins w:id="11" w:author="xiaowei-xiaomi" w:date="2022-09-27T19:46:00Z">
              <w:r>
                <w:rPr>
                  <w:rFonts w:hint="eastAsia" w:eastAsia="宋体"/>
                </w:rPr>
                <w:t xml:space="preserve">to </w:t>
              </w:r>
            </w:ins>
            <w:ins w:id="12" w:author="xiaowei-xiaomi" w:date="2022-09-27T19:47:00Z">
              <w:r>
                <w:rPr>
                  <w:rFonts w:hint="eastAsia" w:eastAsia="宋体"/>
                </w:rPr>
                <w:t>reselect to another cell</w:t>
              </w:r>
            </w:ins>
            <w:ins w:id="13" w:author="xiaowei-xiaomi" w:date="2022-09-28T11:34:00Z">
              <w:r>
                <w:rPr>
                  <w:rFonts w:hint="eastAsia" w:eastAsia="宋体"/>
                </w:rPr>
                <w:t xml:space="preserve">. If UE is still not </w:t>
              </w:r>
            </w:ins>
            <w:ins w:id="14" w:author="xiaowei-xiaomi" w:date="2022-09-28T11:35:00Z">
              <w:r>
                <w:rPr>
                  <w:rFonts w:hint="eastAsia" w:eastAsia="宋体"/>
                </w:rPr>
                <w:t xml:space="preserve">be able to acquire SIB19 before </w:t>
              </w:r>
            </w:ins>
            <w:ins w:id="15" w:author="xiaowei-xiaomi" w:date="2022-09-28T11:36:00Z">
              <w:r>
                <w:rPr>
                  <w:rFonts w:hint="eastAsia" w:eastAsia="宋体"/>
                </w:rPr>
                <w:t>establishing/reestablishing</w:t>
              </w:r>
            </w:ins>
            <w:ins w:id="16" w:author="xiaowei-xiaomi" w:date="2022-09-29T17:37:00Z">
              <w:r>
                <w:rPr>
                  <w:rFonts w:hint="eastAsia" w:eastAsia="宋体"/>
                </w:rPr>
                <w:t>/resuming</w:t>
              </w:r>
            </w:ins>
            <w:ins w:id="17" w:author="xiaowei-xiaomi" w:date="2022-09-28T11:36:00Z">
              <w:r>
                <w:rPr>
                  <w:rFonts w:hint="eastAsia" w:eastAsia="宋体"/>
                </w:rPr>
                <w:t xml:space="preserve"> </w:t>
              </w:r>
            </w:ins>
            <w:ins w:id="18" w:author="xiaowei-xiaomi" w:date="2022-09-28T11:37:00Z">
              <w:r>
                <w:rPr>
                  <w:rFonts w:hint="eastAsia" w:eastAsia="宋体"/>
                </w:rPr>
                <w:t>a</w:t>
              </w:r>
            </w:ins>
            <w:ins w:id="19" w:author="xiaowei-xiaomi" w:date="2022-09-28T11:36:00Z">
              <w:r>
                <w:rPr>
                  <w:rFonts w:hint="eastAsia" w:eastAsia="宋体"/>
                </w:rPr>
                <w:t xml:space="preserve"> RRC connection,</w:t>
              </w:r>
            </w:ins>
            <w:ins w:id="20" w:author="xiaowei-xiaomi" w:date="2022-09-27T19:48:00Z">
              <w:r>
                <w:rPr>
                  <w:rFonts w:hint="eastAsia" w:eastAsia="宋体"/>
                </w:rPr>
                <w:t xml:space="preserve"> </w:t>
              </w:r>
            </w:ins>
            <w:ins w:id="21" w:author="xiaowei-xiaomi" w:date="2022-09-28T11:25:00Z">
              <w:r>
                <w:rPr>
                  <w:rFonts w:hint="eastAsia" w:eastAsia="宋体"/>
                </w:rPr>
                <w:t>UE should attem</w:t>
              </w:r>
            </w:ins>
            <w:ins w:id="22" w:author="xiaowei-xiaomi" w:date="2022-09-28T11:26:00Z">
              <w:r>
                <w:rPr>
                  <w:rFonts w:hint="eastAsia" w:eastAsia="宋体"/>
                </w:rPr>
                <w:t>pt to reselect to another cell</w:t>
              </w:r>
            </w:ins>
            <w:ins w:id="23" w:author="xiaowei-xiaomi" w:date="2022-09-28T11:27:00Z">
              <w:r>
                <w:rPr>
                  <w:rFonts w:hint="eastAsia" w:eastAsia="宋体"/>
                </w:rPr>
                <w:t xml:space="preserve"> by implementation.</w:t>
              </w:r>
            </w:ins>
          </w:p>
          <w:p>
            <w:pPr>
              <w:pStyle w:val="79"/>
              <w:spacing w:before="20" w:after="20"/>
              <w:ind w:right="57"/>
              <w:jc w:val="left"/>
              <w:rPr>
                <w:rFonts w:eastAsia="宋体"/>
                <w:lang w:val="en-US"/>
              </w:rPr>
            </w:pPr>
          </w:p>
          <w:p>
            <w:pPr>
              <w:pStyle w:val="79"/>
              <w:spacing w:before="20" w:after="20"/>
              <w:ind w:right="57" w:rightChars="0"/>
              <w:jc w:val="left"/>
              <w:rPr>
                <w:rFonts w:ascii="Arial" w:hAnsi="Arial" w:eastAsia="宋体" w:cstheme="minorBidi"/>
                <w:sz w:val="18"/>
                <w:szCs w:val="2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p>
      <w:pPr>
        <w:pStyle w:val="113"/>
        <w:rPr>
          <w:lang w:val="en-GB" w:eastAsia="en-GB"/>
        </w:rPr>
      </w:pPr>
    </w:p>
    <w:p>
      <w:pPr>
        <w:pStyle w:val="172"/>
      </w:pPr>
      <w:r>
        <w:fldChar w:fldCharType="begin"/>
      </w:r>
      <w:r>
        <w:instrText xml:space="preserve"> HYPERLINK "file:///C:\\Data\\3GPP\\Extracts\\R2-2210743.docx" \o "C:Data3GPPExtractsR2-2210743.docx" </w:instrText>
      </w:r>
      <w:r>
        <w:fldChar w:fldCharType="separate"/>
      </w:r>
      <w:r>
        <w:rPr>
          <w:rStyle w:val="58"/>
        </w:rPr>
        <w:t>R2-2210743</w:t>
      </w:r>
      <w:r>
        <w:rPr>
          <w:rStyle w:val="58"/>
        </w:rPr>
        <w:fldChar w:fldCharType="end"/>
      </w:r>
      <w:r>
        <w:tab/>
      </w:r>
      <w:r>
        <w:t>Discussion on leftover issues</w:t>
      </w:r>
      <w:r>
        <w:tab/>
      </w:r>
      <w:r>
        <w:t>CATT</w:t>
      </w:r>
      <w:r>
        <w:tab/>
      </w:r>
      <w:r>
        <w:t>discussion</w:t>
      </w:r>
      <w:r>
        <w:tab/>
      </w:r>
      <w:r>
        <w:t>Rel-17</w:t>
      </w:r>
      <w:r>
        <w:tab/>
      </w:r>
      <w:r>
        <w:t>NR_NTN_solutions-Core</w:t>
      </w:r>
      <w:r>
        <w:tab/>
      </w:r>
      <w:r>
        <w:t>Late</w:t>
      </w:r>
    </w:p>
    <w:p>
      <w:pPr>
        <w:pStyle w:val="113"/>
        <w:ind w:left="0" w:firstLine="0"/>
        <w:rPr>
          <w:lang w:val="en-US"/>
        </w:rPr>
      </w:pPr>
    </w:p>
    <w:p>
      <w:pPr>
        <w:pStyle w:val="113"/>
        <w:ind w:left="0" w:firstLine="0"/>
        <w:rPr>
          <w:b/>
          <w:bCs/>
          <w:lang w:val="en-US"/>
        </w:rPr>
      </w:pPr>
      <w:r>
        <w:rPr>
          <w:b/>
          <w:bCs/>
          <w:lang w:val="en-US"/>
        </w:rPr>
        <w:t>The paper has one change suggested for TS 38.331 and that is adding a note:</w:t>
      </w:r>
    </w:p>
    <w:p>
      <w:pPr>
        <w:keepNext/>
        <w:keepLines/>
        <w:overflowPunct w:val="0"/>
        <w:autoSpaceDE w:val="0"/>
        <w:autoSpaceDN w:val="0"/>
        <w:adjustRightInd w:val="0"/>
        <w:spacing w:before="120" w:after="180"/>
        <w:textAlignment w:val="baseline"/>
        <w:outlineLvl w:val="3"/>
        <w:rPr>
          <w:rFonts w:ascii="Arial" w:hAnsi="Arial" w:eastAsia="MS Mincho"/>
          <w:szCs w:val="20"/>
          <w:lang w:val="en-GB" w:eastAsia="ja-JP"/>
        </w:rPr>
      </w:pPr>
      <w:r>
        <w:rPr>
          <w:rFonts w:ascii="Arial" w:hAnsi="Arial" w:eastAsia="MS Mincho"/>
          <w:szCs w:val="20"/>
          <w:lang w:val="en-GB" w:eastAsia="ja-JP"/>
        </w:rPr>
        <w:t>5.2.2.5</w:t>
      </w:r>
      <w:r>
        <w:rPr>
          <w:rFonts w:ascii="Arial" w:hAnsi="Arial" w:eastAsia="MS Mincho"/>
          <w:szCs w:val="20"/>
          <w:lang w:val="en-GB" w:eastAsia="ja-JP"/>
        </w:rPr>
        <w:tab/>
      </w:r>
      <w:r>
        <w:rPr>
          <w:rFonts w:ascii="Arial" w:hAnsi="Arial" w:eastAsia="MS Mincho"/>
          <w:szCs w:val="20"/>
          <w:lang w:val="en-GB" w:eastAsia="ja-JP"/>
        </w:rPr>
        <w:t>Essential system information missing</w:t>
      </w:r>
    </w:p>
    <w:p>
      <w:pPr>
        <w:rPr>
          <w:rFonts w:eastAsia="MS Mincho"/>
        </w:rPr>
      </w:pPr>
      <w:r>
        <w:t>The UE shall:</w:t>
      </w:r>
    </w:p>
    <w:p>
      <w:pPr>
        <w:pStyle w:val="69"/>
      </w:pPr>
      <w:r>
        <w:t>1&gt;</w:t>
      </w:r>
      <w:r>
        <w:tab/>
      </w:r>
      <w:r>
        <w:t>if in RRC_IDLE or in RRC_INACTIVE or in RRC_CONNECTED while T311 is running:</w:t>
      </w:r>
    </w:p>
    <w:p>
      <w:pPr>
        <w:pStyle w:val="70"/>
      </w:pPr>
      <w:r>
        <w:t>2&gt;</w:t>
      </w:r>
      <w:r>
        <w:tab/>
      </w:r>
      <w:r>
        <w:t xml:space="preserve">if the UE is unable to acquire the </w:t>
      </w:r>
      <w:r>
        <w:rPr>
          <w:i/>
        </w:rPr>
        <w:t>MIB</w:t>
      </w:r>
      <w:r>
        <w:t>:</w:t>
      </w:r>
    </w:p>
    <w:p>
      <w:pPr>
        <w:pStyle w:val="71"/>
      </w:pPr>
      <w:r>
        <w:t>3&gt;</w:t>
      </w:r>
      <w:r>
        <w:tab/>
      </w:r>
      <w:r>
        <w:t>consider the cell as barred in accordance with TS 38.304 [20];</w:t>
      </w:r>
    </w:p>
    <w:p>
      <w:pPr>
        <w:pStyle w:val="71"/>
      </w:pPr>
      <w:r>
        <w:t>3&gt;</w:t>
      </w:r>
      <w:r>
        <w:tab/>
      </w:r>
      <w:r>
        <w:t xml:space="preserve">perform barring as if </w:t>
      </w:r>
      <w:r>
        <w:rPr>
          <w:i/>
        </w:rPr>
        <w:t>intraFreqReselection</w:t>
      </w:r>
      <w:r>
        <w:t xml:space="preserve"> is set to allowed;</w:t>
      </w:r>
    </w:p>
    <w:p>
      <w:pPr>
        <w:pStyle w:val="70"/>
      </w:pPr>
      <w:r>
        <w:t>2&gt;</w:t>
      </w:r>
      <w:r>
        <w:tab/>
      </w:r>
      <w:r>
        <w:t xml:space="preserve">else if the UE is unable to acquire the </w:t>
      </w:r>
      <w:r>
        <w:rPr>
          <w:i/>
        </w:rPr>
        <w:t>SIB1</w:t>
      </w:r>
      <w:r>
        <w:t>:</w:t>
      </w:r>
    </w:p>
    <w:p>
      <w:pPr>
        <w:pStyle w:val="71"/>
      </w:pPr>
      <w:r>
        <w:t>3&gt;</w:t>
      </w:r>
      <w:r>
        <w:tab/>
      </w:r>
      <w:r>
        <w:t>consider the cell as barred in accordance with TS 38.304 [20];</w:t>
      </w:r>
    </w:p>
    <w:p>
      <w:pPr>
        <w:pStyle w:val="71"/>
      </w:pPr>
      <w:r>
        <w:t>3&gt;</w:t>
      </w:r>
      <w:r>
        <w:tab/>
      </w:r>
      <w:r>
        <w:t>if the UE is a RedCap UE:</w:t>
      </w:r>
    </w:p>
    <w:p>
      <w:pPr>
        <w:pStyle w:val="72"/>
      </w:pPr>
      <w:r>
        <w:t>4&gt;</w:t>
      </w:r>
      <w:r>
        <w:tab/>
      </w:r>
      <w:r>
        <w:t xml:space="preserve">peform barring as if </w:t>
      </w:r>
      <w:r>
        <w:rPr>
          <w:i/>
          <w:iCs/>
        </w:rPr>
        <w:t>intraFreqReselectionRedCap</w:t>
      </w:r>
      <w:r>
        <w:t xml:space="preserve"> is set to allowed;</w:t>
      </w:r>
    </w:p>
    <w:p>
      <w:pPr>
        <w:pStyle w:val="71"/>
      </w:pPr>
      <w:r>
        <w:t>3&gt;</w:t>
      </w:r>
      <w:r>
        <w:tab/>
      </w:r>
      <w:r>
        <w:t>else:</w:t>
      </w:r>
    </w:p>
    <w:p>
      <w:pPr>
        <w:numPr>
          <w:ilvl w:val="0"/>
          <w:numId w:val="16"/>
        </w:numPr>
        <w:tabs>
          <w:tab w:val="left" w:pos="360"/>
          <w:tab w:val="clear" w:pos="851"/>
        </w:tabs>
        <w:overflowPunct w:val="0"/>
        <w:autoSpaceDE w:val="0"/>
        <w:autoSpaceDN w:val="0"/>
        <w:adjustRightInd w:val="0"/>
        <w:spacing w:after="180"/>
        <w:ind w:left="1418" w:hanging="284"/>
        <w:textAlignment w:val="baseline"/>
        <w:rPr>
          <w:iCs/>
          <w:szCs w:val="20"/>
          <w:lang w:val="en-GB" w:eastAsia="ja-JP"/>
        </w:rPr>
      </w:pPr>
      <w:r>
        <w:t>4&gt;</w:t>
      </w:r>
      <w:r>
        <w:tab/>
      </w:r>
      <w:r>
        <w:t>perform cell re-selection to other cells on the same frequency as the barred cell as specified in TS 38.304 [20]</w:t>
      </w:r>
      <w:r>
        <w:rPr>
          <w:iCs/>
        </w:rPr>
        <w:t>.</w:t>
      </w:r>
    </w:p>
    <w:p>
      <w:pPr>
        <w:pStyle w:val="15"/>
        <w:rPr>
          <w:szCs w:val="20"/>
          <w:lang w:val="en-GB"/>
        </w:rPr>
      </w:pPr>
      <w:r>
        <w:rPr>
          <w:rFonts w:hint="eastAsia"/>
          <w:szCs w:val="20"/>
          <w:lang w:val="en-GB"/>
        </w:rPr>
        <w:t xml:space="preserve">NOTE: For NTN cell, </w:t>
      </w:r>
      <w:r>
        <w:rPr>
          <w:rFonts w:hint="eastAsia"/>
        </w:rPr>
        <w:t>i</w:t>
      </w:r>
      <w:r>
        <w:rPr>
          <w:rFonts w:hint="eastAsia"/>
          <w:szCs w:val="20"/>
          <w:lang w:val="en-GB"/>
        </w:rPr>
        <w:t xml:space="preserve">f the UE is unable to acquire the SIB19, whether and when to consider the cell as barred is up to UE </w:t>
      </w:r>
      <w:r>
        <w:rPr>
          <w:szCs w:val="20"/>
          <w:lang w:val="en-GB"/>
        </w:rPr>
        <w:t>impl</w:t>
      </w:r>
      <w:r>
        <w:rPr>
          <w:rFonts w:hint="eastAsia"/>
          <w:szCs w:val="20"/>
          <w:lang w:val="en-GB"/>
        </w:rPr>
        <w:t>eme</w:t>
      </w:r>
      <w:r>
        <w:rPr>
          <w:szCs w:val="20"/>
          <w:lang w:val="en-GB"/>
        </w:rPr>
        <w:t>ntation</w:t>
      </w:r>
      <w:r>
        <w:rPr>
          <w:rFonts w:hint="eastAsia"/>
          <w:szCs w:val="20"/>
          <w:lang w:val="en-GB"/>
        </w:rPr>
        <w:t xml:space="preserve">. If the cell is considered as barred, perform barring </w:t>
      </w:r>
      <w:r>
        <w:rPr>
          <w:szCs w:val="20"/>
          <w:lang w:val="en-GB" w:eastAsia="ja-JP"/>
        </w:rPr>
        <w:t>in accordance with TS 38.304</w:t>
      </w:r>
      <w:r>
        <w:rPr>
          <w:rFonts w:hint="eastAsia"/>
          <w:szCs w:val="20"/>
          <w:lang w:val="en-GB"/>
        </w:rPr>
        <w:t xml:space="preserve"> [20].</w:t>
      </w:r>
    </w:p>
    <w:p>
      <w:pPr>
        <w:pStyle w:val="113"/>
        <w:ind w:left="0" w:firstLine="0"/>
        <w:rPr>
          <w:b/>
          <w:bCs/>
          <w:szCs w:val="24"/>
          <w:lang w:val="en-US"/>
        </w:rPr>
      </w:pPr>
    </w:p>
    <w:p>
      <w:pPr>
        <w:pStyle w:val="113"/>
        <w:ind w:left="0" w:firstLine="0"/>
        <w:rPr>
          <w:b/>
          <w:bCs/>
          <w:szCs w:val="24"/>
        </w:rPr>
      </w:pPr>
      <w:r>
        <w:rPr>
          <w:b/>
          <w:bCs/>
          <w:szCs w:val="24"/>
          <w:lang w:val="en-US"/>
        </w:rPr>
        <w:t>It is clear the suggested note cannot be added as SIB19 is not defined as Essential SI. Further, in previous meeting we concluded cell should not be barred if UE cannot read SIB19. Hence it is assumed this suggestion does not need to discussed further.</w:t>
      </w:r>
    </w:p>
    <w:p>
      <w:pPr>
        <w:rPr>
          <w:rFonts w:eastAsia="宋体"/>
        </w:rPr>
      </w:pPr>
    </w:p>
    <w:p>
      <w:pPr>
        <w:pStyle w:val="2"/>
        <w:numPr>
          <w:ilvl w:val="0"/>
          <w:numId w:val="17"/>
        </w:numPr>
        <w:pBdr>
          <w:top w:val="single" w:color="auto" w:sz="12" w:space="3"/>
        </w:pBdr>
        <w:tabs>
          <w:tab w:val="clear" w:pos="432"/>
        </w:tabs>
        <w:overflowPunct/>
        <w:autoSpaceDE/>
        <w:autoSpaceDN/>
        <w:adjustRightInd/>
        <w:spacing w:line="259" w:lineRule="auto"/>
        <w:ind w:left="1134" w:hanging="1134"/>
        <w:jc w:val="both"/>
        <w:textAlignment w:val="auto"/>
        <w:rPr>
          <w:rStyle w:val="58"/>
          <w:color w:val="auto"/>
          <w:u w:val="none"/>
        </w:rPr>
      </w:pPr>
      <w:r>
        <w:rPr>
          <w:rStyle w:val="58"/>
          <w:color w:val="auto"/>
          <w:u w:val="none"/>
        </w:rPr>
        <w:t>Ephemeris</w:t>
      </w:r>
    </w:p>
    <w:p>
      <w:pPr>
        <w:pStyle w:val="151"/>
        <w:numPr>
          <w:ilvl w:val="0"/>
          <w:numId w:val="0"/>
        </w:numPr>
        <w:ind w:left="720" w:hanging="720"/>
      </w:pPr>
    </w:p>
    <w:p>
      <w:pPr>
        <w:pStyle w:val="172"/>
      </w:pPr>
      <w:r>
        <w:fldChar w:fldCharType="begin"/>
      </w:r>
      <w:r>
        <w:instrText xml:space="preserve"> HYPERLINK "file:///C:\\Data\\3GPP\\Extracts\\38331_CR3491_(Rel-17)_R2-2209537%20Correction%20on%20the%20coincidence%20of%20ECI%20and%20ECEF_v1.docx" \o "C:Data3GPPExtracts38331_CR3491_(Rel-17)_R2-2209537 Correction on the coincidence of ECI and ECEF_v1.docx" </w:instrText>
      </w:r>
      <w:r>
        <w:fldChar w:fldCharType="separate"/>
      </w:r>
      <w:r>
        <w:rPr>
          <w:rStyle w:val="58"/>
        </w:rPr>
        <w:t>R2-2209537</w:t>
      </w:r>
      <w:r>
        <w:rPr>
          <w:rStyle w:val="58"/>
        </w:rPr>
        <w:fldChar w:fldCharType="end"/>
      </w:r>
      <w:r>
        <w:tab/>
      </w:r>
      <w:r>
        <w:t>Correction on the coincidence of ECI and ECEF</w:t>
      </w:r>
      <w:r>
        <w:tab/>
      </w:r>
      <w:r>
        <w:t>MediaTek Inc.</w:t>
      </w:r>
      <w:r>
        <w:tab/>
      </w:r>
      <w:r>
        <w:t>CR</w:t>
      </w:r>
      <w:r>
        <w:tab/>
      </w:r>
      <w:r>
        <w:t>Rel-17</w:t>
      </w:r>
      <w:r>
        <w:tab/>
      </w:r>
      <w:r>
        <w:t>38.331</w:t>
      </w:r>
      <w:r>
        <w:tab/>
      </w:r>
      <w:r>
        <w:t>17.2.0</w:t>
      </w:r>
      <w:r>
        <w:tab/>
      </w:r>
      <w:r>
        <w:t>3491</w:t>
      </w:r>
      <w:r>
        <w:tab/>
      </w:r>
      <w:r>
        <w:t>-</w:t>
      </w:r>
      <w:r>
        <w:tab/>
      </w:r>
      <w:r>
        <w:t>F</w:t>
      </w:r>
      <w:r>
        <w:tab/>
      </w:r>
      <w:r>
        <w:t>NR_NTN_solutions-Core</w:t>
      </w:r>
    </w:p>
    <w:p>
      <w:pPr>
        <w:pStyle w:val="113"/>
        <w:rPr>
          <w:lang w:val="en-GB" w:eastAsia="en-GB"/>
        </w:rPr>
      </w:pPr>
    </w:p>
    <w:p>
      <w:pPr>
        <w:pStyle w:val="113"/>
        <w:ind w:left="363"/>
        <w:rPr>
          <w:lang w:val="en-GB" w:eastAsia="en-GB"/>
        </w:rPr>
      </w:pPr>
      <w:r>
        <w:rPr>
          <w:lang w:val="en-GB" w:eastAsia="en-GB"/>
        </w:rPr>
        <w:t xml:space="preserve">Add the abbreviations of ECI and ECEF. </w:t>
      </w:r>
    </w:p>
    <w:p>
      <w:pPr>
        <w:pStyle w:val="113"/>
        <w:ind w:left="363"/>
        <w:rPr>
          <w:lang w:val="en-GB" w:eastAsia="en-GB"/>
        </w:rPr>
      </w:pPr>
      <w:r>
        <w:rPr>
          <w:lang w:val="en-GB" w:eastAsia="en-GB"/>
        </w:rPr>
        <w:t>Capture RAN1 agreement in RAN1#109 as a Note in IE description of EphemerisInfo:</w:t>
      </w:r>
    </w:p>
    <w:p>
      <w:pPr>
        <w:pStyle w:val="113"/>
        <w:ind w:left="363"/>
        <w:rPr>
          <w:lang w:val="en-GB" w:eastAsia="en-GB"/>
        </w:rPr>
      </w:pPr>
      <w:r>
        <w:rPr>
          <w:lang w:val="en-GB" w:eastAsia="en-GB"/>
        </w:rPr>
        <w:t>“Note: The ECI and ECEF coincide at Epoch time (e.g. x,y,z axis in ECEF are aligned with x,y,z axis in ECI)”</w:t>
      </w:r>
    </w:p>
    <w:p>
      <w:pPr>
        <w:pStyle w:val="113"/>
        <w:ind w:left="363"/>
        <w:rPr>
          <w:lang w:val="en-GB" w:eastAsia="en-GB"/>
        </w:rPr>
      </w:pPr>
    </w:p>
    <w:p>
      <w:pPr>
        <w:pStyle w:val="113"/>
        <w:ind w:left="363"/>
        <w:rPr>
          <w:lang w:val="en-GB" w:eastAsia="en-GB"/>
        </w:rPr>
      </w:pPr>
    </w:p>
    <w:p>
      <w:pPr>
        <w:pStyle w:val="113"/>
        <w:ind w:left="0" w:firstLine="0"/>
        <w:rPr>
          <w:b/>
          <w:bCs/>
          <w:szCs w:val="24"/>
        </w:rPr>
      </w:pPr>
    </w:p>
    <w:p>
      <w:pPr>
        <w:pStyle w:val="113"/>
        <w:ind w:left="0" w:firstLine="0"/>
        <w:rPr>
          <w:lang w:val="en-US"/>
        </w:rPr>
      </w:pPr>
      <w:r>
        <w:rPr>
          <w:b/>
          <w:bCs/>
          <w:szCs w:val="24"/>
        </w:rPr>
        <w:t>Q</w:t>
      </w:r>
      <w:r>
        <w:rPr>
          <w:b/>
          <w:bCs/>
          <w:szCs w:val="24"/>
          <w:lang w:val="en-US"/>
        </w:rPr>
        <w:t>5</w:t>
      </w:r>
      <w:r>
        <w:rPr>
          <w:b/>
          <w:bCs/>
          <w:szCs w:val="24"/>
        </w:rPr>
        <w:t>: Please give your view</w:t>
      </w:r>
      <w:r>
        <w:rPr>
          <w:b/>
          <w:bCs/>
          <w:szCs w:val="24"/>
          <w:lang w:val="en-US"/>
        </w:rPr>
        <w:t xml:space="preserve"> whether you support CR R2-2209537?</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Ok</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 xml:space="preserve">MediaTek </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PMingLiU"/>
                <w:highlight w:val="yellow"/>
                <w:lang w:val="fi-FI" w:eastAsia="zh-TW"/>
              </w:rPr>
            </w:pPr>
            <w:r>
              <w:rPr>
                <w:rFonts w:eastAsia="PMingLiU"/>
                <w:lang w:val="fi-FI" w:eastAsia="zh-TW"/>
              </w:rPr>
              <w:t xml:space="preserve">The alignment between ECEF and ECI shall be specified in the specifications; otherwise, it is impossible for UE to perform </w:t>
            </w:r>
            <w:r>
              <w:rPr>
                <w:lang w:eastAsia="zh-CN"/>
              </w:rPr>
              <w:t>conversion between ECI and ECEF.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Ok</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p>
      <w:pPr>
        <w:pStyle w:val="113"/>
        <w:rPr>
          <w:lang w:val="en-GB" w:eastAsia="en-GB"/>
        </w:rPr>
      </w:pPr>
    </w:p>
    <w:p>
      <w:pPr>
        <w:pStyle w:val="113"/>
        <w:ind w:left="363"/>
        <w:rPr>
          <w:lang w:val="en-GB" w:eastAsia="en-GB"/>
        </w:rPr>
      </w:pPr>
    </w:p>
    <w:p>
      <w:pPr>
        <w:pStyle w:val="172"/>
      </w:pPr>
      <w:r>
        <w:fldChar w:fldCharType="begin"/>
      </w:r>
      <w:r>
        <w:instrText xml:space="preserve"> HYPERLINK "file:///C:\\Data\\3GPP\\Extracts\\R2-2209981%20Discussion%20on%20the%20ephemeris%20information%20in%20CHO%20procedure.doc" \o "C:Data3GPPExtractsR2-2209981 Discussion on the ephemeris information in CHO procedure.doc" </w:instrText>
      </w:r>
      <w:r>
        <w:fldChar w:fldCharType="separate"/>
      </w:r>
      <w:r>
        <w:rPr>
          <w:rStyle w:val="58"/>
        </w:rPr>
        <w:t>R2-2209981</w:t>
      </w:r>
      <w:r>
        <w:rPr>
          <w:rStyle w:val="58"/>
        </w:rPr>
        <w:fldChar w:fldCharType="end"/>
      </w:r>
      <w:r>
        <w:tab/>
      </w:r>
      <w:r>
        <w:t>Discussion on the ephemeris information in CHO procedure</w:t>
      </w:r>
      <w:r>
        <w:tab/>
      </w:r>
      <w:r>
        <w:t>Spreadtrum Communications</w:t>
      </w:r>
      <w:r>
        <w:tab/>
      </w:r>
      <w:r>
        <w:t>discussion</w:t>
      </w:r>
      <w:r>
        <w:tab/>
      </w:r>
      <w:r>
        <w:t>Rel-17</w:t>
      </w:r>
    </w:p>
    <w:p>
      <w:pPr>
        <w:pStyle w:val="111"/>
        <w:spacing w:before="20" w:after="80"/>
        <w:jc w:val="both"/>
        <w:rPr>
          <w:lang w:eastAsia="en-GB"/>
        </w:rPr>
      </w:pPr>
      <w:r>
        <w:rPr>
          <w:lang w:eastAsia="en-GB"/>
        </w:rPr>
        <w:t xml:space="preserve">  </w:t>
      </w:r>
    </w:p>
    <w:p>
      <w:pPr>
        <w:pStyle w:val="113"/>
        <w:ind w:left="0" w:firstLine="0"/>
      </w:pPr>
      <w:r>
        <w:rPr>
          <w:b/>
        </w:rPr>
        <w:t xml:space="preserve">Proposal 1: </w:t>
      </w:r>
      <w:r>
        <w:t>RRC dedicated message shall be applied to provide ephemeris information of neighbour cells.</w:t>
      </w:r>
      <w:r>
        <w:br w:type="textWrapping"/>
      </w:r>
      <w:r>
        <w:rPr>
          <w:b/>
        </w:rPr>
        <w:t xml:space="preserve">Proposal 2: </w:t>
      </w:r>
      <w:r>
        <w:t>Multiple neighbor cell’s ephemeris information in CHO window could be provided to UE via one dedicated RRC message.</w:t>
      </w:r>
      <w:r>
        <w:br w:type="textWrapping"/>
      </w:r>
      <w:r>
        <w:rPr>
          <w:b/>
        </w:rPr>
        <w:t xml:space="preserve">Proposal 3: </w:t>
      </w:r>
      <w:r>
        <w:t>The SFN and subframe of target cell shall be the reference of epoch time for target cell.</w:t>
      </w:r>
    </w:p>
    <w:p>
      <w:pPr>
        <w:pStyle w:val="113"/>
        <w:ind w:left="0" w:firstLine="0"/>
        <w:rPr>
          <w:b/>
          <w:bCs/>
          <w:szCs w:val="24"/>
        </w:rPr>
      </w:pPr>
    </w:p>
    <w:p>
      <w:pPr>
        <w:pStyle w:val="113"/>
        <w:ind w:left="0" w:firstLine="0"/>
        <w:rPr>
          <w:lang w:val="en-US"/>
        </w:rPr>
      </w:pPr>
      <w:r>
        <w:rPr>
          <w:b/>
          <w:bCs/>
          <w:szCs w:val="24"/>
        </w:rPr>
        <w:t>Q</w:t>
      </w:r>
      <w:r>
        <w:rPr>
          <w:b/>
          <w:bCs/>
          <w:szCs w:val="24"/>
          <w:lang w:val="en-US"/>
        </w:rPr>
        <w:t>5</w:t>
      </w:r>
      <w:r>
        <w:rPr>
          <w:b/>
          <w:bCs/>
          <w:szCs w:val="24"/>
        </w:rPr>
        <w:t>: Please give your view</w:t>
      </w:r>
      <w:r>
        <w:rPr>
          <w:b/>
          <w:bCs/>
          <w:szCs w:val="24"/>
          <w:lang w:val="en-US"/>
        </w:rPr>
        <w:t xml:space="preserve"> whether RAN2 should work further on proposals in R2-2209981?</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Can discuss further if companies think this is necessary correction for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P1: yes</w:t>
            </w:r>
          </w:p>
          <w:p>
            <w:pPr>
              <w:pStyle w:val="79"/>
              <w:spacing w:before="20" w:after="20"/>
              <w:ind w:left="57" w:right="57"/>
              <w:jc w:val="left"/>
              <w:rPr>
                <w:rFonts w:eastAsia="宋体"/>
                <w:lang w:val="en-US" w:eastAsia="zh-CN"/>
              </w:rPr>
            </w:pPr>
            <w:r>
              <w:rPr>
                <w:rFonts w:eastAsia="宋体"/>
                <w:lang w:val="en-US" w:eastAsia="zh-CN"/>
              </w:rPr>
              <w:t>P2: No</w:t>
            </w:r>
          </w:p>
          <w:p>
            <w:pPr>
              <w:pStyle w:val="79"/>
              <w:spacing w:before="20" w:after="20"/>
              <w:ind w:left="57" w:right="57"/>
              <w:jc w:val="left"/>
              <w:rPr>
                <w:rFonts w:eastAsia="宋体"/>
                <w:lang w:val="en-US" w:eastAsia="zh-CN"/>
              </w:rPr>
            </w:pPr>
            <w:r>
              <w:rPr>
                <w:rFonts w:eastAsia="宋体"/>
                <w:lang w:val="en-US" w:eastAsia="zh-CN"/>
              </w:rPr>
              <w:t>P3: yes</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P1 should be clarify if SIB19 does not provide the neighbor cell information or UE is not configured with search space in active BWP where SIB19 can be read.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P1: No</w:t>
            </w:r>
          </w:p>
          <w:p>
            <w:pPr>
              <w:pStyle w:val="79"/>
              <w:spacing w:before="20" w:after="20"/>
              <w:ind w:left="57" w:right="57"/>
              <w:jc w:val="left"/>
              <w:rPr>
                <w:rFonts w:eastAsia="宋体"/>
                <w:lang w:val="fi-FI" w:eastAsia="zh-CN"/>
              </w:rPr>
            </w:pPr>
            <w:r>
              <w:rPr>
                <w:rFonts w:eastAsia="宋体"/>
                <w:lang w:val="fi-FI" w:eastAsia="zh-CN"/>
              </w:rPr>
              <w:t>P2: No</w:t>
            </w:r>
          </w:p>
          <w:p>
            <w:pPr>
              <w:pStyle w:val="79"/>
              <w:spacing w:before="20" w:after="20"/>
              <w:ind w:left="57" w:right="57"/>
              <w:jc w:val="left"/>
              <w:rPr>
                <w:rFonts w:eastAsia="宋体"/>
                <w:lang w:val="fi-FI" w:eastAsia="zh-CN"/>
              </w:rPr>
            </w:pPr>
            <w:r>
              <w:rPr>
                <w:rFonts w:eastAsia="宋体"/>
                <w:lang w:val="fi-FI" w:eastAsia="zh-CN"/>
              </w:rPr>
              <w:t>P3: 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For P1, SIB19 can be provided by dedicated signaling if UE is not configured with common search space in the active BWP.</w:t>
            </w:r>
            <w:r>
              <w:rPr>
                <w:rFonts w:hint="eastAsia" w:ascii="PMingLiU" w:hAnsi="PMingLiU" w:eastAsia="PMingLiU"/>
                <w:lang w:val="fi-FI" w:eastAsia="zh-TW"/>
              </w:rPr>
              <w:t xml:space="preserve"> </w:t>
            </w:r>
          </w:p>
          <w:p>
            <w:pPr>
              <w:pStyle w:val="79"/>
              <w:spacing w:before="20" w:after="20"/>
              <w:ind w:right="57"/>
              <w:jc w:val="left"/>
              <w:rPr>
                <w:rFonts w:eastAsia="宋体"/>
                <w:lang w:val="fi-FI" w:eastAsia="zh-CN"/>
              </w:rPr>
            </w:pPr>
            <w:r>
              <w:rPr>
                <w:rFonts w:eastAsia="宋体"/>
                <w:lang w:val="fi-FI" w:eastAsia="zh-CN"/>
              </w:rPr>
              <w:t xml:space="preserve">For P2, for CHO, neighbor cell’s ephemeris information in the SIB19 is enough. Network can estimate the ephemeris information to configure multiple CHO configurations. </w:t>
            </w:r>
          </w:p>
          <w:p>
            <w:pPr>
              <w:pStyle w:val="79"/>
              <w:spacing w:before="20" w:after="20"/>
              <w:ind w:right="57"/>
              <w:jc w:val="left"/>
              <w:rPr>
                <w:rFonts w:eastAsia="PMingLiU"/>
                <w:lang w:val="fi-FI" w:eastAsia="zh-TW"/>
              </w:rPr>
            </w:pPr>
            <w:r>
              <w:rPr>
                <w:rFonts w:eastAsia="PMingLiU"/>
                <w:lang w:val="fi-FI" w:eastAsia="zh-TW"/>
              </w:rPr>
              <w:t>For P3, the current spec is clear. It is not clear how the proposal impacts the current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right="57"/>
              <w:jc w:val="left"/>
              <w:rPr>
                <w:rFonts w:eastAsia="宋体"/>
                <w:lang w:val="en-US"/>
              </w:rPr>
            </w:pPr>
            <w:r>
              <w:rPr>
                <w:rFonts w:hint="eastAsia" w:eastAsia="宋体"/>
                <w:lang w:val="en-US"/>
              </w:rPr>
              <w:t>P1/P3: yes</w:t>
            </w:r>
          </w:p>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P2: No</w:t>
            </w:r>
          </w:p>
        </w:tc>
        <w:tc>
          <w:tcPr>
            <w:tcW w:w="8468" w:type="dxa"/>
            <w:tcBorders>
              <w:top w:val="single" w:color="auto" w:sz="4" w:space="0"/>
              <w:left w:val="single" w:color="auto" w:sz="4" w:space="0"/>
              <w:bottom w:val="single" w:color="auto" w:sz="4" w:space="0"/>
              <w:right w:val="single" w:color="auto" w:sz="4" w:space="0"/>
            </w:tcBorders>
            <w:vAlign w:val="top"/>
          </w:tcPr>
          <w:p>
            <w:pPr>
              <w:pStyle w:val="79"/>
              <w:spacing w:before="20" w:after="20"/>
              <w:ind w:right="57" w:rightChars="0"/>
              <w:jc w:val="left"/>
              <w:rPr>
                <w:rFonts w:ascii="Arial" w:hAnsi="Arial" w:eastAsia="宋体" w:cstheme="minorBidi"/>
                <w:sz w:val="18"/>
                <w:szCs w:val="22"/>
                <w:lang w:val="en-US" w:eastAsia="zh-CN" w:bidi="ar-SA"/>
              </w:rPr>
            </w:pPr>
            <w:r>
              <w:rPr>
                <w:rFonts w:hint="eastAsia" w:eastAsia="宋体"/>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p>
      <w:pPr>
        <w:pStyle w:val="113"/>
        <w:rPr>
          <w:lang w:val="en-GB" w:eastAsia="en-GB"/>
        </w:rPr>
      </w:pPr>
    </w:p>
    <w:p>
      <w:pPr>
        <w:pStyle w:val="113"/>
        <w:rPr>
          <w:lang w:val="en-GB" w:eastAsia="en-GB"/>
        </w:rPr>
      </w:pPr>
    </w:p>
    <w:p>
      <w:pPr>
        <w:pStyle w:val="113"/>
        <w:ind w:left="0" w:firstLine="0"/>
        <w:rPr>
          <w:lang w:val="en-US"/>
        </w:rPr>
      </w:pPr>
    </w:p>
    <w:p>
      <w:pPr>
        <w:rPr>
          <w:rFonts w:eastAsia="宋体"/>
        </w:rPr>
      </w:pPr>
    </w:p>
    <w:p>
      <w:pPr>
        <w:pStyle w:val="2"/>
        <w:numPr>
          <w:ilvl w:val="0"/>
          <w:numId w:val="17"/>
        </w:numPr>
        <w:pBdr>
          <w:top w:val="single" w:color="auto" w:sz="12" w:space="3"/>
        </w:pBdr>
        <w:tabs>
          <w:tab w:val="clear" w:pos="432"/>
        </w:tabs>
        <w:overflowPunct/>
        <w:autoSpaceDE/>
        <w:autoSpaceDN/>
        <w:adjustRightInd/>
        <w:spacing w:line="259" w:lineRule="auto"/>
        <w:jc w:val="both"/>
        <w:textAlignment w:val="auto"/>
      </w:pPr>
      <w:r>
        <w:t>Measurement gap configuration</w:t>
      </w:r>
    </w:p>
    <w:p>
      <w:pPr>
        <w:pStyle w:val="172"/>
      </w:pPr>
      <w:r>
        <w:fldChar w:fldCharType="begin"/>
      </w:r>
      <w:r>
        <w:instrText xml:space="preserve"> HYPERLINK "file:///C:\\Data\\3GPP\\Extracts\\R2-2209800_38.331CR3508_(Rel-17)_Clarification%20on%20the%20concurrent%20measurement%20gap%20configuration_v0.docx" \o "C:Data3GPPExtractsR2-2209800_38.331CR3508_(Rel-17)_Clarification on the concurrent measurement gap configuration_v0.docx" </w:instrText>
      </w:r>
      <w:r>
        <w:fldChar w:fldCharType="separate"/>
      </w:r>
      <w:r>
        <w:rPr>
          <w:rStyle w:val="58"/>
        </w:rPr>
        <w:t>R2-2209800</w:t>
      </w:r>
      <w:r>
        <w:rPr>
          <w:rStyle w:val="58"/>
        </w:rPr>
        <w:fldChar w:fldCharType="end"/>
      </w:r>
      <w:r>
        <w:tab/>
      </w:r>
      <w:r>
        <w:t>Clarification on the concurrent measurement gap configuration</w:t>
      </w:r>
      <w:r>
        <w:tab/>
      </w:r>
      <w:r>
        <w:t>Apple</w:t>
      </w:r>
      <w:r>
        <w:tab/>
      </w:r>
      <w:r>
        <w:t>CR</w:t>
      </w:r>
      <w:r>
        <w:tab/>
      </w:r>
      <w:r>
        <w:t>Rel-17</w:t>
      </w:r>
      <w:r>
        <w:tab/>
      </w:r>
      <w:r>
        <w:t>38.331</w:t>
      </w:r>
      <w:r>
        <w:tab/>
      </w:r>
      <w:r>
        <w:t>17.2.0</w:t>
      </w:r>
      <w:r>
        <w:tab/>
      </w:r>
      <w:r>
        <w:t>3508</w:t>
      </w:r>
      <w:r>
        <w:tab/>
      </w:r>
      <w:r>
        <w:t>-</w:t>
      </w:r>
      <w:r>
        <w:tab/>
      </w:r>
      <w:r>
        <w:t>F</w:t>
      </w:r>
      <w:r>
        <w:tab/>
      </w:r>
      <w:r>
        <w:t>NR_NTN_solutions-Core</w:t>
      </w:r>
    </w:p>
    <w:p>
      <w:pPr>
        <w:pStyle w:val="113"/>
        <w:ind w:left="0" w:firstLine="0"/>
      </w:pPr>
      <w:r>
        <w:rPr>
          <w:b/>
        </w:rPr>
        <w:t>Summary of change:</w:t>
      </w:r>
      <w:r>
        <w:t xml:space="preserve"> Clarify in the condition part:</w:t>
      </w:r>
      <w:r>
        <w:br w:type="textWrapping"/>
      </w:r>
      <w:r>
        <w:t>Clarify that the associatedMeasGapSSB2 can be configured only when  associatedMeasGapSSB is configured</w:t>
      </w:r>
      <w:r>
        <w:br w:type="textWrapping"/>
      </w:r>
      <w:r>
        <w:t>Clarify that the associatedMeasGapCSIRS2 can be configured only when  associatedMeasGapCSIRS is configured</w:t>
      </w:r>
      <w:r>
        <w:br w:type="textWrapping"/>
      </w:r>
      <w:r>
        <w:rPr>
          <w:b/>
        </w:rPr>
        <w:t>Consequences if not approved:</w:t>
      </w:r>
      <w:r>
        <w:t xml:space="preserve"> It’s possible that 4 measurement gap configurations are within one MO for NTN, which exceeds the NTN UE capability.</w:t>
      </w:r>
    </w:p>
    <w:p>
      <w:pPr>
        <w:pStyle w:val="113"/>
        <w:ind w:left="0" w:firstLine="0"/>
      </w:pPr>
    </w:p>
    <w:p>
      <w:pPr>
        <w:pStyle w:val="113"/>
        <w:ind w:left="0" w:firstLine="0"/>
        <w:rPr>
          <w:b/>
          <w:bCs/>
          <w:szCs w:val="24"/>
          <w:lang w:val="en-US"/>
        </w:rPr>
      </w:pPr>
      <w:r>
        <w:rPr>
          <w:b/>
          <w:bCs/>
          <w:lang w:val="en-US"/>
        </w:rPr>
        <w:t>Rapporteur view is that this is ok correction.</w:t>
      </w:r>
    </w:p>
    <w:p>
      <w:pPr>
        <w:pStyle w:val="113"/>
        <w:ind w:left="0" w:firstLine="0"/>
        <w:rPr>
          <w:lang w:val="en-US"/>
        </w:rPr>
      </w:pPr>
      <w:r>
        <w:rPr>
          <w:b/>
          <w:bCs/>
          <w:szCs w:val="24"/>
        </w:rPr>
        <w:t>Q</w:t>
      </w:r>
      <w:r>
        <w:rPr>
          <w:b/>
          <w:bCs/>
          <w:szCs w:val="24"/>
          <w:lang w:val="en-US"/>
        </w:rPr>
        <w:t>6</w:t>
      </w:r>
      <w:r>
        <w:rPr>
          <w:b/>
          <w:bCs/>
          <w:szCs w:val="24"/>
        </w:rPr>
        <w:t>: Please give your view</w:t>
      </w:r>
      <w:r>
        <w:rPr>
          <w:b/>
          <w:bCs/>
          <w:szCs w:val="24"/>
          <w:lang w:val="en-US"/>
        </w:rPr>
        <w:t xml:space="preserve"> whether you support CR R2-2209800?</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Why would network provide configuration exceeding UE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 xml:space="preserve"> This is not needed and current specs seem enough.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No</w:t>
            </w:r>
          </w:p>
        </w:tc>
        <w:tc>
          <w:tcPr>
            <w:tcW w:w="8468" w:type="dxa"/>
            <w:tcBorders>
              <w:top w:val="single" w:color="auto" w:sz="4" w:space="0"/>
              <w:left w:val="single" w:color="auto" w:sz="4" w:space="0"/>
              <w:bottom w:val="single" w:color="auto" w:sz="4" w:space="0"/>
              <w:right w:val="single" w:color="auto" w:sz="4" w:space="0"/>
            </w:tcBorders>
            <w:vAlign w:val="top"/>
          </w:tcPr>
          <w:p>
            <w:pPr>
              <w:pStyle w:val="79"/>
              <w:spacing w:before="20" w:after="20"/>
              <w:ind w:right="57" w:rightChars="0"/>
              <w:jc w:val="left"/>
              <w:rPr>
                <w:rFonts w:ascii="Arial" w:hAnsi="Arial" w:eastAsia="宋体" w:cstheme="minorBidi"/>
                <w:sz w:val="18"/>
                <w:szCs w:val="22"/>
                <w:lang w:val="en-US" w:eastAsia="zh-CN" w:bidi="ar-SA"/>
              </w:rPr>
            </w:pPr>
            <w:r>
              <w:rPr>
                <w:rFonts w:hint="eastAsia" w:eastAsia="宋体"/>
                <w:lang w:val="en-US"/>
              </w:rPr>
              <w:t>Network configuration should not exceed UE capability. Besides, the CR restrict network from configuring 2 SSB Gap and 2 CSI-RS gap at the same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p>
      <w:pPr>
        <w:pStyle w:val="113"/>
        <w:rPr>
          <w:lang w:val="en-GB" w:eastAsia="en-GB"/>
        </w:rPr>
      </w:pPr>
    </w:p>
    <w:p>
      <w:pPr>
        <w:pStyle w:val="113"/>
        <w:rPr>
          <w:lang w:val="en-US"/>
        </w:rPr>
      </w:pPr>
    </w:p>
    <w:p>
      <w:pPr>
        <w:pStyle w:val="113"/>
        <w:rPr>
          <w:lang w:val="en-US"/>
        </w:rPr>
      </w:pPr>
    </w:p>
    <w:p>
      <w:pPr>
        <w:pStyle w:val="113"/>
        <w:rPr>
          <w:lang w:val="en-US"/>
        </w:rPr>
      </w:pPr>
    </w:p>
    <w:p>
      <w:pPr>
        <w:rPr>
          <w:rFonts w:eastAsia="宋体"/>
        </w:rPr>
      </w:pPr>
    </w:p>
    <w:p>
      <w:pPr>
        <w:pStyle w:val="2"/>
        <w:numPr>
          <w:ilvl w:val="0"/>
          <w:numId w:val="17"/>
        </w:numPr>
        <w:pBdr>
          <w:top w:val="single" w:color="auto" w:sz="12" w:space="3"/>
        </w:pBdr>
        <w:tabs>
          <w:tab w:val="clear" w:pos="432"/>
        </w:tabs>
        <w:overflowPunct/>
        <w:autoSpaceDE/>
        <w:autoSpaceDN/>
        <w:adjustRightInd/>
        <w:spacing w:line="259" w:lineRule="auto"/>
        <w:jc w:val="both"/>
        <w:textAlignment w:val="auto"/>
        <w:rPr>
          <w:rStyle w:val="58"/>
          <w:color w:val="auto"/>
        </w:rPr>
      </w:pPr>
      <w:r>
        <w:t xml:space="preserve">Coarse UE location </w:t>
      </w:r>
    </w:p>
    <w:p>
      <w:pPr>
        <w:pStyle w:val="172"/>
      </w:pPr>
      <w:r>
        <w:fldChar w:fldCharType="begin"/>
      </w:r>
      <w:r>
        <w:instrText xml:space="preserve"> HYPERLINK "file:///C:\\Data\\3GPP\\Extracts\\R2-2209506%20Correction%20on%20UE%20coarse%20location%20reporting%20in%20TS%2038.331.docx" \o "C:Data3GPPExtractsR2-2209506 Correction on UE coarse location reporting in TS 38.331.docx" </w:instrText>
      </w:r>
      <w:r>
        <w:fldChar w:fldCharType="separate"/>
      </w:r>
      <w:r>
        <w:rPr>
          <w:rStyle w:val="58"/>
        </w:rPr>
        <w:t>R2-2209506</w:t>
      </w:r>
      <w:r>
        <w:rPr>
          <w:rStyle w:val="58"/>
        </w:rPr>
        <w:fldChar w:fldCharType="end"/>
      </w:r>
      <w:r>
        <w:tab/>
      </w:r>
      <w:r>
        <w:t>Correction on UE coarse location  reporting in TS 38.331</w:t>
      </w:r>
      <w:r>
        <w:tab/>
      </w:r>
      <w:r>
        <w:t>vivo</w:t>
      </w:r>
      <w:r>
        <w:tab/>
      </w:r>
      <w:r>
        <w:t>CR</w:t>
      </w:r>
      <w:r>
        <w:tab/>
      </w:r>
      <w:r>
        <w:t>Rel-17</w:t>
      </w:r>
      <w:r>
        <w:tab/>
      </w:r>
      <w:r>
        <w:t>38.331</w:t>
      </w:r>
      <w:r>
        <w:tab/>
      </w:r>
      <w:r>
        <w:t>17.2.0</w:t>
      </w:r>
      <w:r>
        <w:tab/>
      </w:r>
      <w:r>
        <w:t>3489</w:t>
      </w:r>
      <w:r>
        <w:tab/>
      </w:r>
      <w:r>
        <w:t>-</w:t>
      </w:r>
      <w:r>
        <w:tab/>
      </w:r>
      <w:r>
        <w:t>F</w:t>
      </w:r>
      <w:r>
        <w:tab/>
      </w:r>
      <w:r>
        <w:t>NR_NTN_solutions-Core</w:t>
      </w:r>
    </w:p>
    <w:p>
      <w:pPr>
        <w:pStyle w:val="111"/>
        <w:spacing w:before="20" w:after="80"/>
        <w:jc w:val="both"/>
        <w:rPr>
          <w:lang w:eastAsia="en-GB"/>
        </w:rPr>
      </w:pPr>
    </w:p>
    <w:p>
      <w:pPr>
        <w:pStyle w:val="111"/>
        <w:spacing w:before="20" w:after="80"/>
        <w:jc w:val="both"/>
        <w:rPr>
          <w:b/>
          <w:bCs/>
          <w:lang w:eastAsia="en-GB"/>
        </w:rPr>
      </w:pPr>
      <w:r>
        <w:rPr>
          <w:b/>
          <w:bCs/>
          <w:lang w:eastAsia="en-GB"/>
        </w:rPr>
        <w:t>The CR proposes to add an additional note for coarse location reporting:</w:t>
      </w:r>
    </w:p>
    <w:p>
      <w:pPr>
        <w:ind w:left="851" w:hanging="284"/>
        <w:rPr>
          <w:iCs/>
          <w:lang w:eastAsia="ja-JP"/>
        </w:rPr>
      </w:pPr>
      <w:r>
        <w:rPr>
          <w:lang w:eastAsia="ja-JP"/>
        </w:rPr>
        <w:t>2&gt;</w:t>
      </w:r>
      <w:r>
        <w:rPr>
          <w:lang w:eastAsia="ja-JP"/>
        </w:rPr>
        <w:tab/>
      </w:r>
      <w:r>
        <w:rPr>
          <w:lang w:eastAsia="ja-JP"/>
        </w:rPr>
        <w:t xml:space="preserve">include </w:t>
      </w:r>
      <w:r>
        <w:rPr>
          <w:i/>
          <w:lang w:eastAsia="ja-JP"/>
        </w:rPr>
        <w:t>coarseLocationInfo,</w:t>
      </w:r>
      <w:r>
        <w:rPr>
          <w:lang w:eastAsia="ja-JP"/>
        </w:rPr>
        <w:t xml:space="preserve"> if available</w:t>
      </w:r>
      <w:r>
        <w:rPr>
          <w:iCs/>
          <w:lang w:eastAsia="ja-JP"/>
        </w:rPr>
        <w:t>;</w:t>
      </w:r>
    </w:p>
    <w:p>
      <w:pPr>
        <w:keepLines/>
        <w:ind w:left="1135" w:hanging="851"/>
        <w:rPr>
          <w:rFonts w:eastAsia="MS Mincho"/>
          <w:lang w:eastAsia="ja-JP"/>
        </w:rPr>
      </w:pPr>
      <w:r>
        <w:rPr>
          <w:rFonts w:hint="eastAsia"/>
          <w:lang w:eastAsia="ja-JP"/>
        </w:rPr>
        <w:t>NOTE</w:t>
      </w:r>
      <w:r>
        <w:rPr>
          <w:lang w:eastAsia="ja-JP"/>
        </w:rPr>
        <w:t xml:space="preserve"> X: It is up to UE implementation to decide whether to obtain and report</w:t>
      </w:r>
      <w:r>
        <w:t xml:space="preserve"> </w:t>
      </w:r>
      <w:r>
        <w:rPr>
          <w:lang w:eastAsia="ja-JP"/>
        </w:rPr>
        <w:t xml:space="preserve">its coarse location in </w:t>
      </w:r>
      <w:r>
        <w:rPr>
          <w:i/>
          <w:iCs/>
          <w:lang w:eastAsia="ja-JP"/>
        </w:rPr>
        <w:t>coarseLocationInfo</w:t>
      </w:r>
      <w:r>
        <w:rPr>
          <w:lang w:eastAsia="ja-JP"/>
        </w:rPr>
        <w:t>.</w:t>
      </w:r>
    </w:p>
    <w:p>
      <w:pPr>
        <w:pStyle w:val="111"/>
        <w:spacing w:before="20" w:after="80"/>
        <w:jc w:val="both"/>
        <w:rPr>
          <w:b/>
          <w:bCs/>
          <w:lang w:eastAsia="en-GB"/>
        </w:rPr>
      </w:pPr>
      <w:r>
        <w:rPr>
          <w:b/>
          <w:bCs/>
          <w:lang w:eastAsia="en-GB"/>
        </w:rPr>
        <w:t>Rapporteur view is that this note should not be specified as this situation does not differ from Rel-16 or LTE location reporting where “if available” means that UE implementation will decide whether it is reported or not .</w:t>
      </w:r>
    </w:p>
    <w:p>
      <w:pPr>
        <w:pStyle w:val="113"/>
        <w:ind w:left="0" w:firstLine="0"/>
        <w:rPr>
          <w:b/>
          <w:bCs/>
          <w:szCs w:val="24"/>
        </w:rPr>
      </w:pPr>
    </w:p>
    <w:p>
      <w:pPr>
        <w:pStyle w:val="113"/>
        <w:ind w:left="0" w:firstLine="0"/>
        <w:rPr>
          <w:lang w:val="en-US"/>
        </w:rPr>
      </w:pPr>
      <w:r>
        <w:rPr>
          <w:b/>
          <w:bCs/>
          <w:szCs w:val="24"/>
        </w:rPr>
        <w:t>Q</w:t>
      </w:r>
      <w:r>
        <w:rPr>
          <w:b/>
          <w:bCs/>
          <w:szCs w:val="24"/>
          <w:lang w:val="en-US"/>
        </w:rPr>
        <w:t>7</w:t>
      </w:r>
      <w:r>
        <w:rPr>
          <w:b/>
          <w:bCs/>
          <w:szCs w:val="24"/>
        </w:rPr>
        <w:t>: Please give your view</w:t>
      </w:r>
      <w:r>
        <w:rPr>
          <w:b/>
          <w:bCs/>
          <w:szCs w:val="24"/>
          <w:lang w:val="en-US"/>
        </w:rPr>
        <w:t xml:space="preserve"> whether you support CR R2-2209506?</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Share the Rapp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r>
              <w:rPr>
                <w:rFonts w:eastAsia="宋体"/>
                <w:lang w:eastAsia="zh-CN"/>
              </w:rPr>
              <w:t xml:space="preserve">No, there is no need to bring old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 xml:space="preserve"> Agree the reppaorteur’s view, ”if available” already means it is up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Xiaomi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en-US" w:eastAsia="zh-CN" w:bidi="ar-SA"/>
              </w:rPr>
            </w:pPr>
            <w:r>
              <w:rPr>
                <w:rFonts w:hint="eastAsia" w:eastAsia="宋体"/>
                <w:lang w:val="en-US"/>
              </w:rPr>
              <w:t>No</w:t>
            </w:r>
          </w:p>
        </w:tc>
        <w:tc>
          <w:tcPr>
            <w:tcW w:w="8468" w:type="dxa"/>
            <w:tcBorders>
              <w:top w:val="single" w:color="auto" w:sz="4" w:space="0"/>
              <w:left w:val="single" w:color="auto" w:sz="4" w:space="0"/>
              <w:bottom w:val="single" w:color="auto" w:sz="4" w:space="0"/>
              <w:right w:val="single" w:color="auto" w:sz="4" w:space="0"/>
            </w:tcBorders>
            <w:vAlign w:val="top"/>
          </w:tcPr>
          <w:p>
            <w:pPr>
              <w:pStyle w:val="79"/>
              <w:spacing w:before="20" w:after="20"/>
              <w:ind w:right="57" w:rightChars="0"/>
              <w:jc w:val="left"/>
              <w:rPr>
                <w:rFonts w:ascii="Arial" w:hAnsi="Arial" w:eastAsia="宋体" w:cstheme="minorBidi"/>
                <w:sz w:val="18"/>
                <w:szCs w:val="22"/>
                <w:lang w:val="en-US" w:eastAsia="zh-CN" w:bidi="ar-SA"/>
              </w:rPr>
            </w:pPr>
            <w:r>
              <w:rPr>
                <w:rFonts w:hint="eastAsia" w:eastAsia="宋体"/>
                <w:lang w:val="en-US"/>
              </w:rPr>
              <w:t>Discussed before, follow SA3 on the user consent. If network has user consent, then network can request UE for coarse location, otherwise cannot.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p>
      <w:pPr>
        <w:pStyle w:val="113"/>
        <w:rPr>
          <w:lang w:val="en-US"/>
        </w:rPr>
      </w:pPr>
    </w:p>
    <w:p>
      <w:pPr>
        <w:pStyle w:val="113"/>
        <w:rPr>
          <w:lang w:val="en-US"/>
        </w:rPr>
      </w:pPr>
    </w:p>
    <w:p>
      <w:pPr>
        <w:pStyle w:val="113"/>
        <w:rPr>
          <w:lang w:val="en-US"/>
        </w:rPr>
      </w:pPr>
    </w:p>
    <w:p>
      <w:pPr>
        <w:rPr>
          <w:rFonts w:eastAsia="宋体"/>
        </w:rPr>
      </w:pPr>
    </w:p>
    <w:p>
      <w:pPr>
        <w:pStyle w:val="2"/>
        <w:numPr>
          <w:ilvl w:val="0"/>
          <w:numId w:val="17"/>
        </w:numPr>
        <w:pBdr>
          <w:top w:val="single" w:color="auto" w:sz="12" w:space="3"/>
        </w:pBdr>
        <w:tabs>
          <w:tab w:val="clear" w:pos="432"/>
        </w:tabs>
        <w:overflowPunct/>
        <w:autoSpaceDE/>
        <w:autoSpaceDN/>
        <w:adjustRightInd/>
        <w:spacing w:line="259" w:lineRule="auto"/>
        <w:jc w:val="both"/>
        <w:textAlignment w:val="auto"/>
      </w:pPr>
      <w:r>
        <w:t>Misc corrections</w:t>
      </w:r>
    </w:p>
    <w:p>
      <w:pPr>
        <w:pStyle w:val="113"/>
        <w:rPr>
          <w:lang w:val="en-US"/>
        </w:rPr>
      </w:pPr>
    </w:p>
    <w:p>
      <w:pPr>
        <w:pStyle w:val="172"/>
      </w:pPr>
      <w:r>
        <w:fldChar w:fldCharType="begin"/>
      </w:r>
      <w:r>
        <w:instrText xml:space="preserve"> HYPERLINK "file:///C:\\Data\\3GPP\\Extracts\\R2-2210197%20(R17%20NTN%206.10.4.2)%20331%20CR%20for%20Measurement%20events.docx" \o "C:Data3GPPExtractsR2-2210197 (R17 NTN 6.10.4.2) 331 CR for Measurement events.docx" </w:instrText>
      </w:r>
      <w:r>
        <w:fldChar w:fldCharType="separate"/>
      </w:r>
      <w:r>
        <w:rPr>
          <w:rStyle w:val="58"/>
        </w:rPr>
        <w:t>R2-2210197</w:t>
      </w:r>
      <w:r>
        <w:rPr>
          <w:rStyle w:val="58"/>
        </w:rPr>
        <w:fldChar w:fldCharType="end"/>
      </w:r>
      <w:r>
        <w:tab/>
      </w:r>
      <w:r>
        <w:t>Draft 331 CR – Addition of missing descriptions of Event D1 and CondEvent T1</w:t>
      </w:r>
      <w:r>
        <w:tab/>
      </w:r>
      <w:r>
        <w:t>Interdigital, Inc.</w:t>
      </w:r>
      <w:r>
        <w:tab/>
      </w:r>
      <w:r>
        <w:t>draftCR</w:t>
      </w:r>
      <w:r>
        <w:tab/>
      </w:r>
      <w:r>
        <w:t>Rel-17</w:t>
      </w:r>
      <w:r>
        <w:tab/>
      </w:r>
      <w:r>
        <w:t>38.331</w:t>
      </w:r>
      <w:r>
        <w:tab/>
      </w:r>
      <w:r>
        <w:t>17.2.0</w:t>
      </w:r>
      <w:r>
        <w:tab/>
      </w:r>
      <w:r>
        <w:t>NR_NTN_solutions-Core</w:t>
      </w:r>
    </w:p>
    <w:p>
      <w:pPr>
        <w:pStyle w:val="113"/>
        <w:rPr>
          <w:lang w:val="en-GB" w:eastAsia="en-GB"/>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w:t>
      </w:r>
      <w:r>
        <w:rPr>
          <w:rFonts w:hint="eastAsia"/>
          <w:i/>
        </w:rPr>
        <w:t xml:space="preserve"> change</w:t>
      </w:r>
      <w:r>
        <w:rPr>
          <w:i/>
        </w:rPr>
        <w:t>s</w:t>
      </w:r>
    </w:p>
    <w:p>
      <w:pPr>
        <w:pStyle w:val="5"/>
      </w:pPr>
      <w:bookmarkStart w:id="6" w:name="_Toc100929717"/>
      <w:r>
        <w:t>5.5.4.15</w:t>
      </w:r>
      <w:r>
        <w:tab/>
      </w:r>
      <w:r>
        <w:t>Event D1</w:t>
      </w:r>
      <w:bookmarkEnd w:id="6"/>
      <w:r>
        <w:t xml:space="preserve"> (Distance between UE and referenceLocation1 is above threshold1 and distance between UE and referenceLocation2 is below threshold2)</w:t>
      </w:r>
      <w:r>
        <w:tab/>
      </w:r>
    </w:p>
    <w:p>
      <w:pPr>
        <w:pStyle w:val="66"/>
      </w:pPr>
      <w:r>
        <w:t>*******omitted*******</w:t>
      </w:r>
    </w:p>
    <w:p>
      <w:pPr>
        <w:pStyle w:val="5"/>
      </w:pPr>
      <w:bookmarkStart w:id="7" w:name="_Toc100929718"/>
      <w:r>
        <w:t>5.5.4.16</w:t>
      </w:r>
      <w:r>
        <w:tab/>
      </w:r>
      <w:r>
        <w:t>CondEvent T1</w:t>
      </w:r>
      <w:bookmarkEnd w:id="7"/>
      <w:r>
        <w:t xml:space="preserve"> (Time measured at UE is within a threshold and duration)</w:t>
      </w:r>
    </w:p>
    <w:p>
      <w:pPr>
        <w:pStyle w:val="5"/>
      </w:pPr>
    </w:p>
    <w:p>
      <w:pPr>
        <w:pStyle w:val="66"/>
      </w:pPr>
      <w:r>
        <w:t>*******omitted*******</w:t>
      </w:r>
    </w:p>
    <w:p>
      <w:pPr>
        <w:pStyle w:val="113"/>
        <w:rPr>
          <w:lang w:val="en-GB" w:eastAsia="en-GB"/>
        </w:rPr>
      </w:pPr>
    </w:p>
    <w:p>
      <w:pPr>
        <w:pStyle w:val="113"/>
        <w:ind w:left="363"/>
        <w:rPr>
          <w:b/>
          <w:bCs/>
          <w:lang w:val="en-GB" w:eastAsia="en-GB"/>
        </w:rPr>
      </w:pPr>
      <w:r>
        <w:rPr>
          <w:b/>
          <w:bCs/>
          <w:lang w:val="en-GB" w:eastAsia="en-GB"/>
        </w:rPr>
        <w:t>Editorial corrections which can be added. Question is whether formulation could be improved.</w:t>
      </w:r>
    </w:p>
    <w:p>
      <w:pPr>
        <w:pStyle w:val="113"/>
        <w:ind w:left="0" w:firstLine="0"/>
        <w:rPr>
          <w:lang w:val="en-US"/>
        </w:rPr>
      </w:pPr>
    </w:p>
    <w:p>
      <w:pPr>
        <w:pStyle w:val="113"/>
        <w:ind w:left="0" w:firstLine="0"/>
        <w:rPr>
          <w:lang w:val="en-US"/>
        </w:rPr>
      </w:pPr>
      <w:r>
        <w:rPr>
          <w:b/>
          <w:bCs/>
          <w:szCs w:val="24"/>
        </w:rPr>
        <w:t>Q</w:t>
      </w:r>
      <w:r>
        <w:rPr>
          <w:b/>
          <w:bCs/>
          <w:szCs w:val="24"/>
          <w:lang w:val="en-US"/>
        </w:rPr>
        <w:t>8</w:t>
      </w:r>
      <w:r>
        <w:rPr>
          <w:b/>
          <w:bCs/>
          <w:szCs w:val="24"/>
        </w:rPr>
        <w:t xml:space="preserve">: Please give </w:t>
      </w:r>
      <w:r>
        <w:rPr>
          <w:b/>
          <w:bCs/>
          <w:szCs w:val="24"/>
          <w:lang w:val="en-US"/>
        </w:rPr>
        <w:t>any suggestions to improve the proposed text?</w:t>
      </w:r>
    </w:p>
    <w:tbl>
      <w:tblPr>
        <w:tblStyle w:val="51"/>
        <w:tblW w:w="9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Not essential.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MediaTek</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We agree as it could be beneficial. The final text might need to be finalized though.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pStyle w:val="113"/>
        <w:ind w:left="0" w:firstLine="0"/>
        <w:rPr>
          <w:lang w:val="en-US"/>
        </w:rPr>
      </w:pPr>
    </w:p>
    <w:p>
      <w:pPr>
        <w:pStyle w:val="113"/>
        <w:rPr>
          <w:lang w:val="en-GB" w:eastAsia="en-GB"/>
        </w:rPr>
      </w:pPr>
    </w:p>
    <w:p>
      <w:pPr>
        <w:pStyle w:val="172"/>
      </w:pPr>
      <w:r>
        <w:fldChar w:fldCharType="begin"/>
      </w:r>
      <w:r>
        <w:instrText xml:space="preserve"> HYPERLINK "file:///C:\\Data\\3GPP\\Extracts\\R2-2210570%20CR%20corrections%20for%2038331.docx" \o "C:Data3GPPExtractsR2-2210570 CR corrections for 38331.docx" </w:instrText>
      </w:r>
      <w:r>
        <w:fldChar w:fldCharType="separate"/>
      </w:r>
      <w:r>
        <w:rPr>
          <w:rStyle w:val="58"/>
        </w:rPr>
        <w:t>R2-2210570</w:t>
      </w:r>
      <w:r>
        <w:rPr>
          <w:rStyle w:val="58"/>
        </w:rPr>
        <w:fldChar w:fldCharType="end"/>
      </w:r>
      <w:r>
        <w:tab/>
      </w:r>
      <w:r>
        <w:t>Corrections to TS 38.331 for Rel-17 NR NTN</w:t>
      </w:r>
      <w:r>
        <w:tab/>
      </w:r>
      <w:r>
        <w:t>Samsung Research America</w:t>
      </w:r>
      <w:r>
        <w:tab/>
      </w:r>
      <w:r>
        <w:t>CR</w:t>
      </w:r>
      <w:r>
        <w:tab/>
      </w:r>
      <w:r>
        <w:t>Rel-17</w:t>
      </w:r>
      <w:r>
        <w:tab/>
      </w:r>
      <w:r>
        <w:t>38.331</w:t>
      </w:r>
      <w:r>
        <w:tab/>
      </w:r>
      <w:r>
        <w:t>17.2.0</w:t>
      </w:r>
      <w:r>
        <w:tab/>
      </w:r>
      <w:r>
        <w:t>3554</w:t>
      </w:r>
      <w:r>
        <w:tab/>
      </w:r>
      <w:r>
        <w:t>-</w:t>
      </w:r>
      <w:r>
        <w:tab/>
      </w:r>
      <w:r>
        <w:t>F</w:t>
      </w:r>
      <w:r>
        <w:tab/>
      </w:r>
      <w:r>
        <w:t>NR_NTN_solutions-Core</w:t>
      </w:r>
    </w:p>
    <w:p>
      <w:pPr>
        <w:pStyle w:val="113"/>
        <w:ind w:left="0" w:firstLine="0"/>
        <w:rPr>
          <w:lang w:val="en-US"/>
        </w:rPr>
      </w:pPr>
    </w:p>
    <w:p>
      <w:pPr>
        <w:pStyle w:val="113"/>
        <w:ind w:left="0" w:firstLine="0"/>
        <w:rPr>
          <w:lang w:val="en-US"/>
        </w:rPr>
      </w:pPr>
      <w:r>
        <w:rPr>
          <w:b/>
          <w:bCs/>
          <w:szCs w:val="24"/>
        </w:rPr>
        <w:t>Q</w:t>
      </w:r>
      <w:r>
        <w:rPr>
          <w:b/>
          <w:bCs/>
          <w:szCs w:val="24"/>
          <w:lang w:val="en-US"/>
        </w:rPr>
        <w:t>8</w:t>
      </w:r>
      <w:r>
        <w:rPr>
          <w:b/>
          <w:bCs/>
          <w:szCs w:val="24"/>
        </w:rPr>
        <w:t>: Please give your view</w:t>
      </w:r>
      <w:r>
        <w:rPr>
          <w:b/>
          <w:bCs/>
          <w:szCs w:val="24"/>
          <w:lang w:val="en-US"/>
        </w:rPr>
        <w:t xml:space="preserve"> whether support CR R2-2210570?</w:t>
      </w:r>
    </w:p>
    <w:tbl>
      <w:tblPr>
        <w:tblStyle w:val="51"/>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pPr>
            <w:r>
              <w:rPr>
                <w:lang w:val="fi-FI"/>
              </w:rPr>
              <w:t>Ya/no</w:t>
            </w:r>
          </w:p>
        </w:tc>
        <w:tc>
          <w:tcPr>
            <w:tcW w:w="846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417" w:right="57"/>
              <w:jc w:val="left"/>
              <w:rPr>
                <w:lang w:val="fi-FI"/>
              </w:rPr>
            </w:pPr>
            <w:r>
              <w:rPr>
                <w:lang w:val="fi-FI"/>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 xml:space="preserve">Yes </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Except the second change can be implemented by replacing “serving cell” with “</w:t>
            </w:r>
            <w:r>
              <w:rPr>
                <w:iCs/>
              </w:rPr>
              <w:t>target SpCell</w:t>
            </w:r>
            <w:r>
              <w:rPr>
                <w:rFonts w:eastAsia="宋体"/>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en-US" w:eastAsia="zh-CN"/>
              </w:rPr>
            </w:pPr>
            <w:r>
              <w:rPr>
                <w:rFonts w:eastAsia="宋体"/>
                <w:lang w:val="en-US" w:eastAsia="zh-CN"/>
              </w:rPr>
              <w:t xml:space="preserve"> We don’t need to do first change. For second change, we 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fi-FI" w:eastAsia="zh-CN"/>
              </w:rPr>
            </w:pPr>
            <w:r>
              <w:rPr>
                <w:rFonts w:eastAsia="宋体"/>
                <w:lang w:val="fi-FI" w:eastAsia="zh-CN"/>
              </w:rPr>
              <w:t>Partially Yes</w:t>
            </w: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宋体"/>
                <w:lang w:val="fi-FI" w:eastAsia="zh-CN"/>
              </w:rPr>
            </w:pPr>
            <w:r>
              <w:rPr>
                <w:rFonts w:eastAsia="宋体"/>
                <w:lang w:val="fi-FI" w:eastAsia="zh-CN"/>
              </w:rPr>
              <w:t xml:space="preserve"> Agree with Qualcomm that the first change is not needed. The original text seems better. However, the second change could be agreed with Ericsson’s suggestions.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fi-FI" w:eastAsia="zh-CN" w:bidi="ar-SA"/>
              </w:rPr>
            </w:pPr>
            <w:bookmarkStart w:id="13" w:name="_GoBack" w:colFirst="0" w:colLast="2"/>
            <w:r>
              <w:rPr>
                <w:rFonts w:hint="eastAsia" w:eastAsia="宋体"/>
                <w:lang w:val="fi-FI"/>
              </w:rPr>
              <w:t>X</w:t>
            </w:r>
            <w:r>
              <w:rPr>
                <w:rFonts w:eastAsia="宋体"/>
                <w:lang w:val="fi-FI"/>
              </w:rPr>
              <w:t>iaomi</w:t>
            </w:r>
          </w:p>
        </w:tc>
        <w:tc>
          <w:tcPr>
            <w:tcW w:w="1394" w:type="dxa"/>
            <w:tcBorders>
              <w:top w:val="single" w:color="auto" w:sz="4" w:space="0"/>
              <w:left w:val="single" w:color="auto" w:sz="4" w:space="0"/>
              <w:bottom w:val="single" w:color="auto" w:sz="4" w:space="0"/>
              <w:right w:val="single" w:color="auto" w:sz="4" w:space="0"/>
            </w:tcBorders>
            <w:vAlign w:val="top"/>
          </w:tcPr>
          <w:p>
            <w:pPr>
              <w:pStyle w:val="79"/>
              <w:spacing w:before="20" w:after="20"/>
              <w:ind w:left="57" w:leftChars="0" w:right="57" w:rightChars="0"/>
              <w:jc w:val="left"/>
              <w:rPr>
                <w:rFonts w:ascii="Arial" w:hAnsi="Arial" w:eastAsia="宋体" w:cstheme="minorBidi"/>
                <w:sz w:val="18"/>
                <w:szCs w:val="22"/>
                <w:lang w:val="fi-FI" w:eastAsia="zh-CN" w:bidi="ar-SA"/>
              </w:rPr>
            </w:pPr>
            <w:r>
              <w:rPr>
                <w:rFonts w:hint="eastAsia" w:eastAsia="宋体"/>
                <w:lang w:val="fi-FI"/>
              </w:rPr>
              <w:t>Y</w:t>
            </w:r>
            <w:r>
              <w:rPr>
                <w:rFonts w:eastAsia="宋体"/>
                <w:lang w:val="fi-FI"/>
              </w:rPr>
              <w:t>es</w:t>
            </w:r>
          </w:p>
        </w:tc>
        <w:tc>
          <w:tcPr>
            <w:tcW w:w="8468" w:type="dxa"/>
            <w:tcBorders>
              <w:top w:val="single" w:color="auto" w:sz="4" w:space="0"/>
              <w:left w:val="single" w:color="auto" w:sz="4" w:space="0"/>
              <w:bottom w:val="single" w:color="auto" w:sz="4" w:space="0"/>
              <w:right w:val="single" w:color="auto" w:sz="4" w:space="0"/>
            </w:tcBorders>
            <w:vAlign w:val="top"/>
          </w:tcPr>
          <w:p>
            <w:pPr>
              <w:pStyle w:val="79"/>
              <w:spacing w:before="20" w:after="20"/>
              <w:ind w:right="57" w:rightChars="0"/>
              <w:jc w:val="left"/>
              <w:rPr>
                <w:rFonts w:ascii="Arial" w:hAnsi="Arial" w:eastAsia="宋体" w:cstheme="minorBidi"/>
                <w:sz w:val="18"/>
                <w:szCs w:val="22"/>
                <w:lang w:val="fi-FI" w:eastAsia="zh-CN" w:bidi="ar-SA"/>
              </w:rPr>
            </w:pPr>
            <w:r>
              <w:rPr>
                <w:rFonts w:eastAsia="宋体"/>
                <w:lang w:val="fi-FI"/>
              </w:rPr>
              <w:t>Agree with Ericsson on the second change.</w:t>
            </w:r>
          </w:p>
        </w:tc>
      </w:tr>
      <w:bookmarkEnd w:id="1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pStyle w:val="113"/>
        <w:ind w:left="0" w:firstLine="0"/>
        <w:rPr>
          <w:lang w:val="en-US"/>
        </w:rPr>
      </w:pPr>
    </w:p>
    <w:p>
      <w:pPr>
        <w:pStyle w:val="113"/>
        <w:ind w:left="0" w:firstLine="0"/>
        <w:rPr>
          <w:lang w:val="en-US"/>
        </w:rPr>
      </w:pPr>
    </w:p>
    <w:p>
      <w:pPr>
        <w:pStyle w:val="113"/>
        <w:rPr>
          <w:lang w:val="en-GB" w:eastAsia="en-GB"/>
        </w:rPr>
      </w:pPr>
    </w:p>
    <w:p>
      <w:pPr>
        <w:pStyle w:val="113"/>
        <w:rPr>
          <w:lang w:val="en-GB" w:eastAsia="en-GB"/>
        </w:rPr>
      </w:pPr>
    </w:p>
    <w:p>
      <w:pPr>
        <w:pStyle w:val="113"/>
        <w:ind w:left="0" w:firstLine="0"/>
        <w:rPr>
          <w:lang w:val="en-US"/>
        </w:rPr>
      </w:pPr>
    </w:p>
    <w:p>
      <w:pPr>
        <w:pStyle w:val="113"/>
        <w:ind w:left="0" w:firstLine="0"/>
        <w:rPr>
          <w:lang w:val="en-US"/>
        </w:rPr>
      </w:pPr>
    </w:p>
    <w:bookmarkEnd w:id="0"/>
    <w:bookmarkEnd w:id="1"/>
    <w:bookmarkEnd w:id="2"/>
    <w:p>
      <w:pPr>
        <w:rPr>
          <w:b/>
          <w:bCs/>
        </w:rPr>
      </w:pPr>
      <w:r>
        <w:rPr>
          <w:b/>
          <w:bCs/>
        </w:rPr>
        <w:t>Conclusion:</w:t>
      </w:r>
    </w:p>
    <w:p>
      <w:pPr>
        <w:rPr>
          <w:rFonts w:eastAsia="宋体"/>
        </w:rPr>
      </w:pPr>
    </w:p>
    <w:p>
      <w:pPr>
        <w:pStyle w:val="113"/>
        <w:ind w:left="0" w:firstLine="0"/>
        <w:rPr>
          <w:lang w:val="en-US"/>
        </w:rPr>
      </w:pPr>
    </w:p>
    <w:p>
      <w:pPr>
        <w:pStyle w:val="2"/>
        <w:numPr>
          <w:ilvl w:val="0"/>
          <w:numId w:val="17"/>
        </w:numPr>
        <w:pBdr>
          <w:top w:val="single" w:color="auto" w:sz="12" w:space="3"/>
        </w:pBdr>
        <w:tabs>
          <w:tab w:val="clear" w:pos="432"/>
        </w:tabs>
        <w:overflowPunct/>
        <w:autoSpaceDE/>
        <w:autoSpaceDN/>
        <w:adjustRightInd/>
        <w:spacing w:line="259" w:lineRule="auto"/>
        <w:ind w:left="1134" w:hanging="1134"/>
        <w:jc w:val="both"/>
        <w:textAlignment w:val="auto"/>
        <w:rPr>
          <w:lang w:val="en-US"/>
        </w:rPr>
      </w:pPr>
      <w:r>
        <w:rPr>
          <w:rFonts w:eastAsia="宋体"/>
        </w:rPr>
        <w:t>Conclusion</w:t>
      </w:r>
    </w:p>
    <w:p>
      <w:pPr>
        <w:pStyle w:val="15"/>
        <w:rPr>
          <w:b/>
        </w:rPr>
      </w:pPr>
      <w:r>
        <w:t>TBA</w:t>
      </w:r>
    </w:p>
    <w:p>
      <w:pPr>
        <w:pStyle w:val="2"/>
        <w:numPr>
          <w:ilvl w:val="0"/>
          <w:numId w:val="17"/>
        </w:numPr>
        <w:pBdr>
          <w:top w:val="single" w:color="auto" w:sz="12" w:space="3"/>
        </w:pBdr>
        <w:tabs>
          <w:tab w:val="clear" w:pos="432"/>
        </w:tabs>
        <w:overflowPunct/>
        <w:autoSpaceDE/>
        <w:autoSpaceDN/>
        <w:adjustRightInd/>
        <w:spacing w:line="259" w:lineRule="auto"/>
        <w:ind w:left="1134" w:hanging="1134"/>
        <w:jc w:val="both"/>
        <w:textAlignment w:val="auto"/>
        <w:rPr>
          <w:lang w:val="en-US"/>
        </w:rPr>
      </w:pPr>
      <w:bookmarkStart w:id="8" w:name="_In-sequence_SDU_delivery"/>
      <w:bookmarkEnd w:id="8"/>
      <w:r>
        <w:rPr>
          <w:lang w:val="en-US"/>
        </w:rPr>
        <w:tab/>
      </w:r>
      <w:r>
        <w:rPr>
          <w:rFonts w:eastAsia="宋体"/>
        </w:rPr>
        <w:t>References</w:t>
      </w:r>
    </w:p>
    <w:p>
      <w:pPr>
        <w:pStyle w:val="67"/>
        <w:rPr>
          <w:lang w:eastAsia="ja-JP"/>
        </w:rPr>
      </w:pPr>
      <w:bookmarkStart w:id="9" w:name="_Ref42716514"/>
      <w:bookmarkStart w:id="10" w:name="_Ref189809556"/>
      <w:bookmarkStart w:id="11" w:name="_Ref45286859"/>
      <w:bookmarkStart w:id="12" w:name="_Ref174151459"/>
      <w:r>
        <w:t>RP-201256, “</w:t>
      </w:r>
      <w:r>
        <w:rPr>
          <w:rFonts w:eastAsia="Batang" w:cs="Arial"/>
        </w:rPr>
        <w:t>Solutions for NR to support non-terrestrial networks (NTN),</w:t>
      </w:r>
      <w:r>
        <w:t>” 3GPP TSG RAN #88e, June 20</w:t>
      </w:r>
      <w:bookmarkEnd w:id="9"/>
      <w:r>
        <w:t>20.</w:t>
      </w:r>
      <w:bookmarkEnd w:id="10"/>
      <w:bookmarkEnd w:id="11"/>
      <w:bookmarkEnd w:id="12"/>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Calibri Light">
    <w:panose1 w:val="020F03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13</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2">
    <w:nsid w:val="02552047"/>
    <w:multiLevelType w:val="multilevel"/>
    <w:tmpl w:val="02552047"/>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0501E44"/>
    <w:multiLevelType w:val="multilevel"/>
    <w:tmpl w:val="30501E44"/>
    <w:lvl w:ilvl="0" w:tentative="0">
      <w:start w:val="1"/>
      <w:numFmt w:val="decimal"/>
      <w:pStyle w:val="176"/>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D411AF3"/>
    <w:multiLevelType w:val="multilevel"/>
    <w:tmpl w:val="3D411AF3"/>
    <w:lvl w:ilvl="0" w:tentative="0">
      <w:start w:val="1"/>
      <w:numFmt w:val="decimal"/>
      <w:lvlText w:val="%1."/>
      <w:lvlJc w:val="left"/>
      <w:pPr>
        <w:ind w:left="820" w:hanging="360"/>
      </w:pPr>
      <w:rPr>
        <w:rFonts w:hint="default"/>
      </w:r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0A556B7"/>
    <w:multiLevelType w:val="multilevel"/>
    <w:tmpl w:val="60A556B7"/>
    <w:lvl w:ilvl="0" w:tentative="0">
      <w:start w:val="1"/>
      <w:numFmt w:val="decimal"/>
      <w:pStyle w:val="7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8FA7338"/>
    <w:multiLevelType w:val="multilevel"/>
    <w:tmpl w:val="78FA7338"/>
    <w:lvl w:ilvl="0" w:tentative="0">
      <w:start w:val="1"/>
      <w:numFmt w:val="decimal"/>
      <w:pStyle w:val="15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8">
    <w:nsid w:val="7BC330F5"/>
    <w:multiLevelType w:val="multilevel"/>
    <w:tmpl w:val="7BC330F5"/>
    <w:lvl w:ilvl="0" w:tentative="0">
      <w:start w:val="1"/>
      <w:numFmt w:val="bullet"/>
      <w:pStyle w:val="183"/>
      <w:lvlText w:val=""/>
      <w:lvlJc w:val="left"/>
      <w:pPr>
        <w:tabs>
          <w:tab w:val="left" w:pos="851"/>
        </w:tabs>
        <w:ind w:left="851" w:hanging="851"/>
      </w:pPr>
      <w:rPr>
        <w:rFonts w:hint="default" w:ascii="Calibri Light" w:hAnsi="Calibri Light"/>
        <w:b/>
        <w:i w:val="0"/>
        <w:color w:val="70CEF5"/>
        <w:sz w:val="20"/>
        <w:szCs w:val="20"/>
      </w:rPr>
    </w:lvl>
    <w:lvl w:ilvl="1" w:tentative="0">
      <w:start w:val="1"/>
      <w:numFmt w:val="bullet"/>
      <w:lvlText w:val="o"/>
      <w:lvlJc w:val="left"/>
      <w:pPr>
        <w:tabs>
          <w:tab w:val="left" w:pos="1440"/>
        </w:tabs>
        <w:ind w:left="1440" w:hanging="360"/>
      </w:pPr>
      <w:rPr>
        <w:rFonts w:hint="default" w:ascii="inherit" w:hAnsi="inherit" w:cs="inherit"/>
      </w:rPr>
    </w:lvl>
    <w:lvl w:ilvl="2" w:tentative="0">
      <w:start w:val="1"/>
      <w:numFmt w:val="bullet"/>
      <w:lvlText w:val=""/>
      <w:lvlJc w:val="left"/>
      <w:pPr>
        <w:tabs>
          <w:tab w:val="left" w:pos="2160"/>
        </w:tabs>
        <w:ind w:left="2160" w:hanging="360"/>
      </w:pPr>
      <w:rPr>
        <w:rFonts w:hint="default" w:ascii="inherit" w:hAnsi="inheri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inherit" w:hAnsi="inherit" w:cs="inherit"/>
      </w:rPr>
    </w:lvl>
    <w:lvl w:ilvl="5" w:tentative="0">
      <w:start w:val="1"/>
      <w:numFmt w:val="bullet"/>
      <w:lvlText w:val=""/>
      <w:lvlJc w:val="left"/>
      <w:pPr>
        <w:tabs>
          <w:tab w:val="left" w:pos="4320"/>
        </w:tabs>
        <w:ind w:left="4320" w:hanging="360"/>
      </w:pPr>
      <w:rPr>
        <w:rFonts w:hint="default" w:ascii="inherit" w:hAnsi="inheri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inherit" w:hAnsi="inherit" w:cs="inherit"/>
      </w:rPr>
    </w:lvl>
    <w:lvl w:ilvl="8" w:tentative="0">
      <w:start w:val="1"/>
      <w:numFmt w:val="bullet"/>
      <w:lvlText w:val=""/>
      <w:lvlJc w:val="left"/>
      <w:pPr>
        <w:tabs>
          <w:tab w:val="left" w:pos="6480"/>
        </w:tabs>
        <w:ind w:left="6480" w:hanging="360"/>
      </w:pPr>
      <w:rPr>
        <w:rFonts w:hint="default" w:ascii="inherit" w:hAnsi="inherit"/>
      </w:rPr>
    </w:lvl>
  </w:abstractNum>
  <w:num w:numId="1">
    <w:abstractNumId w:val="14"/>
  </w:num>
  <w:num w:numId="2">
    <w:abstractNumId w:val="7"/>
  </w:num>
  <w:num w:numId="3">
    <w:abstractNumId w:val="3"/>
  </w:num>
  <w:num w:numId="4">
    <w:abstractNumId w:val="5"/>
  </w:num>
  <w:num w:numId="5">
    <w:abstractNumId w:val="4"/>
  </w:num>
  <w:num w:numId="6">
    <w:abstractNumId w:val="12"/>
  </w:num>
  <w:num w:numId="7">
    <w:abstractNumId w:val="0"/>
  </w:num>
  <w:num w:numId="8">
    <w:abstractNumId w:val="16"/>
  </w:num>
  <w:num w:numId="9">
    <w:abstractNumId w:val="9"/>
  </w:num>
  <w:num w:numId="10">
    <w:abstractNumId w:val="13"/>
  </w:num>
  <w:num w:numId="11">
    <w:abstractNumId w:val="10"/>
  </w:num>
  <w:num w:numId="12">
    <w:abstractNumId w:val="11"/>
  </w:num>
  <w:num w:numId="13">
    <w:abstractNumId w:val="17"/>
  </w:num>
  <w:num w:numId="14">
    <w:abstractNumId w:val="6"/>
  </w:num>
  <w:num w:numId="15">
    <w:abstractNumId w:val="15"/>
  </w:num>
  <w:num w:numId="16">
    <w:abstractNumId w:val="18"/>
  </w:num>
  <w:num w:numId="17">
    <w:abstractNumId w:val="2"/>
  </w:num>
  <w:num w:numId="18">
    <w:abstractNumId w:val="1"/>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636"/>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D7CA6"/>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0E1"/>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23B"/>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88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 w:val="080242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68"/>
    <w:qFormat/>
    <w:uiPriority w:val="0"/>
    <w:pPr>
      <w:keepNext/>
      <w:keepLines/>
      <w:overflowPunct w:val="0"/>
      <w:autoSpaceDE w:val="0"/>
      <w:autoSpaceDN w:val="0"/>
      <w:adjustRightInd w:val="0"/>
      <w:spacing w:before="240" w:after="180"/>
      <w:textAlignment w:val="baseline"/>
      <w:outlineLvl w:val="0"/>
    </w:pPr>
    <w:rPr>
      <w:rFonts w:ascii="Arial" w:hAnsi="Arial" w:cs="Arial" w:eastAsiaTheme="minorEastAsia"/>
      <w:sz w:val="36"/>
      <w:szCs w:val="36"/>
      <w:lang w:val="en-GB" w:eastAsia="zh-CN" w:bidi="ar-SA"/>
    </w:rPr>
  </w:style>
  <w:style w:type="paragraph" w:styleId="3">
    <w:name w:val="heading 2"/>
    <w:basedOn w:val="2"/>
    <w:next w:val="1"/>
    <w:link w:val="124"/>
    <w:qFormat/>
    <w:uiPriority w:val="0"/>
    <w:pPr>
      <w:spacing w:before="180"/>
      <w:outlineLvl w:val="1"/>
    </w:pPr>
    <w:rPr>
      <w:sz w:val="32"/>
      <w:szCs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link w:val="156"/>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0"/>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qFormat/>
    <w:uiPriority w:val="99"/>
    <w:pPr>
      <w:tabs>
        <w:tab w:val="left" w:pos="1247"/>
        <w:tab w:val="left" w:pos="2552"/>
        <w:tab w:val="left" w:pos="3856"/>
        <w:tab w:val="left" w:pos="5216"/>
        <w:tab w:val="left" w:pos="6464"/>
        <w:tab w:val="left" w:pos="7768"/>
      </w:tabs>
      <w:spacing w:after="240"/>
    </w:pPr>
    <w:rPr>
      <w:rFonts w:ascii="Calibri" w:hAnsi="Calibri" w:cs="Calibri"/>
      <w:szCs w:val="24"/>
      <w:lang w:eastAsia="ko-KR"/>
    </w:rPr>
  </w:style>
  <w:style w:type="paragraph" w:styleId="48">
    <w:name w:val="index 1"/>
    <w:basedOn w:val="1"/>
    <w:next w:val="1"/>
    <w:qFormat/>
    <w:uiPriority w:val="0"/>
    <w:pPr>
      <w:keepLines/>
    </w:pPr>
  </w:style>
  <w:style w:type="paragraph" w:styleId="49">
    <w:name w:val="index 2"/>
    <w:basedOn w:val="48"/>
    <w:next w:val="1"/>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cs="Arial"/>
      <w:sz w:val="36"/>
      <w:szCs w:val="36"/>
      <w:lang w:eastAsia="zh-CN"/>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
    <w:link w:val="169"/>
    <w:qFormat/>
    <w:uiPriority w:val="0"/>
    <w:pPr>
      <w:numPr>
        <w:ilvl w:val="0"/>
        <w:numId w:val="10"/>
      </w:numPr>
      <w:spacing w:after="180"/>
      <w:ind w:left="360" w:hanging="360"/>
    </w:pPr>
    <w:rPr>
      <w:rFonts w:ascii="Times New Roman" w:hAnsi="Times New Roman" w:eastAsia="Batang" w:cs="Times New Roman"/>
      <w:b/>
      <w:sz w:val="20"/>
      <w:szCs w:val="20"/>
      <w:lang w:val="en-GB"/>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link w:val="165"/>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eastAsiaTheme="minorHAnsi"/>
      <w:sz w:val="18"/>
      <w:szCs w:val="18"/>
      <w:lang w:val="fi-FI" w:eastAsia="en-US"/>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cstheme="minorBidi"/>
      <w:sz w:val="22"/>
      <w:szCs w:val="22"/>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74"/>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heme="minorHAnsi" w:hAnsiTheme="minorHAnsi" w:eastAsiaTheme="minorHAnsi" w:cstheme="minorBidi"/>
      <w:sz w:val="16"/>
      <w:szCs w:val="22"/>
      <w:lang w:val="fi-FI" w:eastAsia="en-US"/>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cs="Arial"/>
      <w:sz w:val="32"/>
      <w:szCs w:val="32"/>
      <w:lang w:eastAsia="zh-CN"/>
    </w:rPr>
  </w:style>
  <w:style w:type="character" w:customStyle="1" w:styleId="125">
    <w:name w:val="Heading 3 Char"/>
    <w:link w:val="4"/>
    <w:qFormat/>
    <w:uiPriority w:val="0"/>
    <w:rPr>
      <w:rFonts w:ascii="Arial" w:hAnsi="Arial" w:cs="Arial"/>
      <w:sz w:val="28"/>
      <w:szCs w:val="32"/>
      <w:lang w:eastAsia="zh-CN"/>
    </w:rPr>
  </w:style>
  <w:style w:type="character" w:customStyle="1" w:styleId="126">
    <w:name w:val="Heading 4 Char"/>
    <w:link w:val="5"/>
    <w:qFormat/>
    <w:uiPriority w:val="0"/>
    <w:rPr>
      <w:rFonts w:ascii="Arial" w:hAnsi="Arial" w:cs="Arial"/>
      <w:sz w:val="24"/>
      <w:szCs w:val="32"/>
      <w:lang w:eastAsia="zh-CN"/>
    </w:rPr>
  </w:style>
  <w:style w:type="character" w:customStyle="1" w:styleId="127">
    <w:name w:val="Heading 5 Char"/>
    <w:link w:val="6"/>
    <w:qFormat/>
    <w:uiPriority w:val="0"/>
    <w:rPr>
      <w:rFonts w:ascii="Arial" w:hAnsi="Arial" w:cs="Arial"/>
      <w:sz w:val="22"/>
      <w:szCs w:val="32"/>
      <w:lang w:eastAsia="zh-CN"/>
    </w:rPr>
  </w:style>
  <w:style w:type="character" w:customStyle="1" w:styleId="128">
    <w:name w:val="Heading 6 Char"/>
    <w:link w:val="7"/>
    <w:qFormat/>
    <w:uiPriority w:val="0"/>
    <w:rPr>
      <w:rFonts w:ascii="Arial" w:hAnsi="Arial" w:cs="Arial"/>
      <w:szCs w:val="32"/>
      <w:lang w:eastAsia="zh-CN"/>
    </w:rPr>
  </w:style>
  <w:style w:type="character" w:customStyle="1" w:styleId="129">
    <w:name w:val="Heading 7 Char"/>
    <w:link w:val="9"/>
    <w:uiPriority w:val="0"/>
    <w:rPr>
      <w:rFonts w:ascii="Arial" w:hAnsi="Arial" w:cs="Arial"/>
      <w:szCs w:val="32"/>
      <w:lang w:eastAsia="zh-CN"/>
    </w:rPr>
  </w:style>
  <w:style w:type="character" w:customStyle="1" w:styleId="130">
    <w:name w:val="Heading 8 Char"/>
    <w:link w:val="10"/>
    <w:qFormat/>
    <w:uiPriority w:val="0"/>
    <w:rPr>
      <w:rFonts w:ascii="Arial" w:hAnsi="Arial" w:cs="Arial"/>
      <w:sz w:val="36"/>
      <w:szCs w:val="36"/>
      <w:lang w:eastAsia="zh-CN"/>
    </w:rPr>
  </w:style>
  <w:style w:type="character" w:customStyle="1" w:styleId="131">
    <w:name w:val="Heading 9 Char"/>
    <w:link w:val="11"/>
    <w:uiPriority w:val="0"/>
    <w:rPr>
      <w:rFonts w:ascii="Arial" w:hAnsi="Arial" w:cs="Arial"/>
      <w:sz w:val="36"/>
      <w:szCs w:val="36"/>
      <w:lang w:eastAsia="zh-CN"/>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contextualSpacing/>
    </w:pPr>
  </w:style>
  <w:style w:type="character" w:customStyle="1" w:styleId="134">
    <w:name w:val="List Paragraph Char"/>
    <w:link w:val="133"/>
    <w:qFormat/>
    <w:locked/>
    <w:uiPriority w:val="34"/>
    <w:rPr>
      <w:rFonts w:asciiTheme="minorHAnsi" w:hAnsiTheme="minorHAnsi" w:eastAsiaTheme="minorHAnsi" w:cstheme="minorBidi"/>
      <w:sz w:val="22"/>
      <w:szCs w:val="22"/>
      <w:lang w:val="en-US" w:eastAsia="en-US"/>
    </w:rPr>
  </w:style>
  <w:style w:type="paragraph" w:customStyle="1" w:styleId="135">
    <w:name w:val="NF"/>
    <w:basedOn w:val="66"/>
    <w:uiPriority w:val="0"/>
    <w:pPr>
      <w:keepNext/>
    </w:pPr>
    <w:rPr>
      <w:rFonts w:ascii="Arial" w:hAnsi="Arial"/>
      <w:sz w:val="18"/>
    </w:rPr>
  </w:style>
  <w:style w:type="paragraph" w:customStyle="1" w:styleId="136">
    <w:name w:val="NW"/>
    <w:basedOn w:val="66"/>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eastAsiaTheme="minorHAnsi" w:cstheme="minorBidi"/>
      <w:sz w:val="18"/>
      <w:szCs w:val="22"/>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cstheme="minorBidi"/>
      <w:sz w:val="18"/>
      <w:szCs w:val="22"/>
      <w:lang w:val="zh-CN" w:eastAsia="zh-CN"/>
    </w:rPr>
  </w:style>
  <w:style w:type="character" w:customStyle="1" w:styleId="146">
    <w:name w:val="TF Char"/>
    <w:link w:val="84"/>
    <w:uiPriority w:val="0"/>
    <w:rPr>
      <w:rFonts w:ascii="Arial" w:hAnsi="Arial"/>
      <w:b/>
      <w:lang w:val="zh-CN" w:eastAsia="zh-CN"/>
    </w:rPr>
  </w:style>
  <w:style w:type="table" w:customStyle="1" w:styleId="147">
    <w:name w:val="Grid Table 1 Light"/>
    <w:basedOn w:val="51"/>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8">
    <w:name w:val="Revision"/>
    <w:hidden/>
    <w:semiHidden/>
    <w:uiPriority w:val="99"/>
    <w:rPr>
      <w:rFonts w:asciiTheme="minorHAnsi" w:hAnsiTheme="minorHAnsi" w:eastAsiaTheme="minorHAnsi" w:cstheme="minorBidi"/>
      <w:sz w:val="22"/>
      <w:szCs w:val="22"/>
      <w:lang w:val="sv-SE" w:eastAsia="en-US" w:bidi="ar-SA"/>
    </w:rPr>
  </w:style>
  <w:style w:type="character" w:customStyle="1" w:styleId="149">
    <w:name w:val="未处理的提及1"/>
    <w:basedOn w:val="53"/>
    <w:unhideWhenUsed/>
    <w:uiPriority w:val="99"/>
    <w:rPr>
      <w:color w:val="605E5C"/>
      <w:shd w:val="clear" w:color="auto" w:fill="E1DFDD"/>
    </w:rPr>
  </w:style>
  <w:style w:type="character" w:customStyle="1" w:styleId="150">
    <w:name w:val="@他1"/>
    <w:basedOn w:val="53"/>
    <w:unhideWhenUsed/>
    <w:qFormat/>
    <w:uiPriority w:val="99"/>
    <w:rPr>
      <w:color w:val="2B579A"/>
      <w:shd w:val="clear" w:color="auto" w:fill="E1DFDD"/>
    </w:rPr>
  </w:style>
  <w:style w:type="paragraph" w:customStyle="1" w:styleId="151">
    <w:name w:val="Comments"/>
    <w:basedOn w:val="133"/>
    <w:link w:val="152"/>
    <w:qFormat/>
    <w:uiPriority w:val="0"/>
    <w:pPr>
      <w:numPr>
        <w:ilvl w:val="0"/>
        <w:numId w:val="13"/>
      </w:numPr>
    </w:pPr>
    <w:rPr>
      <w:rFonts w:ascii="Arial Narrow" w:hAnsi="Arial Narrow"/>
      <w:color w:val="843C0B" w:themeColor="accent2" w:themeShade="80"/>
    </w:rPr>
  </w:style>
  <w:style w:type="character" w:customStyle="1" w:styleId="152">
    <w:name w:val="Comments Char"/>
    <w:basedOn w:val="53"/>
    <w:link w:val="151"/>
    <w:uiPriority w:val="0"/>
    <w:rPr>
      <w:rFonts w:ascii="Arial Narrow" w:hAnsi="Arial Narrow" w:eastAsiaTheme="minorHAnsi" w:cstheme="minorBidi"/>
      <w:color w:val="843C0B" w:themeColor="accent2" w:themeShade="80"/>
      <w:sz w:val="22"/>
      <w:szCs w:val="22"/>
      <w:lang w:val="en-US" w:eastAsia="en-US"/>
    </w:rPr>
  </w:style>
  <w:style w:type="paragraph" w:customStyle="1" w:styleId="153">
    <w:name w:val="IvD bodytext"/>
    <w:basedOn w:val="15"/>
    <w:link w:val="154"/>
    <w:qFormat/>
    <w:uiPriority w:val="0"/>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154">
    <w:name w:val="IvD bodytext Char"/>
    <w:basedOn w:val="53"/>
    <w:link w:val="153"/>
    <w:uiPriority w:val="0"/>
    <w:rPr>
      <w:rFonts w:ascii="Arial" w:hAnsi="Arial"/>
      <w:spacing w:val="2"/>
      <w:lang w:val="fi-FI" w:eastAsia="en-US"/>
    </w:rPr>
  </w:style>
  <w:style w:type="paragraph" w:customStyle="1" w:styleId="155">
    <w:name w:val="null"/>
    <w:basedOn w:val="1"/>
    <w:uiPriority w:val="0"/>
    <w:pPr>
      <w:spacing w:before="100" w:beforeAutospacing="1" w:after="100" w:afterAutospacing="1"/>
    </w:pPr>
    <w:rPr>
      <w:rFonts w:ascii="Calibri" w:hAnsi="Calibri" w:cs="Calibri"/>
    </w:rPr>
  </w:style>
  <w:style w:type="character" w:customStyle="1" w:styleId="156">
    <w:name w:val="Caption Char"/>
    <w:link w:val="29"/>
    <w:uiPriority w:val="0"/>
    <w:rPr>
      <w:rFonts w:asciiTheme="minorHAnsi" w:hAnsiTheme="minorHAnsi" w:eastAsiaTheme="minorHAnsi" w:cstheme="minorBidi"/>
      <w:b/>
      <w:sz w:val="22"/>
      <w:szCs w:val="22"/>
      <w:lang w:val="fi-FI"/>
    </w:rPr>
  </w:style>
  <w:style w:type="character" w:customStyle="1" w:styleId="157">
    <w:name w:val="B1 Char"/>
    <w:qFormat/>
    <w:uiPriority w:val="0"/>
    <w:rPr>
      <w:rFonts w:eastAsia="MS Mincho"/>
      <w:lang w:val="en-GB" w:eastAsia="en-US" w:bidi="ar-SA"/>
    </w:rPr>
  </w:style>
  <w:style w:type="paragraph" w:customStyle="1" w:styleId="158">
    <w:name w:val="Doc-comment"/>
    <w:basedOn w:val="1"/>
    <w:next w:val="113"/>
    <w:qFormat/>
    <w:uiPriority w:val="0"/>
    <w:pPr>
      <w:tabs>
        <w:tab w:val="left" w:pos="1622"/>
      </w:tabs>
      <w:ind w:left="1622" w:hanging="363"/>
    </w:pPr>
    <w:rPr>
      <w:rFonts w:ascii="Arial" w:hAnsi="Arial" w:eastAsia="MS Mincho" w:cs="Times New Roman"/>
      <w:i/>
      <w:sz w:val="20"/>
      <w:lang w:eastAsia="en-GB"/>
    </w:rPr>
  </w:style>
  <w:style w:type="paragraph" w:customStyle="1" w:styleId="159">
    <w:name w:val="TdocHeader"/>
    <w:basedOn w:val="1"/>
    <w:link w:val="160"/>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hAnsi="Arial" w:eastAsia="Times New Roman" w:cs="Times New Roman"/>
      <w:szCs w:val="20"/>
    </w:rPr>
  </w:style>
  <w:style w:type="character" w:customStyle="1" w:styleId="160">
    <w:name w:val="TdocHeader Char"/>
    <w:basedOn w:val="53"/>
    <w:link w:val="159"/>
    <w:qFormat/>
    <w:uiPriority w:val="0"/>
    <w:rPr>
      <w:rFonts w:ascii="Arial" w:hAnsi="Arial"/>
      <w:sz w:val="22"/>
      <w:shd w:val="clear" w:color="auto" w:fill="FBE4D5" w:themeFill="accent2" w:themeFillTint="33"/>
      <w:lang w:eastAsia="en-US"/>
    </w:rPr>
  </w:style>
  <w:style w:type="paragraph" w:customStyle="1" w:styleId="161">
    <w:name w:val="ReviewHeading"/>
    <w:basedOn w:val="2"/>
    <w:link w:val="162"/>
    <w:qFormat/>
    <w:uiPriority w:val="0"/>
  </w:style>
  <w:style w:type="character" w:customStyle="1" w:styleId="162">
    <w:name w:val="ReviewHeading Char"/>
    <w:basedOn w:val="68"/>
    <w:link w:val="161"/>
    <w:uiPriority w:val="0"/>
    <w:rPr>
      <w:rFonts w:ascii="Arial" w:hAnsi="Arial" w:cs="Arial"/>
      <w:sz w:val="36"/>
      <w:szCs w:val="36"/>
      <w:lang w:eastAsia="zh-CN"/>
    </w:rPr>
  </w:style>
  <w:style w:type="character" w:customStyle="1" w:styleId="163">
    <w:name w:val="apple-tab-span"/>
    <w:basedOn w:val="53"/>
    <w:uiPriority w:val="0"/>
  </w:style>
  <w:style w:type="character" w:customStyle="1" w:styleId="164">
    <w:name w:val="TAL Char"/>
    <w:basedOn w:val="53"/>
    <w:locked/>
    <w:uiPriority w:val="0"/>
    <w:rPr>
      <w:rFonts w:ascii="Arial" w:hAnsi="Arial" w:cs="Arial"/>
      <w:lang w:eastAsia="ko-KR"/>
    </w:rPr>
  </w:style>
  <w:style w:type="character" w:customStyle="1" w:styleId="165">
    <w:name w:val="TAC Char"/>
    <w:basedOn w:val="53"/>
    <w:link w:val="79"/>
    <w:qFormat/>
    <w:locked/>
    <w:uiPriority w:val="0"/>
    <w:rPr>
      <w:rFonts w:ascii="Arial" w:hAnsi="Arial" w:eastAsiaTheme="minorHAnsi" w:cstheme="minorBidi"/>
      <w:sz w:val="18"/>
      <w:szCs w:val="22"/>
      <w:lang w:val="zh-CN" w:eastAsia="zh-CN"/>
    </w:rPr>
  </w:style>
  <w:style w:type="character" w:customStyle="1" w:styleId="166">
    <w:name w:val="TAH Char"/>
    <w:basedOn w:val="53"/>
    <w:locked/>
    <w:uiPriority w:val="0"/>
    <w:rPr>
      <w:rFonts w:ascii="Arial" w:hAnsi="Arial" w:cs="Arial"/>
      <w:b/>
      <w:bCs/>
      <w:lang w:eastAsia="ko-KR"/>
    </w:rPr>
  </w:style>
  <w:style w:type="paragraph" w:customStyle="1" w:styleId="167">
    <w:name w:val="font14-underline-title"/>
    <w:basedOn w:val="1"/>
    <w:link w:val="168"/>
    <w:qFormat/>
    <w:uiPriority w:val="0"/>
    <w:rPr>
      <w:color w:val="2F5597" w:themeColor="accent1" w:themeShade="BF"/>
      <w:sz w:val="28"/>
      <w:szCs w:val="28"/>
      <w:u w:val="single"/>
    </w:rPr>
  </w:style>
  <w:style w:type="character" w:customStyle="1" w:styleId="168">
    <w:name w:val="font14-underline-title Char"/>
    <w:basedOn w:val="53"/>
    <w:link w:val="167"/>
    <w:uiPriority w:val="0"/>
    <w:rPr>
      <w:rFonts w:asciiTheme="minorHAnsi" w:hAnsiTheme="minorHAnsi" w:eastAsiaTheme="minorHAnsi" w:cstheme="minorBidi"/>
      <w:color w:val="2F5597" w:themeColor="accent1" w:themeShade="BF"/>
      <w:sz w:val="28"/>
      <w:szCs w:val="28"/>
      <w:u w:val="single"/>
      <w:lang w:val="en-US" w:eastAsia="en-US"/>
    </w:rPr>
  </w:style>
  <w:style w:type="character" w:customStyle="1" w:styleId="169">
    <w:name w:val="Proposal Char"/>
    <w:basedOn w:val="53"/>
    <w:link w:val="73"/>
    <w:uiPriority w:val="0"/>
    <w:rPr>
      <w:rFonts w:ascii="Times New Roman" w:hAnsi="Times New Roman" w:eastAsia="Batang"/>
      <w:b/>
      <w:lang w:eastAsia="en-US"/>
    </w:rPr>
  </w:style>
  <w:style w:type="paragraph" w:customStyle="1" w:styleId="170">
    <w:name w:val="Comment-2"/>
    <w:basedOn w:val="151"/>
    <w:link w:val="171"/>
    <w:qFormat/>
    <w:uiPriority w:val="0"/>
    <w:pPr>
      <w:numPr>
        <w:ilvl w:val="0"/>
        <w:numId w:val="0"/>
      </w:numPr>
      <w:ind w:left="360" w:hanging="360"/>
    </w:pPr>
    <w:rPr>
      <w:color w:val="2F5597" w:themeColor="accent1" w:themeShade="BF"/>
    </w:rPr>
  </w:style>
  <w:style w:type="character" w:customStyle="1" w:styleId="171">
    <w:name w:val="Comment-2 Char"/>
    <w:basedOn w:val="152"/>
    <w:link w:val="170"/>
    <w:uiPriority w:val="0"/>
    <w:rPr>
      <w:rFonts w:ascii="Arial Narrow" w:hAnsi="Arial Narrow" w:eastAsiaTheme="minorHAnsi" w:cstheme="minorBidi"/>
      <w:color w:val="2F5597" w:themeColor="accent1" w:themeShade="BF"/>
      <w:sz w:val="22"/>
      <w:szCs w:val="22"/>
      <w:lang w:val="en-US" w:eastAsia="en-US"/>
    </w:rPr>
  </w:style>
  <w:style w:type="paragraph" w:customStyle="1" w:styleId="172">
    <w:name w:val="Doc-title"/>
    <w:basedOn w:val="1"/>
    <w:next w:val="113"/>
    <w:link w:val="173"/>
    <w:qFormat/>
    <w:uiPriority w:val="0"/>
    <w:pPr>
      <w:spacing w:before="60"/>
      <w:ind w:left="1259" w:hanging="1259"/>
    </w:pPr>
    <w:rPr>
      <w:rFonts w:ascii="Arial" w:hAnsi="Arial" w:eastAsia="MS Mincho" w:cs="Times New Roman"/>
      <w:sz w:val="20"/>
      <w:szCs w:val="24"/>
      <w:lang w:val="en-GB" w:eastAsia="en-GB"/>
    </w:rPr>
  </w:style>
  <w:style w:type="character" w:customStyle="1" w:styleId="173">
    <w:name w:val="Doc-title Char"/>
    <w:link w:val="172"/>
    <w:qFormat/>
    <w:uiPriority w:val="0"/>
    <w:rPr>
      <w:rFonts w:ascii="Arial" w:hAnsi="Arial" w:eastAsia="MS Mincho"/>
      <w:szCs w:val="24"/>
    </w:rPr>
  </w:style>
  <w:style w:type="character" w:customStyle="1" w:styleId="174">
    <w:name w:val="EmailDiscussion Char"/>
    <w:link w:val="118"/>
    <w:uiPriority w:val="0"/>
    <w:rPr>
      <w:rFonts w:ascii="Arial" w:hAnsi="Arial" w:eastAsia="MS Mincho" w:cstheme="minorBidi"/>
      <w:b/>
      <w:sz w:val="22"/>
      <w:szCs w:val="22"/>
    </w:rPr>
  </w:style>
  <w:style w:type="paragraph" w:customStyle="1" w:styleId="175">
    <w:name w:val="EmailDiscussion2"/>
    <w:basedOn w:val="113"/>
    <w:qFormat/>
    <w:uiPriority w:val="0"/>
    <w:rPr>
      <w:rFonts w:cs="Times New Roman"/>
      <w:sz w:val="20"/>
      <w:szCs w:val="24"/>
      <w:lang w:val="en-GB" w:eastAsia="en-GB"/>
    </w:rPr>
  </w:style>
  <w:style w:type="paragraph" w:customStyle="1" w:styleId="176">
    <w:name w:val="Proposal1"/>
    <w:basedOn w:val="1"/>
    <w:qFormat/>
    <w:uiPriority w:val="0"/>
    <w:pPr>
      <w:numPr>
        <w:ilvl w:val="0"/>
        <w:numId w:val="14"/>
      </w:numPr>
      <w:tabs>
        <w:tab w:val="left" w:pos="1620"/>
      </w:tabs>
      <w:spacing w:before="120"/>
      <w:jc w:val="both"/>
    </w:pPr>
    <w:rPr>
      <w:rFonts w:ascii="Calibri" w:hAnsi="Calibri" w:eastAsia="MS Mincho" w:cs="Times New Roman"/>
      <w:b/>
      <w:sz w:val="20"/>
      <w:szCs w:val="20"/>
    </w:rPr>
  </w:style>
  <w:style w:type="character" w:customStyle="1" w:styleId="177">
    <w:name w:val="B1 Zchn"/>
    <w:qFormat/>
    <w:locked/>
    <w:uiPriority w:val="0"/>
    <w:rPr>
      <w:rFonts w:ascii="Arial" w:hAnsi="Arial"/>
      <w:lang w:val="en-GB"/>
    </w:rPr>
  </w:style>
  <w:style w:type="paragraph" w:customStyle="1" w:styleId="178">
    <w:name w:val="Agreement"/>
    <w:basedOn w:val="1"/>
    <w:next w:val="113"/>
    <w:qFormat/>
    <w:uiPriority w:val="0"/>
    <w:pPr>
      <w:numPr>
        <w:ilvl w:val="0"/>
        <w:numId w:val="15"/>
      </w:numPr>
      <w:spacing w:before="60"/>
    </w:pPr>
    <w:rPr>
      <w:rFonts w:ascii="Arial" w:hAnsi="Arial" w:eastAsia="MS Mincho" w:cs="Times New Roman"/>
      <w:b/>
      <w:lang w:val="en-GB" w:eastAsia="en-GB"/>
    </w:rPr>
  </w:style>
  <w:style w:type="character" w:customStyle="1" w:styleId="179">
    <w:name w:val="B3 Char"/>
    <w:qFormat/>
    <w:uiPriority w:val="0"/>
    <w:rPr>
      <w:rFonts w:ascii="Times New Roman" w:hAnsi="Times New Roman"/>
      <w:lang w:val="en-GB" w:eastAsia="en-US"/>
    </w:rPr>
  </w:style>
  <w:style w:type="paragraph" w:customStyle="1" w:styleId="180">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lang w:val="sv-SE" w:eastAsia="ko-KR"/>
    </w:rPr>
  </w:style>
  <w:style w:type="paragraph" w:customStyle="1" w:styleId="181">
    <w:name w:val="ReviewText"/>
    <w:basedOn w:val="1"/>
    <w:link w:val="182"/>
    <w:qFormat/>
    <w:uiPriority w:val="0"/>
    <w:pPr>
      <w:overflowPunct w:val="0"/>
      <w:autoSpaceDE w:val="0"/>
      <w:autoSpaceDN w:val="0"/>
      <w:adjustRightInd w:val="0"/>
      <w:spacing w:after="80"/>
      <w:ind w:left="567"/>
      <w:textAlignment w:val="baseline"/>
    </w:pPr>
    <w:rPr>
      <w:rFonts w:ascii="Arial" w:hAnsi="Arial" w:eastAsia="Times New Roman" w:cs="Times New Roman"/>
      <w:sz w:val="20"/>
      <w:szCs w:val="20"/>
      <w:lang w:val="en-GB"/>
    </w:rPr>
  </w:style>
  <w:style w:type="character" w:customStyle="1" w:styleId="182">
    <w:name w:val="ReviewText Char"/>
    <w:basedOn w:val="53"/>
    <w:link w:val="181"/>
    <w:uiPriority w:val="0"/>
    <w:rPr>
      <w:rFonts w:ascii="Arial" w:hAnsi="Arial" w:eastAsia="Times New Roman"/>
      <w:lang w:eastAsia="zh-CN"/>
    </w:rPr>
  </w:style>
  <w:style w:type="paragraph" w:customStyle="1" w:styleId="183">
    <w:name w:val="Char Char Char Char Char Char Char Char Char Char Char Char Char Char1 Char Char Char Char Char Char Char Char"/>
    <w:semiHidden/>
    <w:qFormat/>
    <w:uiPriority w:val="0"/>
    <w:pPr>
      <w:keepNext/>
      <w:numPr>
        <w:ilvl w:val="0"/>
        <w:numId w:val="16"/>
      </w:numPr>
      <w:tabs>
        <w:tab w:val="left" w:pos="510"/>
        <w:tab w:val="clear" w:pos="851"/>
      </w:tabs>
      <w:autoSpaceDE w:val="0"/>
      <w:autoSpaceDN w:val="0"/>
      <w:adjustRightInd w:val="0"/>
      <w:spacing w:before="60" w:after="60"/>
      <w:ind w:left="510" w:hanging="510"/>
      <w:jc w:val="both"/>
    </w:pPr>
    <w:rPr>
      <w:rFonts w:ascii="inherit" w:hAnsi="inherit" w:eastAsia="Arial" w:cs="inherit"/>
      <w:color w:val="0000FF"/>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D7F2F51-DBDB-41F7-A2ED-72F76ACBCBB4}">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17FFE34A-ADC2-4B3D-8B1D-A37036DC8D2B}">
  <ds:schemaRefs/>
</ds:datastoreItem>
</file>

<file path=customXml/itemProps4.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17</Pages>
  <Words>2973</Words>
  <Characters>16287</Characters>
  <Lines>172</Lines>
  <Paragraphs>48</Paragraphs>
  <TotalTime>0</TotalTime>
  <ScaleCrop>false</ScaleCrop>
  <LinksUpToDate>false</LinksUpToDate>
  <CharactersWithSpaces>19177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2022-10-13T02:57:00Z</dcterms:created>
  <dc:creator>Xingqin</dc:creator>
  <cp:keywords>3GPP; Ericsson; TDoc</cp:keywords>
  <cp:lastModifiedBy>xiaowei-xiaomi</cp:lastModifiedBy>
  <cp:lastPrinted>2008-01-30T20:09:00Z</cp:lastPrinted>
  <dcterms:modified xsi:type="dcterms:W3CDTF">2022-10-13T05:00:01Z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y fmtid="{D5CDD505-2E9C-101B-9397-08002B2CF9AE}" pid="8" name="KSOProductBuildVer">
    <vt:lpwstr>2052-11.1.0.12358</vt:lpwstr>
  </property>
  <property fmtid="{D5CDD505-2E9C-101B-9397-08002B2CF9AE}" pid="9" name="ICV">
    <vt:lpwstr>07A9DF5F6A3A4219887C7D6A8E840D5C</vt:lpwstr>
  </property>
</Properties>
</file>