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pPr>
        <w:tabs>
          <w:tab w:val="left" w:pos="1979"/>
        </w:tabs>
        <w:spacing w:after="180"/>
        <w:rPr>
          <w:rFonts w:cs="Arial"/>
          <w:b/>
          <w:bCs/>
          <w:sz w:val="24"/>
          <w:lang w:eastAsia="en-US"/>
        </w:rPr>
      </w:pPr>
    </w:p>
    <w:p>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b/>
          <w:bCs/>
          <w:sz w:val="24"/>
          <w:lang w:val="en-US" w:eastAsia="en-US"/>
        </w:rPr>
        <w:t>Samsung</w:t>
      </w:r>
    </w:p>
    <w:p>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Pr>
          <w:rFonts w:cs="Arial"/>
          <w:b/>
          <w:bCs/>
          <w:sz w:val="24"/>
          <w:lang w:val="en-US" w:eastAsia="en-US"/>
        </w:rPr>
        <w:t>Summary of [AT119bis-e][113][NR-NTN] epoch time and validity timer (Samsung)</w:t>
      </w:r>
    </w:p>
    <w:p>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 and Decision</w:t>
      </w:r>
    </w:p>
    <w:p>
      <w:pPr>
        <w:pStyle w:val="2"/>
        <w:numPr>
          <w:ilvl w:val="0"/>
          <w:numId w:val="10"/>
        </w:numPr>
      </w:pPr>
      <w:bookmarkStart w:id="2" w:name="_Ref488331639"/>
      <w:r>
        <w:t>Introduction</w:t>
      </w:r>
      <w:bookmarkEnd w:id="2"/>
    </w:p>
    <w:p>
      <w:pPr>
        <w:spacing w:before="120" w:after="156" w:afterLines="50"/>
        <w:rPr>
          <w:rFonts w:eastAsia="Arial Unicode MS"/>
        </w:rPr>
      </w:pPr>
      <w:bookmarkStart w:id="3" w:name="_Ref178064866"/>
      <w:r>
        <w:rPr>
          <w:rFonts w:eastAsia="Arial Unicode MS"/>
        </w:rPr>
        <w:t xml:space="preserve">This document is to summarize main proposals from the following contributions submitted under </w:t>
      </w:r>
      <w:r>
        <w:rPr>
          <w:rFonts w:hint="eastAsia" w:eastAsia="Arial Unicode MS"/>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46"/>
        <w:tblpPr w:leftFromText="180" w:rightFromText="180" w:vertAnchor="text" w:horzAnchor="margin" w:tblpY="1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130"/>
              <w:numPr>
                <w:ilvl w:val="0"/>
                <w:numId w:val="11"/>
              </w:numPr>
            </w:pPr>
            <w:r>
              <w:t>R2-2210466 Discussion on Epoch Time</w:t>
            </w:r>
            <w:r>
              <w:tab/>
            </w:r>
            <w:r>
              <w:t>Samsung Research America</w:t>
            </w:r>
            <w:r>
              <w:tab/>
            </w:r>
            <w:r>
              <w:t>discussion</w:t>
            </w:r>
            <w:r>
              <w:tab/>
            </w:r>
            <w:r>
              <w:t>Rel-17</w:t>
            </w:r>
            <w:r>
              <w:tab/>
            </w:r>
            <w:r>
              <w:t>NR_NTN_solutions-Core</w:t>
            </w:r>
          </w:p>
          <w:p>
            <w:pPr>
              <w:pStyle w:val="130"/>
              <w:numPr>
                <w:ilvl w:val="0"/>
                <w:numId w:val="11"/>
              </w:numPr>
            </w:pPr>
            <w:r>
              <w:t>R2-2209799 Clarification on validity of the UL sync info</w:t>
            </w:r>
            <w:r>
              <w:tab/>
            </w:r>
            <w:r>
              <w:t>Apple</w:t>
            </w:r>
            <w:r>
              <w:tab/>
            </w:r>
            <w:r>
              <w:t>discussion</w:t>
            </w:r>
            <w:r>
              <w:tab/>
            </w:r>
            <w:r>
              <w:t>Rel-17</w:t>
            </w:r>
            <w:r>
              <w:tab/>
            </w:r>
            <w:r>
              <w:t>NR_NTN_solutions-Core</w:t>
            </w:r>
          </w:p>
          <w:p>
            <w:pPr>
              <w:pStyle w:val="130"/>
              <w:numPr>
                <w:ilvl w:val="0"/>
                <w:numId w:val="11"/>
              </w:numPr>
            </w:pPr>
            <w:r>
              <w:t>R2-2210411</w:t>
            </w:r>
            <w:r>
              <w:tab/>
            </w:r>
            <w:r>
              <w:t>Discussion on epoch time</w:t>
            </w:r>
            <w:r>
              <w:tab/>
            </w:r>
            <w:r>
              <w:t>Huawei, HiSilicon</w:t>
            </w:r>
            <w:r>
              <w:tab/>
            </w:r>
            <w:r>
              <w:t>discussion</w:t>
            </w:r>
            <w:r>
              <w:tab/>
            </w:r>
            <w:r>
              <w:t>Rel-17</w:t>
            </w:r>
            <w:r>
              <w:tab/>
            </w:r>
            <w:r>
              <w:t>NR_NTN_solutions-Core</w:t>
            </w:r>
          </w:p>
          <w:p>
            <w:pPr>
              <w:pStyle w:val="130"/>
              <w:numPr>
                <w:ilvl w:val="0"/>
                <w:numId w:val="11"/>
              </w:numPr>
            </w:pPr>
            <w:r>
              <w:t>R2-2210729</w:t>
            </w:r>
            <w:r>
              <w:tab/>
            </w:r>
            <w:r>
              <w:t>NTN Configuration at Handover and CHO</w:t>
            </w:r>
            <w:r>
              <w:tab/>
            </w:r>
            <w:r>
              <w:t>Sequans Communications</w:t>
            </w:r>
            <w:r>
              <w:tab/>
            </w:r>
            <w:r>
              <w:t>discussion</w:t>
            </w:r>
            <w:r>
              <w:tab/>
            </w:r>
            <w:r>
              <w:t>Rel-17</w:t>
            </w:r>
            <w:r>
              <w:tab/>
            </w:r>
            <w:r>
              <w:t>38.331</w:t>
            </w:r>
            <w:r>
              <w:tab/>
            </w:r>
            <w:r>
              <w:t>NR_NTN_solutions-Core</w:t>
            </w:r>
            <w:r>
              <w:tab/>
            </w:r>
            <w:r>
              <w:t>R2-2208659</w:t>
            </w:r>
          </w:p>
          <w:p>
            <w:pPr>
              <w:pStyle w:val="130"/>
              <w:numPr>
                <w:ilvl w:val="0"/>
                <w:numId w:val="11"/>
              </w:numPr>
            </w:pPr>
            <w:r>
              <w:t>R2-2209528</w:t>
            </w:r>
            <w:r>
              <w:tab/>
            </w:r>
            <w:r>
              <w:t>On timer T430 for Rel-17 NR NTN</w:t>
            </w:r>
            <w:r>
              <w:tab/>
            </w:r>
            <w:r>
              <w:t>Ericsson</w:t>
            </w:r>
            <w:r>
              <w:tab/>
            </w:r>
            <w:r>
              <w:t>discussion</w:t>
            </w:r>
            <w:r>
              <w:tab/>
            </w:r>
            <w:r>
              <w:t>Rel-17</w:t>
            </w:r>
          </w:p>
          <w:p>
            <w:pPr>
              <w:pStyle w:val="130"/>
              <w:numPr>
                <w:ilvl w:val="0"/>
                <w:numId w:val="11"/>
              </w:numPr>
            </w:pPr>
            <w:r>
              <w:t>R2-2209850</w:t>
            </w:r>
            <w:r>
              <w:tab/>
            </w:r>
            <w:r>
              <w:t>Discussion on configuration of satellite information for handover</w:t>
            </w:r>
            <w:r>
              <w:tab/>
            </w:r>
            <w:r>
              <w:t>ASUSTeK</w:t>
            </w:r>
            <w:r>
              <w:tab/>
            </w:r>
            <w:r>
              <w:t>discussion</w:t>
            </w:r>
            <w:r>
              <w:tab/>
            </w:r>
            <w:r>
              <w:t>Rel-17</w:t>
            </w:r>
            <w:r>
              <w:tab/>
            </w:r>
            <w:r>
              <w:t>38.331</w:t>
            </w:r>
            <w:r>
              <w:tab/>
            </w:r>
            <w:r>
              <w:t>NR_NTN_solutions-Core</w:t>
            </w:r>
          </w:p>
          <w:p>
            <w:pPr>
              <w:pStyle w:val="130"/>
              <w:numPr>
                <w:ilvl w:val="0"/>
                <w:numId w:val="11"/>
              </w:numPr>
            </w:pPr>
            <w:r>
              <w:t>R2-2209851</w:t>
            </w:r>
            <w:r>
              <w:tab/>
            </w:r>
            <w:r>
              <w:t>Discussion on T430 handling upon going to RRC_IDLE</w:t>
            </w:r>
            <w:r>
              <w:tab/>
            </w:r>
            <w:r>
              <w:t>ASUSTeK</w:t>
            </w:r>
            <w:r>
              <w:tab/>
            </w:r>
            <w:r>
              <w:t>discussion</w:t>
            </w:r>
            <w:r>
              <w:tab/>
            </w:r>
            <w:r>
              <w:t>Rel-17</w:t>
            </w:r>
            <w:r>
              <w:tab/>
            </w:r>
            <w:r>
              <w:t>38.331</w:t>
            </w:r>
            <w:r>
              <w:tab/>
            </w:r>
            <w:r>
              <w:t>NR_NTN_solutions-Core</w:t>
            </w:r>
          </w:p>
          <w:p>
            <w:pPr>
              <w:pStyle w:val="130"/>
              <w:numPr>
                <w:ilvl w:val="0"/>
                <w:numId w:val="11"/>
              </w:numPr>
            </w:pPr>
            <w:r>
              <w:t>R2-2209852</w:t>
            </w:r>
            <w:r>
              <w:tab/>
            </w:r>
            <w:r>
              <w:t>Clarification on validity timer for serving cell</w:t>
            </w:r>
            <w:r>
              <w:tab/>
            </w:r>
            <w:r>
              <w:t>ASUSTeK</w:t>
            </w:r>
            <w:r>
              <w:tab/>
            </w:r>
            <w:r>
              <w:t>discussion</w:t>
            </w:r>
            <w:r>
              <w:tab/>
            </w:r>
            <w:r>
              <w:t>Rel-17</w:t>
            </w:r>
            <w:r>
              <w:tab/>
            </w:r>
            <w:r>
              <w:t>38.331</w:t>
            </w:r>
            <w:r>
              <w:tab/>
            </w:r>
            <w:r>
              <w:t>NR_NTN_solutions-Core</w:t>
            </w:r>
          </w:p>
          <w:p>
            <w:pPr>
              <w:pStyle w:val="88"/>
            </w:pPr>
          </w:p>
        </w:tc>
      </w:tr>
    </w:tbl>
    <w:p>
      <w:pPr>
        <w:pStyle w:val="2"/>
      </w:pPr>
      <w:r>
        <w:t>2. Contact information</w:t>
      </w:r>
    </w:p>
    <w:tbl>
      <w:tblPr>
        <w:tblStyle w:val="45"/>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hint="default" w:ascii="Calibri" w:hAnsi="Calibri" w:eastAsia="等线" w:cs="Calibri"/>
                <w:sz w:val="22"/>
                <w:szCs w:val="22"/>
                <w:lang w:val="en-US" w:eastAsia="zh-CN"/>
              </w:rPr>
            </w:pPr>
            <w:r>
              <w:rPr>
                <w:rFonts w:hint="eastAsia" w:ascii="Calibri" w:hAnsi="Calibri" w:eastAsia="等线" w:cs="Calibri"/>
                <w:sz w:val="22"/>
                <w:szCs w:val="22"/>
                <w:lang w:val="en-US" w:eastAsia="zh-CN"/>
              </w:rPr>
              <w:t>Xiaomi</w:t>
            </w:r>
          </w:p>
        </w:tc>
        <w:tc>
          <w:tcPr>
            <w:tcW w:w="6373" w:type="dxa"/>
            <w:tcMar>
              <w:top w:w="0" w:type="dxa"/>
              <w:left w:w="108" w:type="dxa"/>
              <w:bottom w:w="0" w:type="dxa"/>
              <w:right w:w="108" w:type="dxa"/>
            </w:tcMar>
          </w:tcPr>
          <w:p>
            <w:pPr>
              <w:spacing w:after="0"/>
              <w:jc w:val="center"/>
              <w:rPr>
                <w:rFonts w:hint="default" w:ascii="Calibri" w:hAnsi="Calibri" w:eastAsia="等线" w:cs="Calibri"/>
                <w:sz w:val="22"/>
                <w:szCs w:val="22"/>
                <w:lang w:val="en-US" w:eastAsia="zh-CN"/>
              </w:rPr>
            </w:pPr>
            <w:r>
              <w:rPr>
                <w:rFonts w:hint="eastAsia" w:ascii="Calibri" w:hAnsi="Calibri" w:eastAsia="等线" w:cs="Calibri"/>
                <w:sz w:val="22"/>
                <w:szCs w:val="22"/>
                <w:lang w:val="en-US" w:eastAsia="zh-CN"/>
              </w:rPr>
              <w:t>xiaowei jiang (jiangxiaowei@xiaomi.com</w:t>
            </w:r>
            <w:bookmarkStart w:id="14" w:name="_GoBack"/>
            <w:bookmarkEnd w:id="14"/>
            <w:r>
              <w:rPr>
                <w:rFonts w:hint="eastAsia" w:ascii="Calibri" w:hAnsi="Calibri" w:eastAsia="等线" w:cs="Calibri"/>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nl-NL"/>
              </w:rPr>
            </w:pPr>
          </w:p>
        </w:tc>
      </w:tr>
    </w:tbl>
    <w:p>
      <w:pPr>
        <w:pStyle w:val="2"/>
        <w:numPr>
          <w:ilvl w:val="0"/>
          <w:numId w:val="12"/>
        </w:numPr>
        <w:jc w:val="both"/>
      </w:pPr>
      <w:r>
        <w:t>Discussion</w:t>
      </w:r>
      <w:bookmarkEnd w:id="3"/>
      <w:r>
        <w:rPr>
          <w:rFonts w:hint="eastAsia"/>
        </w:rPr>
        <w:t xml:space="preserve"> </w:t>
      </w:r>
    </w:p>
    <w:p>
      <w:pPr>
        <w:pStyle w:val="3"/>
        <w:tabs>
          <w:tab w:val="left" w:pos="576"/>
        </w:tabs>
        <w:ind w:left="576" w:hanging="576"/>
        <w:rPr>
          <w:rFonts w:cs="Times New Roman"/>
        </w:rPr>
      </w:pPr>
      <w:r>
        <w:rPr>
          <w:rFonts w:cs="Times New Roman"/>
        </w:rPr>
        <w:t>3.1 Serving cell</w:t>
      </w:r>
    </w:p>
    <w:p>
      <w:pPr>
        <w:pStyle w:val="4"/>
      </w:pPr>
      <w:bookmarkStart w:id="5" w:name="_Hlk111505141"/>
      <w:r>
        <w:t xml:space="preserve">Epoch time in the future </w:t>
      </w:r>
    </w:p>
    <w:p>
      <w:pPr>
        <w:spacing w:after="0"/>
        <w:rPr>
          <w:rFonts w:cs="Arial"/>
          <w:lang w:val="en-US"/>
        </w:rPr>
      </w:pPr>
      <w:r>
        <w:rPr>
          <w:rFonts w:cs="Arial"/>
          <w:lang w:val="en-US"/>
        </w:rPr>
        <w:t xml:space="preserve">In the current TS 38.331, the procedure related to SIB19 acquisition is specified as follows. </w:t>
      </w:r>
    </w:p>
    <w:p>
      <w:pPr>
        <w:spacing w:after="0"/>
        <w:rPr>
          <w:rFonts w:cs="Arial"/>
          <w:lang w:val="en-US"/>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r>
            <w:r>
              <w:rPr>
                <w:rFonts w:eastAsia="Times New Roman"/>
                <w:lang w:eastAsia="ja-JP"/>
              </w:rPr>
              <w:t xml:space="preserve">Actions upon reception of </w:t>
            </w:r>
            <w:r>
              <w:rPr>
                <w:rFonts w:eastAsia="Times New Roman"/>
                <w:i/>
                <w:iCs/>
                <w:lang w:eastAsia="ja-JP"/>
              </w:rPr>
              <w:t>SIB19</w:t>
            </w:r>
          </w:p>
          <w:p>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from the subframe indicated by </w:t>
            </w:r>
            <w:r>
              <w:rPr>
                <w:rFonts w:eastAsia="Times New Roman"/>
                <w:i/>
                <w:iCs/>
                <w:lang w:eastAsia="ja-JP"/>
              </w:rPr>
              <w:t>epochTime</w:t>
            </w:r>
            <w:r>
              <w:rPr>
                <w:rFonts w:eastAsia="Times New Roman"/>
                <w:lang w:eastAsia="ja-JP"/>
              </w:rPr>
              <w:t>;</w:t>
            </w:r>
          </w:p>
          <w:p>
            <w:pPr>
              <w:keepLines/>
              <w:ind w:left="1135" w:hanging="851"/>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p>
            <w:pPr>
              <w:keepLines/>
              <w:ind w:left="1135" w:hanging="851"/>
              <w:rPr>
                <w:rFonts w:eastAsia="Times New Roman"/>
                <w:lang w:eastAsia="ja-JP"/>
              </w:rPr>
            </w:pPr>
          </w:p>
          <w:p>
            <w:pPr>
              <w:pStyle w:val="5"/>
              <w:rPr>
                <w:sz w:val="20"/>
                <w:szCs w:val="20"/>
              </w:rPr>
            </w:pPr>
            <w:bookmarkStart w:id="6" w:name="_Toc115428439"/>
            <w:r>
              <w:rPr>
                <w:sz w:val="20"/>
                <w:szCs w:val="20"/>
              </w:rPr>
              <w:t>5.2.2.6</w:t>
            </w:r>
            <w:r>
              <w:rPr>
                <w:sz w:val="20"/>
                <w:szCs w:val="20"/>
              </w:rPr>
              <w:tab/>
            </w:r>
            <w:r>
              <w:rPr>
                <w:sz w:val="20"/>
                <w:szCs w:val="20"/>
              </w:rPr>
              <w:t>T430 expiry</w:t>
            </w:r>
            <w:bookmarkEnd w:id="6"/>
          </w:p>
          <w:p>
            <w:r>
              <w:t>The UE shall:</w:t>
            </w:r>
          </w:p>
          <w:p>
            <w:pPr>
              <w:pStyle w:val="59"/>
            </w:pPr>
            <w:r>
              <w:t>1&gt;</w:t>
            </w:r>
            <w:r>
              <w:tab/>
            </w:r>
            <w:r>
              <w:t>if T430 for serving cell expires and if in RRC_CONNECTED:</w:t>
            </w:r>
          </w:p>
          <w:p>
            <w:pPr>
              <w:pStyle w:val="60"/>
            </w:pPr>
            <w:r>
              <w:t>2&gt;</w:t>
            </w:r>
            <w:r>
              <w:tab/>
            </w:r>
            <w:r>
              <w:t>inform lower layers that UL synchronisation is lost;</w:t>
            </w:r>
          </w:p>
          <w:p>
            <w:pPr>
              <w:pStyle w:val="60"/>
            </w:pPr>
            <w:r>
              <w:t>2&gt;</w:t>
            </w:r>
            <w:r>
              <w:tab/>
            </w:r>
            <w:r>
              <w:t xml:space="preserve">acquire </w:t>
            </w:r>
            <w:r>
              <w:rPr>
                <w:i/>
                <w:iCs/>
              </w:rPr>
              <w:t>SIB19</w:t>
            </w:r>
            <w:r>
              <w:t xml:space="preserve"> as defined in clause 5.2.2.3.2;</w:t>
            </w:r>
          </w:p>
          <w:p>
            <w:pPr>
              <w:pStyle w:val="60"/>
            </w:pPr>
            <w:r>
              <w:t>2&gt;</w:t>
            </w:r>
            <w:r>
              <w:tab/>
            </w:r>
            <w:r>
              <w:t xml:space="preserve">upon successful acquisition of </w:t>
            </w:r>
            <w:r>
              <w:rPr>
                <w:i/>
                <w:iCs/>
                <w:lang w:eastAsia="zh-TW"/>
              </w:rPr>
              <w:t>SIB19</w:t>
            </w:r>
            <w:r>
              <w:t>:</w:t>
            </w:r>
          </w:p>
          <w:p>
            <w:pPr>
              <w:pStyle w:val="61"/>
            </w:pPr>
            <w:r>
              <w:t>3&gt;</w:t>
            </w:r>
            <w:r>
              <w:tab/>
            </w:r>
            <w:r>
              <w:t>inform lower layers that UL synchronisation is obtained;</w:t>
            </w:r>
          </w:p>
        </w:tc>
      </w:tr>
    </w:tbl>
    <w:p>
      <w:pPr>
        <w:spacing w:after="0"/>
        <w:rPr>
          <w:rFonts w:cs="Arial"/>
          <w:lang w:val="en-US"/>
        </w:rPr>
      </w:pPr>
    </w:p>
    <w:p>
      <w:pPr>
        <w:spacing w:after="0"/>
        <w:rPr>
          <w:rFonts w:eastAsia="MS Mincho" w:cs="Arial"/>
          <w:szCs w:val="24"/>
          <w:lang w:val="en-US" w:eastAsia="en-GB"/>
        </w:rPr>
      </w:pPr>
      <w:r>
        <w:rPr>
          <w:rFonts w:cs="Arial"/>
          <w:lang w:val="en-US"/>
        </w:rPr>
        <w:t xml:space="preserve">One issue discussed related to this procedure is that upon the UE acquires SIB19, the UL sync info (i.e., ephemeris, common TA parameters) may be invalid for a period of time before the SFN/subframe indicated by the epochTime, if the indicated epochTime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i.e. whether the UL sync information is applied by the UE upon SIB19 acquisition or upon the indicated epoch time if the indicated epoch time is in the future. However, there is no consensus in RAN1 after extensive discussion. </w:t>
      </w:r>
    </w:p>
    <w:p>
      <w:pPr>
        <w:spacing w:after="0"/>
      </w:pPr>
      <w:r>
        <w:rPr>
          <w:rFonts w:cs="Arial"/>
          <w:lang w:val="en-US"/>
        </w:rPr>
        <w:t xml:space="preserve">[1] and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pPr>
        <w:spacing w:after="0"/>
      </w:pPr>
    </w:p>
    <w:p>
      <w:pPr>
        <w:spacing w:after="0"/>
      </w:pPr>
      <w:r>
        <w:t xml:space="preserve">Also note that in RAN2#119-e, the following agreement was already made. </w:t>
      </w:r>
    </w:p>
    <w:p>
      <w:pPr>
        <w:pStyle w:val="88"/>
        <w:pBdr>
          <w:top w:val="single" w:color="auto" w:sz="4" w:space="1"/>
          <w:left w:val="single" w:color="auto" w:sz="4" w:space="4"/>
          <w:bottom w:val="single" w:color="auto" w:sz="4" w:space="1"/>
          <w:right w:val="single" w:color="auto" w:sz="4" w:space="4"/>
        </w:pBdr>
        <w:ind w:left="723"/>
      </w:pPr>
      <w:r>
        <w:t>Agreements:</w:t>
      </w:r>
    </w:p>
    <w:p>
      <w:pPr>
        <w:pStyle w:val="88"/>
        <w:numPr>
          <w:ilvl w:val="0"/>
          <w:numId w:val="13"/>
        </w:numPr>
        <w:pBdr>
          <w:top w:val="single" w:color="auto" w:sz="4" w:space="1"/>
          <w:left w:val="single" w:color="auto" w:sz="4" w:space="4"/>
          <w:bottom w:val="single" w:color="auto" w:sz="4" w:space="1"/>
          <w:right w:val="single" w:color="auto" w:sz="4" w:space="4"/>
        </w:pBdr>
        <w:ind w:left="720"/>
      </w:pPr>
      <w:r>
        <w:t>It is left to UE implementation on how UEs in RRC_IDLE/RRC_INACTIVE re-acquire SIB19 for serving cell’s satellite assistance information.</w:t>
      </w:r>
    </w:p>
    <w:p>
      <w:pPr>
        <w:spacing w:after="0"/>
      </w:pPr>
    </w:p>
    <w:p>
      <w:pPr>
        <w:rPr>
          <w:rFonts w:cs="Arial"/>
          <w:b/>
          <w:bCs/>
          <w:color w:val="000000" w:themeColor="text1"/>
          <w14:textFill>
            <w14:solidFill>
              <w14:schemeClr w14:val="tx1"/>
            </w14:solidFill>
          </w14:textFill>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14:textFill>
            <w14:solidFill>
              <w14:schemeClr w14:val="tx1"/>
            </w14:solidFill>
          </w14:textFill>
        </w:rPr>
        <w:t xml:space="preserve"> </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Disagree</w:t>
            </w:r>
          </w:p>
        </w:tc>
        <w:tc>
          <w:tcPr>
            <w:tcW w:w="5954" w:type="dxa"/>
            <w:shd w:val="clear" w:color="auto" w:fill="auto"/>
          </w:tcPr>
          <w:p>
            <w:pPr>
              <w:jc w:val="left"/>
              <w:rPr>
                <w:rFonts w:hint="default" w:eastAsia="等线"/>
                <w:lang w:val="en-US" w:eastAsia="zh-CN"/>
              </w:rPr>
            </w:pPr>
            <w:r>
              <w:rPr>
                <w:rFonts w:hint="eastAsia" w:eastAsia="等线"/>
                <w:lang w:val="en-US" w:eastAsia="zh-CN"/>
              </w:rPr>
              <w:t>There is no need to ask UE to acquire SIB19 before T430 expiry. UE can by implementation to decide to acquire SIB19 after T430 expiry if the measurement requirement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bl>
    <w:p>
      <w:pPr>
        <w:rPr>
          <w:i/>
          <w:sz w:val="21"/>
          <w:szCs w:val="21"/>
          <w:u w:val="single"/>
        </w:rPr>
      </w:pPr>
    </w:p>
    <w:p>
      <w:pPr>
        <w:spacing w:after="0"/>
        <w:rPr>
          <w:rFonts w:cs="Arial"/>
          <w:lang w:val="en-US"/>
        </w:rPr>
      </w:pPr>
      <w:r>
        <w:t>It is also stated in [2] that for the IDLE/INACTIVE UE,</w:t>
      </w:r>
    </w:p>
    <w:p>
      <w:pPr>
        <w:pStyle w:val="90"/>
        <w:numPr>
          <w:ilvl w:val="0"/>
          <w:numId w:val="14"/>
        </w:numPr>
        <w:spacing w:after="0"/>
      </w:pPr>
      <w:r>
        <w:t xml:space="preserve">If there is no attempt to initiate the RRC connection, this issue will not cause any problem; </w:t>
      </w:r>
    </w:p>
    <w:p>
      <w:pPr>
        <w:pStyle w:val="90"/>
        <w:numPr>
          <w:ilvl w:val="0"/>
          <w:numId w:val="14"/>
        </w:numPr>
        <w:spacing w:after="0"/>
      </w:pPr>
      <w:r>
        <w:t>If the UE intends to initiate the RRC connection, if the gap length, i.e. duration between T430 expiry and epoch time in the future, is small then the issue could be ignored; if the gap length is big, we can leave it to UE implementation about whether UE could assume the UL sync is valid or not.</w:t>
      </w:r>
    </w:p>
    <w:p>
      <w:pPr>
        <w:spacing w:after="0"/>
        <w:rPr>
          <w:b/>
        </w:rPr>
      </w:pPr>
    </w:p>
    <w:p>
      <w:pPr>
        <w:rPr>
          <w:rFonts w:cs="Arial"/>
          <w:b/>
          <w:bCs/>
          <w:color w:val="000000" w:themeColor="text1"/>
          <w14:textFill>
            <w14:solidFill>
              <w14:schemeClr w14:val="tx1"/>
            </w14:solidFill>
          </w14:textFill>
        </w:rPr>
      </w:pPr>
      <w:r>
        <w:rPr>
          <w:rFonts w:cs="Arial"/>
          <w:b/>
          <w:color w:val="000000"/>
        </w:rPr>
        <w:t xml:space="preserve">Question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14:textFill>
            <w14:solidFill>
              <w14:schemeClr w14:val="tx1"/>
            </w14:solidFill>
          </w14:textFill>
        </w:rPr>
        <w:t xml:space="preserve"> </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See comment</w:t>
            </w:r>
          </w:p>
        </w:tc>
        <w:tc>
          <w:tcPr>
            <w:tcW w:w="5954" w:type="dxa"/>
            <w:shd w:val="clear" w:color="auto" w:fill="auto"/>
          </w:tcPr>
          <w:p>
            <w:pPr>
              <w:jc w:val="left"/>
              <w:rPr>
                <w:rFonts w:hint="default" w:eastAsia="等线"/>
                <w:lang w:val="en-US" w:eastAsia="zh-CN"/>
              </w:rPr>
            </w:pPr>
            <w:r>
              <w:rPr>
                <w:rFonts w:hint="eastAsia" w:eastAsia="等线"/>
                <w:lang w:val="en-US" w:eastAsia="zh-CN"/>
              </w:rPr>
              <w:t>After T430 expiry, the SIB19 is invalid. But it is UE implementation to decide when to reacquire SIB19, even after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bl>
    <w:p/>
    <w:p>
      <w:pPr>
        <w:spacing w:after="0"/>
      </w:pPr>
      <w:r>
        <w:t>For the CONNECTED UE, it is stated in [2] that since NW can provide the NTN UL sync config via the RRC dedicated signaling (via ReconfigWithSync or the dedicated SIB19 delivery), this case can be avoided by the appropriate NW implementation. For connected UE, if the UE cannot acquire SIB19 due to no common search space configured with an active BWP, the NW sends UL sync info via dedicated RRC signal. In this case, the NW can ensure that the UL sync info is valid upon UE receives the dedicated RRC signal, so that the issue of future epoch time can be avoided.</w:t>
      </w:r>
    </w:p>
    <w:p>
      <w:pPr>
        <w:spacing w:after="0"/>
      </w:pPr>
    </w:p>
    <w:p>
      <w:pPr>
        <w:rPr>
          <w:rFonts w:cs="Arial"/>
          <w:b/>
          <w:bCs/>
          <w:color w:val="000000" w:themeColor="text1"/>
          <w14:textFill>
            <w14:solidFill>
              <w14:schemeClr w14:val="tx1"/>
            </w14:solidFill>
          </w14:textFill>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with an active BWP, it is up to the NW implementation to ensure the UL sync info in the dedicated RRC message is valid upon UE receives the message</w:t>
      </w:r>
      <w:r>
        <w:rPr>
          <w:rFonts w:cs="Arial"/>
          <w:b/>
          <w:color w:val="000000"/>
        </w:rPr>
        <w:t xml:space="preserve">? </w:t>
      </w:r>
      <w:r>
        <w:rPr>
          <w:rFonts w:cs="Arial"/>
          <w:b/>
          <w:bCs/>
          <w:color w:val="000000" w:themeColor="text1"/>
          <w14:textFill>
            <w14:solidFill>
              <w14:schemeClr w14:val="tx1"/>
            </w14:solidFill>
          </w14:textFill>
        </w:rPr>
        <w:t xml:space="preserve"> </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Agree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bl>
    <w:p/>
    <w:p/>
    <w:p>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pPr>
        <w:rPr>
          <w:rFonts w:cs="Arial"/>
          <w:b/>
          <w:bCs/>
          <w:lang w:val="en-US"/>
        </w:rPr>
      </w:pPr>
      <w:r>
        <w:rPr>
          <w:rFonts w:cs="Arial"/>
          <w:b/>
          <w:color w:val="000000"/>
        </w:rPr>
        <w:t xml:space="preserve">Question 4: Do companies agree that </w:t>
      </w:r>
      <w:r>
        <w:rPr>
          <w:rFonts w:cs="Arial"/>
          <w:b/>
          <w:bCs/>
          <w:lang w:val="en-US"/>
        </w:rPr>
        <w:t>for the CONNECTED UE, if the UE can acquire SIB19, which of the following options is agreeable to solve the issue of epoch time in the future?</w:t>
      </w:r>
    </w:p>
    <w:p>
      <w:pPr>
        <w:pStyle w:val="90"/>
        <w:numPr>
          <w:ilvl w:val="0"/>
          <w:numId w:val="15"/>
        </w:numPr>
        <w:rPr>
          <w:rFonts w:cs="Arial"/>
          <w:b/>
          <w:bCs/>
          <w:color w:val="000000" w:themeColor="text1"/>
          <w14:textFill>
            <w14:solidFill>
              <w14:schemeClr w14:val="tx1"/>
            </w14:solidFill>
          </w14:textFill>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14:textFill>
            <w14:solidFill>
              <w14:schemeClr w14:val="tx1"/>
            </w14:solidFill>
          </w14:textFill>
        </w:rPr>
        <w:t xml:space="preserve"> </w:t>
      </w:r>
    </w:p>
    <w:p>
      <w:pPr>
        <w:pStyle w:val="90"/>
        <w:numPr>
          <w:ilvl w:val="0"/>
          <w:numId w:val="15"/>
        </w:numPr>
      </w:pPr>
      <w:r>
        <w:rPr>
          <w:rFonts w:cs="Arial"/>
          <w:b/>
          <w:bCs/>
          <w:color w:val="000000" w:themeColor="text1"/>
          <w14:textFill>
            <w14:solidFill>
              <w14:schemeClr w14:val="tx1"/>
            </w14:solidFill>
          </w14:textFill>
        </w:rPr>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pPr>
        <w:pStyle w:val="90"/>
        <w:numPr>
          <w:ilvl w:val="0"/>
          <w:numId w:val="15"/>
        </w:numPr>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Option 3: other</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Option</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Option 3</w:t>
            </w:r>
          </w:p>
        </w:tc>
        <w:tc>
          <w:tcPr>
            <w:tcW w:w="5954" w:type="dxa"/>
            <w:shd w:val="clear" w:color="auto" w:fill="auto"/>
          </w:tcPr>
          <w:p>
            <w:pPr>
              <w:jc w:val="left"/>
              <w:rPr>
                <w:rFonts w:hint="default" w:eastAsia="等线"/>
                <w:lang w:val="en-US" w:eastAsia="zh-CN"/>
              </w:rPr>
            </w:pPr>
            <w:r>
              <w:rPr>
                <w:rFonts w:hint="eastAsia" w:eastAsia="等线"/>
                <w:lang w:val="en-US" w:eastAsia="zh-CN"/>
              </w:rPr>
              <w:t>We can only assume that NW by implementation to ensure that new SIB19 is provided before the expiry of T430. The epoch time could be after the expiry of T430. This is the intention of RAN1 to point epoch time to the future instead of past, i.e. to maximize the validity duration. If we use option 2, the validity duration is actually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bl>
    <w:p/>
    <w:p>
      <w:pPr>
        <w:pStyle w:val="4"/>
      </w:pPr>
      <w:r>
        <w:t xml:space="preserve">Clarification for </w:t>
      </w:r>
      <w:r>
        <w:rPr>
          <w:rFonts w:eastAsia="Times New Roman"/>
          <w:lang w:eastAsia="ja-JP"/>
        </w:rPr>
        <w:t>5.2.2.4.21</w:t>
      </w:r>
    </w:p>
    <w:bookmarkEnd w:id="5"/>
    <w:p>
      <w:pPr>
        <w:pStyle w:val="27"/>
        <w:spacing w:after="156" w:afterLines="50" w:line="280" w:lineRule="exact"/>
        <w:rPr>
          <w:color w:val="000000" w:themeColor="text1"/>
          <w14:textFill>
            <w14:solidFill>
              <w14:schemeClr w14:val="tx1"/>
            </w14:solidFill>
          </w14:textFill>
        </w:rPr>
      </w:pPr>
      <w:r>
        <w:t xml:space="preserve">In the current TS 38.331, </w:t>
      </w:r>
      <w:r>
        <w:rPr>
          <w:color w:val="000000" w:themeColor="text1"/>
          <w14:textFill>
            <w14:solidFill>
              <w14:schemeClr w14:val="tx1"/>
            </w14:solidFill>
          </w14:textFill>
        </w:rPr>
        <w:t xml:space="preserve">the UE sets the length of T430 for serving cell to the value of </w:t>
      </w:r>
      <w:r>
        <w:rPr>
          <w:rFonts w:eastAsia="Times New Roman"/>
          <w:i/>
          <w:iCs/>
          <w:lang w:eastAsia="ja-JP"/>
        </w:rPr>
        <w:t xml:space="preserve">ntn-UlSyncValidityDuration </w:t>
      </w:r>
      <w:r>
        <w:rPr>
          <w:rFonts w:eastAsia="Times New Roman"/>
          <w:iCs/>
          <w:lang w:eastAsia="ja-JP"/>
        </w:rPr>
        <w:t>and</w:t>
      </w:r>
      <w:r>
        <w:rPr>
          <w:rFonts w:eastAsia="Times New Roman"/>
          <w:i/>
          <w:iCs/>
          <w:lang w:eastAsia="ja-JP"/>
        </w:rPr>
        <w:t xml:space="preserve"> </w:t>
      </w:r>
      <w:r>
        <w:rPr>
          <w:color w:val="000000" w:themeColor="text1"/>
          <w14:textFill>
            <w14:solidFill>
              <w14:schemeClr w14:val="tx1"/>
            </w14:solidFill>
          </w14:textFill>
        </w:rPr>
        <w:t xml:space="preserve">(re)start the T430 from the subframe indicated by </w:t>
      </w:r>
      <w:r>
        <w:rPr>
          <w:i/>
          <w:color w:val="000000" w:themeColor="text1"/>
          <w14:textFill>
            <w14:solidFill>
              <w14:schemeClr w14:val="tx1"/>
            </w14:solidFill>
          </w14:textFill>
        </w:rPr>
        <w:t>epochTime</w:t>
      </w:r>
      <w:r>
        <w:rPr>
          <w:color w:val="000000" w:themeColor="text1"/>
          <w14:textFill>
            <w14:solidFill>
              <w14:schemeClr w14:val="tx1"/>
            </w14:solidFill>
          </w14:textFill>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r>
            <w:r>
              <w:rPr>
                <w:rFonts w:eastAsia="Times New Roman"/>
                <w:lang w:eastAsia="ja-JP"/>
              </w:rPr>
              <w:t xml:space="preserve">Actions upon reception of </w:t>
            </w:r>
            <w:r>
              <w:rPr>
                <w:rFonts w:eastAsia="Times New Roman"/>
                <w:i/>
                <w:iCs/>
                <w:lang w:eastAsia="ja-JP"/>
              </w:rPr>
              <w:t>SIB19</w:t>
            </w:r>
          </w:p>
          <w:p>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start or restart T430 for serving cell </w:t>
            </w:r>
            <w:r>
              <w:rPr>
                <w:rFonts w:eastAsia="Times New Roman"/>
                <w:highlight w:val="yellow"/>
                <w:lang w:eastAsia="ja-JP"/>
              </w:rPr>
              <w:t xml:space="preserve">with the timer value set to </w:t>
            </w:r>
            <w:r>
              <w:rPr>
                <w:rFonts w:eastAsia="Times New Roman"/>
                <w:i/>
                <w:iCs/>
                <w:highlight w:val="yellow"/>
                <w:lang w:eastAsia="ja-JP"/>
              </w:rPr>
              <w:t>ntn-UlSyncValidityDuration</w:t>
            </w:r>
            <w:r>
              <w:rPr>
                <w:rFonts w:eastAsia="Times New Roman"/>
                <w:highlight w:val="yellow"/>
                <w:lang w:eastAsia="ja-JP"/>
              </w:rPr>
              <w:t xml:space="preserve"> from the subframe indicated by </w:t>
            </w:r>
            <w:r>
              <w:rPr>
                <w:rFonts w:eastAsia="Times New Roman"/>
                <w:i/>
                <w:iCs/>
                <w:highlight w:val="yellow"/>
                <w:lang w:eastAsia="ja-JP"/>
              </w:rPr>
              <w:t>epochTime</w:t>
            </w:r>
            <w:r>
              <w:rPr>
                <w:rFonts w:eastAsia="Times New Roman"/>
                <w:lang w:eastAsia="ja-JP"/>
              </w:rPr>
              <w:t>;</w:t>
            </w:r>
          </w:p>
          <w:p>
            <w:pPr>
              <w:keepLines/>
              <w:ind w:left="1135" w:hanging="851"/>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pPr>
        <w:pStyle w:val="27"/>
        <w:spacing w:before="240" w:after="156" w:afterLines="50" w:line="280" w:lineRule="exact"/>
        <w:rPr>
          <w:iCs/>
        </w:rPr>
      </w:pPr>
      <w:r>
        <w:rPr>
          <w:color w:val="000000" w:themeColor="text1"/>
          <w14:textFill>
            <w14:solidFill>
              <w14:schemeClr w14:val="tx1"/>
            </w14:solidFill>
          </w14:textFill>
        </w:rPr>
        <w:t>However, the UE could receive multiple ntn-UlSyncValidityDuration and epochTime in SIB19, i.e., for serving cell and for neighbour cells. It is proposed in [8] to clarify in clause 5.2.2.4.21, ntn-UlSyncValidityDuration and epochTime for the serving cell (receiving in SIB19) are applied for T430 for serving cell.</w:t>
      </w:r>
    </w:p>
    <w:p>
      <w:pPr>
        <w:rPr>
          <w:rFonts w:cs="Arial"/>
          <w:b/>
          <w:bCs/>
          <w:color w:val="000000" w:themeColor="text1"/>
          <w14:textFill>
            <w14:solidFill>
              <w14:schemeClr w14:val="tx1"/>
            </w14:solidFill>
          </w14:textFill>
        </w:rPr>
      </w:pPr>
      <w:bookmarkStart w:id="7" w:name="_Hlk111505822"/>
      <w:r>
        <w:rPr>
          <w:rFonts w:cs="Arial"/>
          <w:b/>
          <w:color w:val="000000"/>
        </w:rPr>
        <w:t xml:space="preserve">Question 5: Do companies agree in clause 5.2.2.4.21, clarification is needed that </w:t>
      </w:r>
      <w:r>
        <w:rPr>
          <w:rFonts w:cs="Arial"/>
          <w:b/>
          <w:i/>
          <w:color w:val="000000"/>
        </w:rPr>
        <w:t xml:space="preserve">ntn-UlSyncValidityDuration </w:t>
      </w:r>
      <w:r>
        <w:rPr>
          <w:rFonts w:cs="Arial"/>
          <w:b/>
          <w:color w:val="000000"/>
        </w:rPr>
        <w:t xml:space="preserve">and </w:t>
      </w:r>
      <w:r>
        <w:rPr>
          <w:rFonts w:cs="Arial"/>
          <w:b/>
          <w:i/>
          <w:color w:val="000000"/>
        </w:rPr>
        <w:t>epochTime</w:t>
      </w:r>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14:textFill>
            <w14:solidFill>
              <w14:schemeClr w14:val="tx1"/>
            </w14:solidFill>
          </w14:textFill>
        </w:rPr>
        <w:t xml:space="preserve"> </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Agree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bl>
    <w:p>
      <w:pPr>
        <w:rPr>
          <w:i/>
          <w:sz w:val="21"/>
          <w:szCs w:val="21"/>
          <w:u w:val="single"/>
        </w:rPr>
      </w:pPr>
    </w:p>
    <w:p>
      <w:pPr>
        <w:pStyle w:val="88"/>
        <w:ind w:left="0" w:firstLine="0"/>
        <w:rPr>
          <w:rFonts w:eastAsia="等线"/>
          <w:b/>
          <w:color w:val="0070C0"/>
          <w:u w:val="single"/>
          <w:lang w:val="en-US"/>
        </w:rPr>
      </w:pPr>
    </w:p>
    <w:p>
      <w:pPr>
        <w:pStyle w:val="27"/>
        <w:spacing w:after="156" w:afterLines="50" w:line="280" w:lineRule="exact"/>
        <w:rPr>
          <w:color w:val="000000" w:themeColor="text1"/>
          <w14:textFill>
            <w14:solidFill>
              <w14:schemeClr w14:val="tx1"/>
            </w14:solidFill>
          </w14:textFill>
        </w:rPr>
      </w:pPr>
      <w:r>
        <w:rPr>
          <w:color w:val="000000" w:themeColor="text1"/>
          <w14:textFill>
            <w14:solidFill>
              <w14:schemeClr w14:val="tx1"/>
            </w14:solidFill>
          </w14:textFill>
        </w:rPr>
        <w:t>The text proposal to TS 38.331 is proposed in [8] for the clarification on UlSyncValidityDuration and epochTime for serving cell T430.</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keepNext/>
              <w:keepLines/>
              <w:spacing w:before="120"/>
              <w:ind w:left="1701" w:hanging="1701"/>
              <w:outlineLvl w:val="4"/>
              <w:rPr>
                <w:rFonts w:eastAsia="Times New Roman"/>
                <w:sz w:val="22"/>
                <w:lang w:eastAsia="ja-JP"/>
              </w:rPr>
            </w:pPr>
            <w:r>
              <w:rPr>
                <w:rFonts w:eastAsia="Times New Roman"/>
                <w:sz w:val="22"/>
                <w:lang w:eastAsia="ja-JP"/>
              </w:rPr>
              <w:t>5.2.2.4.21</w:t>
            </w:r>
            <w:r>
              <w:rPr>
                <w:rFonts w:eastAsia="Times New Roman"/>
                <w:sz w:val="22"/>
                <w:lang w:eastAsia="ja-JP"/>
              </w:rPr>
              <w:tab/>
            </w:r>
            <w:r>
              <w:rPr>
                <w:rFonts w:eastAsia="Times New Roman"/>
                <w:sz w:val="22"/>
                <w:lang w:eastAsia="ja-JP"/>
              </w:rPr>
              <w:t xml:space="preserve">Actions upon reception of </w:t>
            </w:r>
            <w:r>
              <w:rPr>
                <w:rFonts w:eastAsia="Times New Roman"/>
                <w:i/>
                <w:iCs/>
                <w:sz w:val="22"/>
                <w:lang w:eastAsia="ja-JP"/>
              </w:rPr>
              <w:t>SIB19</w:t>
            </w:r>
          </w:p>
          <w:p>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w:t>
            </w:r>
            <w:ins w:id="0" w:author="ASUSTeK" w:date="2022-07-25T09:55:00Z">
              <w:r>
                <w:rPr>
                  <w:rFonts w:eastAsia="Times New Roman"/>
                  <w:lang w:eastAsia="ja-JP"/>
                </w:rPr>
                <w:t xml:space="preserve">for </w:t>
              </w:r>
            </w:ins>
            <w:ins w:id="1" w:author="ASUSTeK" w:date="2022-08-03T14:09:00Z">
              <w:r>
                <w:rPr>
                  <w:rFonts w:eastAsia="Times New Roman"/>
                  <w:lang w:eastAsia="ja-JP"/>
                </w:rPr>
                <w:t xml:space="preserve">the </w:t>
              </w:r>
            </w:ins>
            <w:ins w:id="2" w:author="ASUSTeK" w:date="2022-07-25T09:55:00Z">
              <w:r>
                <w:rPr>
                  <w:rFonts w:eastAsia="Times New Roman"/>
                  <w:lang w:eastAsia="ja-JP"/>
                </w:rPr>
                <w:t xml:space="preserve">serving cell </w:t>
              </w:r>
            </w:ins>
            <w:r>
              <w:rPr>
                <w:rFonts w:eastAsia="Times New Roman"/>
                <w:lang w:eastAsia="ja-JP"/>
              </w:rPr>
              <w:t xml:space="preserve">from the subframe indicated by </w:t>
            </w:r>
            <w:r>
              <w:rPr>
                <w:rFonts w:eastAsia="Times New Roman"/>
                <w:i/>
                <w:iCs/>
                <w:lang w:eastAsia="ja-JP"/>
              </w:rPr>
              <w:t>epochTime</w:t>
            </w:r>
            <w:r>
              <w:rPr>
                <w:rFonts w:eastAsia="Times New Roman"/>
                <w:lang w:eastAsia="ja-JP"/>
              </w:rPr>
              <w:t xml:space="preserve"> </w:t>
            </w:r>
            <w:ins w:id="3" w:author="ASUSTeK" w:date="2022-07-25T09:55:00Z">
              <w:r>
                <w:rPr>
                  <w:rFonts w:eastAsia="Times New Roman"/>
                  <w:lang w:eastAsia="ja-JP"/>
                </w:rPr>
                <w:t xml:space="preserve">for </w:t>
              </w:r>
            </w:ins>
            <w:ins w:id="4" w:author="ASUSTeK" w:date="2022-08-03T14:09:00Z">
              <w:r>
                <w:rPr>
                  <w:rFonts w:eastAsia="Times New Roman"/>
                  <w:lang w:eastAsia="ja-JP"/>
                </w:rPr>
                <w:t xml:space="preserve">the </w:t>
              </w:r>
            </w:ins>
            <w:ins w:id="5" w:author="ASUSTeK" w:date="2022-07-25T09:55:00Z">
              <w:r>
                <w:rPr>
                  <w:rFonts w:eastAsia="Times New Roman"/>
                  <w:lang w:eastAsia="ja-JP"/>
                </w:rPr>
                <w:t>serving cell</w:t>
              </w:r>
            </w:ins>
            <w:r>
              <w:rPr>
                <w:rFonts w:eastAsia="Times New Roman"/>
                <w:lang w:eastAsia="ja-JP"/>
              </w:rPr>
              <w:t>;</w:t>
            </w:r>
          </w:p>
          <w:p>
            <w:pPr>
              <w:pStyle w:val="27"/>
              <w:spacing w:before="156" w:beforeLines="50" w:after="156" w:afterLines="50" w:line="280" w:lineRule="exact"/>
              <w:rPr>
                <w:b/>
                <w:sz w:val="22"/>
                <w:szCs w:val="22"/>
              </w:rPr>
            </w:pPr>
            <w:r>
              <w:rPr>
                <w:rFonts w:eastAsia="Times New Roman"/>
                <w:lang w:eastAsia="ja-JP"/>
              </w:rPr>
              <w:t>NOTE:</w:t>
            </w:r>
            <w:r>
              <w:rPr>
                <w:rFonts w:eastAsia="Times New Roman"/>
                <w:lang w:eastAsia="ja-JP"/>
              </w:rPr>
              <w:tab/>
            </w:r>
            <w:r>
              <w:rPr>
                <w:rFonts w:eastAsia="Times New Roman"/>
                <w:lang w:eastAsia="ja-JP"/>
              </w:rPr>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pPr>
        <w:rPr>
          <w:i/>
          <w:sz w:val="21"/>
          <w:szCs w:val="21"/>
          <w:u w:val="single"/>
        </w:rPr>
      </w:pPr>
    </w:p>
    <w:p>
      <w:pPr>
        <w:rPr>
          <w:rFonts w:cs="Arial"/>
          <w:b/>
          <w:bCs/>
          <w:color w:val="000000" w:themeColor="text1"/>
          <w14:textFill>
            <w14:solidFill>
              <w14:schemeClr w14:val="tx1"/>
            </w14:solidFill>
          </w14:textFill>
        </w:rPr>
      </w:pPr>
      <w:r>
        <w:rPr>
          <w:rFonts w:cs="Arial"/>
          <w:b/>
          <w:color w:val="000000"/>
        </w:rPr>
        <w:t xml:space="preserve">Question 6: If Q5 is agreed, do companies agree to adopt the TP in R2-2209852? </w:t>
      </w:r>
      <w:r>
        <w:rPr>
          <w:rFonts w:cs="Arial"/>
          <w:b/>
          <w:bCs/>
          <w:color w:val="000000" w:themeColor="text1"/>
          <w14:textFill>
            <w14:solidFill>
              <w14:schemeClr w14:val="tx1"/>
            </w14:solidFill>
          </w14:textFill>
        </w:rPr>
        <w:t xml:space="preserve"> </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Agree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bookmarkEnd w:id="7"/>
    </w:tbl>
    <w:p>
      <w:bookmarkStart w:id="8" w:name="_Hlk111539043"/>
    </w:p>
    <w:p>
      <w:pPr>
        <w:pStyle w:val="4"/>
      </w:pPr>
      <w:r>
        <w:t>T430 upon entering RRC_IDLE</w:t>
      </w:r>
    </w:p>
    <w:p>
      <w:pPr>
        <w:pStyle w:val="27"/>
        <w:spacing w:after="156" w:afterLines="50" w:line="280" w:lineRule="exact"/>
        <w:rPr>
          <w:rFonts w:ascii="Times New Roman" w:hAnsi="Times New Roman"/>
          <w:color w:val="000000" w:themeColor="text1"/>
          <w14:textFill>
            <w14:solidFill>
              <w14:schemeClr w14:val="tx1"/>
            </w14:solidFill>
          </w14:textFill>
        </w:rPr>
      </w:pPr>
      <w:r>
        <w:t xml:space="preserve">In [7], T430 upon entering RRC_IDLE is discussed as follows. </w:t>
      </w:r>
      <w:r>
        <w:rPr>
          <w:color w:val="000000" w:themeColor="text1"/>
          <w14:textFill>
            <w14:solidFill>
              <w14:schemeClr w14:val="tx1"/>
            </w14:solidFill>
          </w14:textFill>
        </w:rPr>
        <w:t xml:space="preserve">Currently, the UE would stop running timers including T430 upon going to RRC idle mode as following text in TS 38.331.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keepNext/>
              <w:keepLines/>
              <w:spacing w:before="120"/>
              <w:ind w:left="1134" w:hanging="1134"/>
              <w:outlineLvl w:val="2"/>
              <w:rPr>
                <w:rFonts w:eastAsia="MS Mincho"/>
                <w:lang w:eastAsia="ja-JP"/>
              </w:rPr>
            </w:pPr>
            <w:bookmarkStart w:id="9" w:name="_Toc60776828"/>
            <w:bookmarkStart w:id="10" w:name="_Toc100929643"/>
            <w:r>
              <w:rPr>
                <w:rFonts w:eastAsia="MS Mincho"/>
                <w:lang w:eastAsia="ja-JP"/>
              </w:rPr>
              <w:t>5.3.11</w:t>
            </w:r>
            <w:r>
              <w:rPr>
                <w:rFonts w:eastAsia="MS Mincho"/>
                <w:lang w:eastAsia="ja-JP"/>
              </w:rPr>
              <w:tab/>
            </w:r>
            <w:r>
              <w:rPr>
                <w:rFonts w:eastAsia="MS Mincho"/>
                <w:lang w:eastAsia="ja-JP"/>
              </w:rPr>
              <w:t>UE actions upon going to RRC_IDLE</w:t>
            </w:r>
            <w:bookmarkEnd w:id="9"/>
            <w:bookmarkEnd w:id="10"/>
          </w:p>
          <w:p>
            <w:pPr>
              <w:rPr>
                <w:rFonts w:ascii="Times New Roman" w:hAnsi="Times New Roman" w:eastAsia="Times New Roman"/>
                <w:lang w:eastAsia="ja-JP"/>
              </w:rPr>
            </w:pPr>
            <w:r>
              <w:rPr>
                <w:rFonts w:eastAsia="Times New Roman"/>
                <w:lang w:eastAsia="ja-JP"/>
              </w:rPr>
              <w:t>The UE shall:</w:t>
            </w:r>
          </w:p>
          <w:p>
            <w:pPr>
              <w:ind w:left="568" w:hanging="284"/>
              <w:rPr>
                <w:rFonts w:eastAsia="Times New Roman"/>
                <w:lang w:eastAsia="ja-JP"/>
              </w:rPr>
            </w:pPr>
            <w:r>
              <w:rPr>
                <w:rFonts w:eastAsia="Times New Roman"/>
                <w:lang w:eastAsia="ja-JP"/>
              </w:rPr>
              <w:t>[…]</w:t>
            </w:r>
          </w:p>
          <w:p>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T400;</w:t>
            </w:r>
          </w:p>
          <w:p>
            <w:pPr>
              <w:ind w:left="568" w:hanging="284"/>
              <w:rPr>
                <w:rFonts w:eastAsia="Times New Roman"/>
                <w:lang w:eastAsia="ja-JP"/>
              </w:rPr>
            </w:pPr>
            <w:r>
              <w:rPr>
                <w:rFonts w:eastAsia="Times New Roman"/>
                <w:lang w:eastAsia="ja-JP"/>
              </w:rPr>
              <w:t>[…]</w:t>
            </w:r>
          </w:p>
        </w:tc>
      </w:tr>
    </w:tbl>
    <w:p>
      <w:pPr>
        <w:pStyle w:val="27"/>
        <w:spacing w:before="156" w:beforeLines="50" w:after="156" w:afterLines="50" w:line="280" w:lineRule="exact"/>
        <w:rPr>
          <w:rFonts w:eastAsia="PMingLiU"/>
          <w:color w:val="000000" w:themeColor="text1"/>
          <w:lang w:eastAsia="zh-TW"/>
          <w14:textFill>
            <w14:solidFill>
              <w14:schemeClr w14:val="tx1"/>
            </w14:solidFill>
          </w14:textFill>
        </w:rPr>
      </w:pPr>
      <w:r>
        <w:rPr>
          <w:color w:val="000000" w:themeColor="text1"/>
          <w14:textFill>
            <w14:solidFill>
              <w14:schemeClr w14:val="tx1"/>
            </w14:solidFill>
          </w14:textFill>
        </w:rPr>
        <w:t xml:space="preserve">This means the UE does not maintain T430 upon entering RRC idle mode </w:t>
      </w:r>
      <w:r>
        <w:rPr>
          <w:rFonts w:eastAsiaTheme="minorEastAsia"/>
          <w:color w:val="000000" w:themeColor="text1"/>
          <w14:textFill>
            <w14:solidFill>
              <w14:schemeClr w14:val="tx1"/>
            </w14:solidFill>
          </w14:textFill>
        </w:rPr>
        <w:t xml:space="preserve">even </w:t>
      </w:r>
      <w:r>
        <w:rPr>
          <w:rFonts w:eastAsia="MingLiU"/>
          <w:color w:val="000000" w:themeColor="text1"/>
          <w14:textFill>
            <w14:solidFill>
              <w14:schemeClr w14:val="tx1"/>
            </w14:solidFill>
          </w14:textFill>
        </w:rPr>
        <w:t>the satellite assistance information</w:t>
      </w:r>
      <w:r>
        <w:rPr>
          <w:rFonts w:eastAsiaTheme="minorEastAsia"/>
          <w:color w:val="000000" w:themeColor="text1"/>
          <w14:textFill>
            <w14:solidFill>
              <w14:schemeClr w14:val="tx1"/>
            </w14:solidFill>
          </w14:textFill>
        </w:rPr>
        <w:t xml:space="preserve"> is still valid</w:t>
      </w:r>
      <w:r>
        <w:rPr>
          <w:color w:val="000000" w:themeColor="text1"/>
          <w14:textFill>
            <w14:solidFill>
              <w14:schemeClr w14:val="tx1"/>
            </w14:solidFill>
          </w14:textFill>
        </w:rPr>
        <w:t xml:space="preserve">. </w:t>
      </w:r>
      <w:r>
        <w:rPr>
          <w:rFonts w:eastAsia="MingLiU"/>
          <w:color w:val="000000" w:themeColor="text1"/>
          <w14:textFill>
            <w14:solidFill>
              <w14:schemeClr w14:val="tx1"/>
            </w14:solidFill>
          </w14:textFill>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14:textFill>
            <w14:solidFill>
              <w14:schemeClr w14:val="tx1"/>
            </w14:solidFill>
          </w14:textFill>
        </w:rPr>
        <w:t xml:space="preserve">. </w:t>
      </w:r>
      <w:r>
        <w:rPr>
          <w:rFonts w:eastAsia="MingLiU"/>
          <w:color w:val="000000" w:themeColor="text1"/>
          <w14:textFill>
            <w14:solidFill>
              <w14:schemeClr w14:val="tx1"/>
            </w14:solidFill>
          </w14:textFill>
        </w:rPr>
        <w:t>Therefore, it</w:t>
      </w:r>
      <w:r>
        <w:rPr>
          <w:color w:val="000000" w:themeColor="text1"/>
          <w14:textFill>
            <w14:solidFill>
              <w14:schemeClr w14:val="tx1"/>
            </w14:solidFill>
          </w14:textFill>
        </w:rPr>
        <w:t xml:space="preserve"> is proposed that t</w:t>
      </w:r>
      <w:r>
        <w:rPr>
          <w:rFonts w:eastAsiaTheme="minorEastAsia"/>
          <w:color w:val="000000" w:themeColor="text1"/>
          <w14:textFill>
            <w14:solidFill>
              <w14:schemeClr w14:val="tx1"/>
            </w14:solidFill>
          </w14:textFill>
        </w:rPr>
        <w:t xml:space="preserve">he UE should not stop T430 upon going to RRC idle mode. </w:t>
      </w:r>
    </w:p>
    <w:p>
      <w:pPr>
        <w:pStyle w:val="27"/>
        <w:spacing w:before="156" w:beforeLines="50" w:after="156" w:afterLines="50" w:line="280" w:lineRule="exact"/>
        <w:rPr>
          <w:b/>
          <w:lang w:val="en-US"/>
        </w:rPr>
      </w:pPr>
      <w:r>
        <w:rPr>
          <w:rFonts w:cs="Arial"/>
          <w:b/>
          <w:color w:val="000000"/>
        </w:rPr>
        <w:t>Question 7: Do companies agree that</w:t>
      </w:r>
      <w:r>
        <w:rPr>
          <w:b/>
        </w:rPr>
        <w:t xml:space="preserve"> UE should not stop T430 upon going to RRC_IDLE.</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Agree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p>
        </w:tc>
      </w:tr>
    </w:tbl>
    <w:p/>
    <w:p/>
    <w:p/>
    <w:p>
      <w:pPr>
        <w:pStyle w:val="3"/>
        <w:numPr>
          <w:ilvl w:val="1"/>
          <w:numId w:val="12"/>
        </w:numPr>
        <w:tabs>
          <w:tab w:val="left" w:pos="576"/>
        </w:tabs>
        <w:rPr>
          <w:rFonts w:cs="Times New Roman"/>
        </w:rPr>
      </w:pPr>
      <w:r>
        <w:rPr>
          <w:rFonts w:cs="Times New Roman"/>
        </w:rPr>
        <w:t>Neighbour cell</w:t>
      </w:r>
    </w:p>
    <w:p>
      <w:pPr>
        <w:pStyle w:val="4"/>
      </w:pPr>
      <w:r>
        <w:t>Clarification on epoch time</w:t>
      </w:r>
    </w:p>
    <w:p>
      <w:r>
        <w:t xml:space="preserve">In [3], the epoch time for neighbour cell is discussed. In the current TS 38.331, the field description for </w:t>
      </w:r>
      <w:r>
        <w:rPr>
          <w:i/>
        </w:rPr>
        <w:t>epochTime</w:t>
      </w:r>
      <w:r>
        <w:t xml:space="preserve"> is as follows.</w:t>
      </w:r>
    </w:p>
    <w:tbl>
      <w:tblPr>
        <w:tblStyle w:val="45"/>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1" w:type="dxa"/>
            <w:tcBorders>
              <w:top w:val="single" w:color="auto" w:sz="4" w:space="0"/>
              <w:left w:val="single" w:color="auto" w:sz="4" w:space="0"/>
              <w:bottom w:val="single" w:color="auto" w:sz="4" w:space="0"/>
              <w:right w:val="single" w:color="auto" w:sz="4" w:space="0"/>
            </w:tcBorders>
          </w:tcPr>
          <w:p>
            <w:pPr>
              <w:pStyle w:val="68"/>
              <w:rPr>
                <w:b/>
                <w:i/>
                <w:szCs w:val="22"/>
                <w:lang w:eastAsia="sv-SE"/>
              </w:rPr>
            </w:pPr>
            <w:r>
              <w:rPr>
                <w:b/>
                <w:i/>
                <w:szCs w:val="22"/>
                <w:lang w:eastAsia="sv-SE"/>
              </w:rPr>
              <w:t>epochTime</w:t>
            </w:r>
          </w:p>
          <w:p>
            <w:pPr>
              <w:pStyle w:val="68"/>
              <w:rPr>
                <w:bCs/>
                <w:iCs/>
                <w:szCs w:val="22"/>
                <w:lang w:eastAsia="sv-SE"/>
              </w:rPr>
            </w:pPr>
            <w:r>
              <w:rPr>
                <w:bCs/>
                <w:iCs/>
                <w:szCs w:val="22"/>
                <w:lang w:eastAsia="sv-SE"/>
              </w:rPr>
              <w:t xml:space="preserve">Indicate the epoch time for the NTN assistance information. When explicitly provided through SIB, or through dedicated signaling,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bl>
    <w:p>
      <w:pPr>
        <w:spacing w:before="240" w:after="0"/>
        <w:rPr>
          <w:lang w:val="en-US"/>
        </w:rPr>
      </w:pPr>
      <w:r>
        <w:rPr>
          <w:rFonts w:hint="eastAsia"/>
          <w:lang w:val="en-US"/>
        </w:rPr>
        <w:t>B</w:t>
      </w:r>
      <w:r>
        <w:rPr>
          <w:lang w:val="en-US"/>
        </w:rPr>
        <w:t>ased on previous agreements and the field description, it is clear that:</w:t>
      </w:r>
    </w:p>
    <w:p>
      <w:pPr>
        <w:numPr>
          <w:ilvl w:val="0"/>
          <w:numId w:val="16"/>
        </w:numPr>
        <w:spacing w:after="0"/>
        <w:jc w:val="left"/>
      </w:pPr>
      <w:r>
        <w:rPr>
          <w:lang w:val="en-US"/>
        </w:rPr>
        <w:t>If e</w:t>
      </w:r>
      <w:r>
        <w:t>poch time for neighbour cell</w:t>
      </w:r>
      <w:r>
        <w:rPr>
          <w:lang w:val="en-US"/>
        </w:rPr>
        <w:t xml:space="preserve"> is absent in </w:t>
      </w:r>
      <w:r>
        <w:rPr>
          <w:i/>
          <w:lang w:val="en-US"/>
        </w:rPr>
        <w:t>ntn-Config</w:t>
      </w:r>
      <w:r>
        <w:rPr>
          <w:lang w:val="en-US"/>
        </w:rPr>
        <w:t xml:space="preserve"> provided via </w:t>
      </w:r>
      <w:r>
        <w:rPr>
          <w:i/>
          <w:lang w:val="en-US"/>
        </w:rPr>
        <w:t>NTN-NeighCellConfig</w:t>
      </w:r>
      <w:r>
        <w:rPr>
          <w:lang w:val="en-US"/>
        </w:rPr>
        <w:t>, the UE uses epoch time for serving cell;</w:t>
      </w:r>
    </w:p>
    <w:p>
      <w:pPr>
        <w:numPr>
          <w:ilvl w:val="0"/>
          <w:numId w:val="16"/>
        </w:numPr>
        <w:spacing w:after="0"/>
        <w:jc w:val="left"/>
      </w:pPr>
      <w:r>
        <w:t xml:space="preserve">If </w:t>
      </w:r>
      <w:r>
        <w:rPr>
          <w:lang w:val="en-US"/>
        </w:rPr>
        <w:t>e</w:t>
      </w:r>
      <w:r>
        <w:t>poch time for serving cell is absent, the epoch time is the end of SI window where this SIB19 is scheduled;</w:t>
      </w:r>
    </w:p>
    <w:p>
      <w:pPr>
        <w:spacing w:after="0"/>
      </w:pPr>
      <w:r>
        <w:t xml:space="preserve">However, if both </w:t>
      </w:r>
      <w:r>
        <w:rPr>
          <w:lang w:val="en-US"/>
        </w:rPr>
        <w:t>e</w:t>
      </w:r>
      <w:r>
        <w:t xml:space="preserve">poch time for serving cell and </w:t>
      </w:r>
      <w:r>
        <w:rPr>
          <w:lang w:val="en-US"/>
        </w:rPr>
        <w:t>e</w:t>
      </w:r>
      <w:r>
        <w:t xml:space="preserve">poch time for neighbour cell are absent, it is unclear whether the UE can use the end of SI window where this SIB19 is scheduled as the </w:t>
      </w:r>
      <w:r>
        <w:rPr>
          <w:rFonts w:hint="eastAsia"/>
        </w:rPr>
        <w:t>epoch</w:t>
      </w:r>
      <w:r>
        <w:t xml:space="preserve"> time for the neighbouring cell.</w:t>
      </w:r>
    </w:p>
    <w:p>
      <w:pPr>
        <w:spacing w:after="0"/>
      </w:pPr>
    </w:p>
    <w:p>
      <w:pPr>
        <w:rPr>
          <w:rFonts w:cs="Arial"/>
          <w:b/>
          <w:bCs/>
          <w:color w:val="000000" w:themeColor="text1"/>
          <w14:textFill>
            <w14:solidFill>
              <w14:schemeClr w14:val="tx1"/>
            </w14:solidFill>
          </w14:textFill>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14:textFill>
            <w14:solidFill>
              <w14:schemeClr w14:val="tx1"/>
            </w14:solidFill>
          </w14:textFill>
        </w:rPr>
        <w:t xml:space="preserve"> </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Agree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bl>
    <w:p>
      <w:pPr>
        <w:rPr>
          <w:color w:val="0070C0"/>
        </w:rPr>
      </w:pPr>
    </w:p>
    <w:p>
      <w:pPr>
        <w:rPr>
          <w:color w:val="0070C0"/>
        </w:rPr>
      </w:pPr>
    </w:p>
    <w:p>
      <w:pPr>
        <w:rPr>
          <w:lang w:val="en-US"/>
        </w:rPr>
      </w:pPr>
      <w:r>
        <w:rPr>
          <w:lang w:val="en-US"/>
        </w:rPr>
        <w:t>In RAN1 #110, the following agreements were achieved: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6" w:type="dxa"/>
            <w:shd w:val="clear" w:color="auto" w:fill="auto"/>
          </w:tcPr>
          <w:p>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pPr>
              <w:overflowPunct/>
              <w:autoSpaceDE/>
              <w:autoSpaceDN/>
              <w:adjustRightInd/>
              <w:spacing w:after="0"/>
              <w:textAlignment w:val="auto"/>
              <w:rPr>
                <w:rFonts w:cs="Arial"/>
                <w:b/>
                <w:color w:val="493118"/>
                <w:lang w:val="en-US"/>
              </w:rPr>
            </w:pPr>
          </w:p>
          <w:p>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EpochTime is indicated explicitly by a SFN and subframe number, the UE considers this frame to be the current SFN or the next upcoming SFN after the frame where the message indicating the Epoch time is received. </w:t>
            </w:r>
          </w:p>
          <w:p>
            <w:pPr>
              <w:widowControl w:val="0"/>
              <w:overflowPunct/>
              <w:autoSpaceDE/>
              <w:autoSpaceDN/>
              <w:adjustRightInd/>
              <w:spacing w:after="0"/>
              <w:textAlignment w:val="auto"/>
              <w:rPr>
                <w:rFonts w:ascii="Calibri" w:hAnsi="Calibri"/>
                <w:iCs/>
                <w:kern w:val="2"/>
                <w:sz w:val="21"/>
                <w:szCs w:val="22"/>
                <w:lang w:val="en-US"/>
              </w:rPr>
            </w:pPr>
          </w:p>
          <w:p>
            <w:pPr>
              <w:widowControl w:val="0"/>
              <w:overflowPunct/>
              <w:autoSpaceDE/>
              <w:autoSpaceDN/>
              <w:adjustRightInd/>
              <w:spacing w:after="0"/>
              <w:textAlignment w:val="auto"/>
              <w:rPr>
                <w:rFonts w:hint="eastAsia" w:ascii="Calibri" w:hAnsi="Calibri"/>
                <w:iCs/>
                <w:kern w:val="2"/>
                <w:sz w:val="21"/>
                <w:szCs w:val="22"/>
                <w:lang w:val="en-US"/>
              </w:rPr>
            </w:pPr>
            <w:r>
              <w:rPr>
                <w:rFonts w:ascii="Calibri" w:hAnsi="Calibri"/>
                <w:iCs/>
                <w:kern w:val="2"/>
                <w:sz w:val="21"/>
                <w:szCs w:val="22"/>
                <w:lang w:val="en-US"/>
              </w:rPr>
              <w:t>For neighbor cell if EpochTime is indicated explicitly by a SFN and subframe number, the UE considers this frame to be the frame nearest to the frame where the message indicating the Epoch time is received.</w:t>
            </w:r>
          </w:p>
        </w:tc>
      </w:tr>
    </w:tbl>
    <w:p>
      <w:pPr>
        <w:spacing w:before="240"/>
        <w:rPr>
          <w:lang w:val="en-US"/>
        </w:rPr>
      </w:pPr>
      <w:r>
        <w:rPr>
          <w:lang w:val="en-US"/>
        </w:rPr>
        <w:t xml:space="preserve">In RAN2#119bis-e, the following agreement is made. </w:t>
      </w:r>
    </w:p>
    <w:p>
      <w:pPr>
        <w:pBdr>
          <w:top w:val="single" w:color="auto" w:sz="4" w:space="1"/>
          <w:left w:val="single" w:color="auto" w:sz="4" w:space="4"/>
          <w:bottom w:val="single" w:color="auto" w:sz="4" w:space="1"/>
          <w:right w:val="single" w:color="auto" w:sz="4" w:space="4"/>
        </w:pBdr>
        <w:rPr>
          <w:lang w:val="en-US"/>
        </w:rPr>
      </w:pPr>
      <w:r>
        <w:rPr>
          <w:lang w:val="en-US"/>
        </w:rPr>
        <w:t>Agreements:</w:t>
      </w:r>
    </w:p>
    <w:p>
      <w:pPr>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In the field description of epochTime, include RAN1’s agreement on the interpretation of the SFN indicating the epoch time for serving cell and neighbor cell</w:t>
      </w:r>
    </w:p>
    <w:p>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pPr>
        <w:rPr>
          <w:rFonts w:cs="Arial"/>
          <w:b/>
          <w:bCs/>
          <w:color w:val="000000" w:themeColor="text1"/>
          <w14:textFill>
            <w14:solidFill>
              <w14:schemeClr w14:val="tx1"/>
            </w14:solidFill>
          </w14:textFill>
        </w:rPr>
      </w:pPr>
      <w:r>
        <w:rPr>
          <w:rFonts w:cs="Arial"/>
          <w:b/>
          <w:color w:val="000000"/>
        </w:rPr>
        <w:t xml:space="preserve">Question 9: Do companies agree that </w:t>
      </w:r>
      <w:r>
        <w:rPr>
          <w:b/>
          <w:bCs/>
        </w:rPr>
        <w:t>if epoch time for neighbor cell is absent, and the serving cell epoch time is reused for neighbor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14:textFill>
            <w14:solidFill>
              <w14:schemeClr w14:val="tx1"/>
            </w14:solidFill>
          </w14:textFill>
        </w:rPr>
        <w:t xml:space="preserve"> </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jc w:val="cente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Agree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bl>
    <w:p/>
    <w:p>
      <w:pPr>
        <w:rPr>
          <w:color w:val="0070C0"/>
        </w:rPr>
      </w:pPr>
    </w:p>
    <w:p>
      <w:pPr>
        <w:pStyle w:val="3"/>
      </w:pPr>
      <w:r>
        <w:t>3.3 Target cell</w:t>
      </w:r>
    </w:p>
    <w:bookmarkEnd w:id="8"/>
    <w:p>
      <w:pPr>
        <w:pStyle w:val="4"/>
      </w:pPr>
      <w:r>
        <w:t>Epoch time for target cell</w:t>
      </w:r>
    </w:p>
    <w:p>
      <w:r>
        <w:t xml:space="preserve">The interpretation of explicit epoch time, i.e. the indicated SFN and subframe number, for the target cell in HO/CHO is discussed in [1], [2], and [3]. In [3], it is noted that in RAN2#118-e, the following agreement was made.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t xml:space="preserve">Agreement: </w:t>
            </w:r>
          </w:p>
          <w:p>
            <w:pPr>
              <w:pStyle w:val="90"/>
              <w:numPr>
                <w:ilvl w:val="0"/>
                <w:numId w:val="17"/>
              </w:numPr>
            </w:pPr>
            <w:r>
              <w:t>During HO, the target cell’s epoch time (i.e. SFN and subframe number) is based on target cells’ timing.</w:t>
            </w:r>
          </w:p>
        </w:tc>
      </w:tr>
    </w:tbl>
    <w:p>
      <w:r>
        <w:t xml:space="preserve">This means the epoch time (SFN and the subframe number) refers to the SFN and sub-frame of the target cell. UE can read the MIB message of the target cell to obtain the SFN during handover. Considering the SFN wraps around every 10.24s, the association between the SFN indicated by the epoch time and the SFN where the MIB is acquired is ambiguous for the UE. This is similar to the ambiguity for serving/neighbour cell epoch time, for which RAN1 agreement was made. </w:t>
      </w:r>
    </w:p>
    <w:p>
      <w:pPr>
        <w:rPr>
          <w:lang w:val="en-US"/>
        </w:rPr>
      </w:pPr>
      <w:r>
        <w:t xml:space="preserve">Then for the target cell, the SFN indicated by the epoch time may be same as the SFN where the MIB of target cell is acquired; the SFN indicated by the epoch time may be previous frame of the SFN where the MIB is acquired; the SFN indicated by the epoch time may be next frame of the SFN where the MIB is acquired. Or </w:t>
      </w:r>
      <w:r>
        <w:rPr>
          <w:lang w:val="en-US"/>
        </w:rPr>
        <w:t>UE can directly read the SIB19 of the target cell during the handover and ignore the epoch time in HO command.</w:t>
      </w:r>
    </w:p>
    <w:p>
      <w:r>
        <w:t xml:space="preserve">It is also proposed in [2] that </w:t>
      </w:r>
      <w:r>
        <w:rPr>
          <w:rFonts w:cs="Arial"/>
          <w:lang w:val="en-US"/>
        </w:rPr>
        <w:t xml:space="preserve">UE considers the target cell as the neighbor cell to decide the reference frame/SFN of the epochTime, so that potential delay in waiting UL sync info to be valid can be avoided. </w:t>
      </w:r>
    </w:p>
    <w:p>
      <w:pPr>
        <w:rPr>
          <w:b/>
        </w:rPr>
      </w:pPr>
      <w:r>
        <w:rPr>
          <w:rFonts w:cs="Arial"/>
          <w:b/>
          <w:color w:val="000000"/>
        </w:rPr>
        <w:t xml:space="preserve">Question 10: </w:t>
      </w:r>
      <w:r>
        <w:rPr>
          <w:b/>
        </w:rPr>
        <w:t>In case of HO, which of the following options is preferred?</w:t>
      </w:r>
    </w:p>
    <w:p>
      <w:pPr>
        <w:numPr>
          <w:ilvl w:val="0"/>
          <w:numId w:val="18"/>
        </w:numPr>
        <w:spacing w:after="180"/>
        <w:jc w:val="left"/>
        <w:rPr>
          <w:b/>
        </w:rPr>
      </w:pPr>
      <w:r>
        <w:rPr>
          <w:b/>
        </w:rPr>
        <w:t>Option 1: if target cell EpochTime is indicated explicitly by a SFN and subframe number, the UE considers this frame to be the current SFN or the next upcoming SFN after the frame where the MIB of target cell is firstly acquired.</w:t>
      </w:r>
    </w:p>
    <w:p>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pPr>
        <w:numPr>
          <w:ilvl w:val="0"/>
          <w:numId w:val="18"/>
        </w:numPr>
        <w:spacing w:after="180"/>
        <w:jc w:val="left"/>
        <w:rPr>
          <w:b/>
        </w:rPr>
      </w:pPr>
      <w:r>
        <w:rPr>
          <w:b/>
        </w:rPr>
        <w:t>Option 4: the UE directly read the SIB19 of the target cell and ignore the epoch time in HO command.</w:t>
      </w:r>
    </w:p>
    <w:p>
      <w:pPr>
        <w:numPr>
          <w:ilvl w:val="0"/>
          <w:numId w:val="18"/>
        </w:numPr>
        <w:spacing w:after="180"/>
        <w:jc w:val="left"/>
        <w:rPr>
          <w:b/>
        </w:rPr>
      </w:pPr>
      <w:r>
        <w:rPr>
          <w:b/>
        </w:rPr>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pPr>
        <w:numPr>
          <w:ilvl w:val="0"/>
          <w:numId w:val="18"/>
        </w:numPr>
        <w:spacing w:after="180"/>
        <w:jc w:val="left"/>
        <w:rPr>
          <w:b/>
        </w:rPr>
      </w:pPr>
      <w:r>
        <w:rPr>
          <w:b/>
        </w:rPr>
        <w:t>Option 6: other</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Option</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jc w:val="cente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Option 1</w:t>
            </w:r>
          </w:p>
        </w:tc>
        <w:tc>
          <w:tcPr>
            <w:tcW w:w="5954" w:type="dxa"/>
            <w:shd w:val="clear" w:color="auto" w:fill="auto"/>
          </w:tcPr>
          <w:p>
            <w:pPr>
              <w:jc w:val="left"/>
              <w:rPr>
                <w:rFonts w:hint="default" w:eastAsia="等线"/>
                <w:lang w:val="en-US" w:eastAsia="zh-CN"/>
              </w:rPr>
            </w:pPr>
            <w:r>
              <w:rPr>
                <w:rFonts w:hint="eastAsia" w:eastAsia="等线"/>
                <w:lang w:val="en-US" w:eastAsia="zh-CN"/>
              </w:rPr>
              <w:t>Given that the target cell will become serving cell very soon, we should adopt the understanding of this frame for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bl>
    <w:p>
      <w:pPr>
        <w:spacing w:after="180"/>
        <w:jc w:val="left"/>
        <w:rPr>
          <w:b/>
        </w:rPr>
      </w:pPr>
    </w:p>
    <w:p>
      <w:pPr>
        <w:rPr>
          <w:rFonts w:cs="Arial"/>
          <w:b/>
          <w:color w:val="000000"/>
        </w:rPr>
      </w:pPr>
    </w:p>
    <w:p>
      <w:pPr>
        <w:rPr>
          <w:b/>
        </w:rPr>
      </w:pPr>
      <w:r>
        <w:rPr>
          <w:rFonts w:cs="Arial"/>
          <w:b/>
          <w:color w:val="000000"/>
        </w:rPr>
        <w:t xml:space="preserve">Question 11: </w:t>
      </w:r>
      <w:r>
        <w:rPr>
          <w:b/>
        </w:rPr>
        <w:t>In case of CHO, which of the following options is preferred?</w:t>
      </w:r>
    </w:p>
    <w:p>
      <w:pPr>
        <w:numPr>
          <w:ilvl w:val="0"/>
          <w:numId w:val="18"/>
        </w:numPr>
        <w:spacing w:after="180"/>
        <w:jc w:val="left"/>
        <w:rPr>
          <w:b/>
        </w:rPr>
      </w:pPr>
      <w:r>
        <w:rPr>
          <w:b/>
        </w:rPr>
        <w:t>Option 1: if target cell EpochTime is indicated explicitly by a SFN and subframe number, the UE considers this frame to be the current SFN or the next upcoming SFN after the frame where the MIB of target cell is firstly acquired.</w:t>
      </w:r>
    </w:p>
    <w:p>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pPr>
        <w:numPr>
          <w:ilvl w:val="0"/>
          <w:numId w:val="18"/>
        </w:numPr>
        <w:spacing w:after="180"/>
        <w:jc w:val="left"/>
        <w:rPr>
          <w:b/>
        </w:rPr>
      </w:pPr>
      <w:r>
        <w:rPr>
          <w:b/>
        </w:rPr>
        <w:t>Option 4: the UE directly read the SIB19 of the target cell and ignore the epoch time in HO command.</w:t>
      </w:r>
    </w:p>
    <w:p>
      <w:pPr>
        <w:numPr>
          <w:ilvl w:val="0"/>
          <w:numId w:val="18"/>
        </w:numPr>
        <w:spacing w:after="180"/>
        <w:jc w:val="left"/>
        <w:rPr>
          <w:b/>
        </w:rPr>
      </w:pPr>
      <w:r>
        <w:rPr>
          <w:b/>
        </w:rPr>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pPr>
        <w:numPr>
          <w:ilvl w:val="0"/>
          <w:numId w:val="18"/>
        </w:numPr>
        <w:spacing w:after="180"/>
        <w:jc w:val="left"/>
        <w:rPr>
          <w:b/>
        </w:rPr>
      </w:pPr>
      <w:r>
        <w:rPr>
          <w:b/>
        </w:rPr>
        <w:t>Option 6: other</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Option</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jc w:val="cente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Option 1</w:t>
            </w:r>
          </w:p>
        </w:tc>
        <w:tc>
          <w:tcPr>
            <w:tcW w:w="5954" w:type="dxa"/>
            <w:shd w:val="clear" w:color="auto" w:fill="auto"/>
          </w:tcPr>
          <w:p>
            <w:pPr>
              <w:jc w:val="left"/>
              <w:rPr>
                <w:rFonts w:hint="default" w:eastAsia="等线"/>
                <w:lang w:val="en-US" w:eastAsia="zh-CN"/>
              </w:rPr>
            </w:pPr>
            <w:r>
              <w:rPr>
                <w:rFonts w:hint="eastAsia" w:eastAsia="等线"/>
                <w:lang w:val="en-US" w:eastAsia="zh-CN"/>
              </w:rPr>
              <w:t>Similar as Q10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bl>
    <w:p/>
    <w:p/>
    <w:p/>
    <w:p>
      <w:pPr>
        <w:pStyle w:val="4"/>
      </w:pPr>
      <w:r>
        <w:t>Validity duration for target cell</w:t>
      </w:r>
    </w:p>
    <w:p>
      <w:r>
        <w:t xml:space="preserve">In the current TS 38.331, ntn-UlSyncValidityDuration-r17 is mandatory present for SIB19, and optionally present otherwise. This means, validity duration can be absent in dedicated RRC configuration, which can be reconfigurationWithSync for target cell. In this case, the UE needs to know how to set T430 upon handover even when ntn-UlSyncValidityDuration is absent. In [6], it is proposed to reuse the validity duration for the serving cell in SIB19. </w:t>
      </w:r>
    </w:p>
    <w:p>
      <w:pPr>
        <w:rPr>
          <w:rFonts w:cs="Arial"/>
          <w:b/>
          <w:bCs/>
          <w:color w:val="000000" w:themeColor="text1"/>
          <w14:textFill>
            <w14:solidFill>
              <w14:schemeClr w14:val="tx1"/>
            </w14:solidFill>
          </w14:textFill>
        </w:rPr>
      </w:pPr>
      <w:r>
        <w:rPr>
          <w:rFonts w:cs="Arial"/>
          <w:b/>
          <w:color w:val="000000"/>
        </w:rPr>
        <w:t xml:space="preserve">Question 12: Do companies agree that if validity duration is absent in reconfigurationWithSync for target cell, serving cell validity duration in SIB19 is reused? </w:t>
      </w:r>
      <w:r>
        <w:rPr>
          <w:rFonts w:cs="Arial"/>
          <w:b/>
          <w:bCs/>
          <w:color w:val="000000" w:themeColor="text1"/>
          <w14:textFill>
            <w14:solidFill>
              <w14:schemeClr w14:val="tx1"/>
            </w14:solidFill>
          </w14:textFill>
        </w:rPr>
        <w:t xml:space="preserve"> </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jc w:val="cente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Agree</w:t>
            </w:r>
          </w:p>
        </w:tc>
        <w:tc>
          <w:tcPr>
            <w:tcW w:w="5954" w:type="dxa"/>
            <w:shd w:val="clear" w:color="auto" w:fill="auto"/>
          </w:tcPr>
          <w:p>
            <w:pPr>
              <w:jc w:val="left"/>
              <w:rPr>
                <w:rFonts w:hint="default" w:eastAsia="等线"/>
                <w:lang w:val="en-US" w:eastAsia="zh-CN"/>
              </w:rPr>
            </w:pPr>
            <w:r>
              <w:rPr>
                <w:rFonts w:hint="eastAsia" w:eastAsia="等线"/>
                <w:lang w:val="en-US" w:eastAsia="zh-CN"/>
              </w:rPr>
              <w:t>It is related to the discussion whether neighbor cell NTN-config for target cell exists in serving cell</w:t>
            </w:r>
            <w:r>
              <w:rPr>
                <w:rFonts w:hint="default" w:eastAsia="等线"/>
                <w:lang w:val="en-US" w:eastAsia="zh-CN"/>
              </w:rPr>
              <w:t>’</w:t>
            </w:r>
            <w:r>
              <w:rPr>
                <w:rFonts w:hint="eastAsia" w:eastAsia="等线"/>
                <w:lang w:val="en-US" w:eastAsia="zh-CN"/>
              </w:rPr>
              <w:t>s SIB19. Solution should be aligned. From simplicity point of view, directly following serving cell</w:t>
            </w:r>
            <w:r>
              <w:rPr>
                <w:rFonts w:hint="default" w:eastAsia="等线"/>
                <w:lang w:val="en-US" w:eastAsia="zh-CN"/>
              </w:rPr>
              <w:t>’</w:t>
            </w:r>
            <w:r>
              <w:rPr>
                <w:rFonts w:hint="eastAsia" w:eastAsia="等线"/>
                <w:lang w:val="en-US" w:eastAsia="zh-CN"/>
              </w:rPr>
              <w:t>s NTN config, irrespective of whether neighbor cell NTN-config for target cell exists, is much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bl>
    <w:p>
      <w:pPr>
        <w:rPr>
          <w:b/>
        </w:rPr>
      </w:pPr>
    </w:p>
    <w:p>
      <w:pPr>
        <w:rPr>
          <w:b/>
        </w:rPr>
      </w:pPr>
    </w:p>
    <w:p>
      <w:pPr>
        <w:pStyle w:val="4"/>
      </w:pPr>
      <w:r>
        <w:t>Use SIB19 for HO/CHO</w:t>
      </w:r>
    </w:p>
    <w:p>
      <w:r>
        <w:t>In [4], whether UE can use SIB19 for HO/CHO is discussed. It is pointed out that at RAN2#119e meeting, the following related agreements related to target cell were reached.</w:t>
      </w:r>
    </w:p>
    <w:p>
      <w:pPr>
        <w:pBdr>
          <w:top w:val="single" w:color="auto" w:sz="4" w:space="1"/>
          <w:left w:val="single" w:color="auto" w:sz="4" w:space="4"/>
          <w:bottom w:val="single" w:color="auto" w:sz="4" w:space="1"/>
          <w:right w:val="single" w:color="auto" w:sz="4" w:space="4"/>
        </w:pBdr>
      </w:pPr>
      <w:r>
        <w:t xml:space="preserve">Agreements: </w:t>
      </w:r>
    </w:p>
    <w:p>
      <w:pPr>
        <w:pBdr>
          <w:top w:val="single" w:color="auto" w:sz="4" w:space="1"/>
          <w:left w:val="single" w:color="auto" w:sz="4" w:space="4"/>
          <w:bottom w:val="single" w:color="auto" w:sz="4" w:space="1"/>
          <w:right w:val="single" w:color="auto" w:sz="4" w:space="4"/>
        </w:pBdr>
        <w:spacing w:after="0"/>
        <w:rPr>
          <w:lang w:val="zh-CN"/>
        </w:rPr>
      </w:pPr>
      <w:r>
        <w:rPr>
          <w:lang w:val="en-US"/>
        </w:rPr>
        <w:t xml:space="preserve">1. </w:t>
      </w:r>
      <w:r>
        <w:rPr>
          <w:lang w:val="zh-CN"/>
        </w:rPr>
        <w:t>During HO/CHO execution upon applying target cell configuration, UE should:</w:t>
      </w:r>
    </w:p>
    <w:p>
      <w:pPr>
        <w:pBdr>
          <w:top w:val="single" w:color="auto" w:sz="4" w:space="1"/>
          <w:left w:val="single" w:color="auto" w:sz="4" w:space="4"/>
          <w:bottom w:val="single" w:color="auto" w:sz="4" w:space="1"/>
          <w:right w:val="single" w:color="auto" w:sz="4" w:space="4"/>
        </w:pBdr>
        <w:overflowPunct/>
        <w:autoSpaceDE/>
        <w:autoSpaceDN/>
        <w:adjustRightInd/>
        <w:spacing w:after="0"/>
        <w:ind w:firstLine="567"/>
        <w:textAlignment w:val="auto"/>
        <w:rPr>
          <w:lang w:val="zh-CN"/>
        </w:rPr>
      </w:pPr>
      <w:r>
        <w:rPr>
          <w:lang w:val="en-US"/>
        </w:rPr>
        <w:t xml:space="preserve">a. </w:t>
      </w:r>
      <w:r>
        <w:rPr>
          <w:lang w:val="zh-CN"/>
        </w:rPr>
        <w:t>Stop the current T430 (if it is running);</w:t>
      </w:r>
    </w:p>
    <w:p>
      <w:pPr>
        <w:pBdr>
          <w:top w:val="single" w:color="auto" w:sz="4" w:space="1"/>
          <w:left w:val="single" w:color="auto" w:sz="4" w:space="4"/>
          <w:bottom w:val="single" w:color="auto" w:sz="4" w:space="1"/>
          <w:right w:val="single" w:color="auto" w:sz="4" w:space="4"/>
        </w:pBdr>
        <w:overflowPunct/>
        <w:autoSpaceDE/>
        <w:autoSpaceDN/>
        <w:adjustRightInd/>
        <w:spacing w:after="0"/>
        <w:ind w:firstLine="567"/>
        <w:textAlignment w:val="auto"/>
        <w:rPr>
          <w:lang w:val="zh-CN"/>
        </w:rPr>
      </w:pPr>
      <w:r>
        <w:rPr>
          <w:lang w:val="en-US"/>
        </w:rPr>
        <w:t xml:space="preserve">b. </w:t>
      </w:r>
      <w:r>
        <w:rPr>
          <w:lang w:val="zh-CN"/>
        </w:rPr>
        <w:t>Start T430 for the target cell as indicated by ntn-UlSyncValidityDuration and epochTime of the target cell</w:t>
      </w:r>
    </w:p>
    <w:p>
      <w:pPr>
        <w:pBdr>
          <w:top w:val="single" w:color="auto" w:sz="4" w:space="1"/>
          <w:left w:val="single" w:color="auto" w:sz="4" w:space="4"/>
          <w:bottom w:val="single" w:color="auto" w:sz="4" w:space="1"/>
          <w:right w:val="single" w:color="auto" w:sz="4" w:space="4"/>
        </w:pBdr>
        <w:overflowPunct/>
        <w:autoSpaceDE/>
        <w:autoSpaceDN/>
        <w:adjustRightInd/>
        <w:spacing w:after="180"/>
        <w:textAlignment w:val="auto"/>
        <w:rPr>
          <w:lang w:val="zh-CN"/>
        </w:rPr>
      </w:pPr>
      <w:r>
        <w:rPr>
          <w:lang w:val="en-US"/>
        </w:rPr>
        <w:t xml:space="preserve">2. </w:t>
      </w:r>
      <w:r>
        <w:rPr>
          <w:lang w:val="zh-CN"/>
        </w:rPr>
        <w:t>RAN2 understands that the UE can use assistance information of neighbour cells in SIB19 for mobility purposes in RRC Connected. FFS if this needs to be captured in Stage2 and whether something needs to be captured for RRC idle</w:t>
      </w:r>
    </w:p>
    <w:p>
      <w:r>
        <w:t xml:space="preserve">For CHO, </w:t>
      </w:r>
      <w:r>
        <w:rPr>
          <w:lang w:eastAsia="ja-JP"/>
        </w:rPr>
        <w:t xml:space="preserve">the NW has no knowledge of when the actual handover will take place. Typically, the validity of NTN-config might be around 1minute, while the CHO might be executed much later. It is then generally not possible for the NW to provide a NTN-config that be valid at the time of CHO execution in the HO message. Without valid target cell NTN-config, the UE has to acquire SIB19 of target cell, or the UE can use neighbour cell assistance information from serving cell SIB19 if the target cell is part of the neighbour cells listed in SIB19. </w:t>
      </w:r>
    </w:p>
    <w:p>
      <w:pPr>
        <w:rPr>
          <w:lang w:eastAsia="ja-JP"/>
        </w:rPr>
      </w:pPr>
      <w:r>
        <w:rPr>
          <w:lang w:eastAsia="ja-JP"/>
        </w:rPr>
        <w:t>In the HO case, it can be expected that the target NTN-config is included in the HO message. However, there seems no reason to restrict this for CHO only and it would simplify specification and device implementation to keep common behaviors between CHO and HO.</w:t>
      </w:r>
    </w:p>
    <w:p>
      <w:pPr>
        <w:rPr>
          <w:lang w:eastAsia="ja-JP"/>
        </w:rPr>
      </w:pPr>
      <w:r>
        <w:rPr>
          <w:lang w:eastAsia="ja-JP"/>
        </w:rPr>
        <w:t xml:space="preserve">Based on these considerations, it is proposed in [4] that UE should be able to use the target cell NTN-config IE from SIB19 for HO purpose. </w:t>
      </w:r>
    </w:p>
    <w:p>
      <w:pPr>
        <w:rPr>
          <w:rFonts w:cs="Arial"/>
          <w:b/>
          <w:bCs/>
          <w:color w:val="000000" w:themeColor="text1"/>
          <w14:textFill>
            <w14:solidFill>
              <w14:schemeClr w14:val="tx1"/>
            </w14:solidFill>
          </w14:textFill>
        </w:rPr>
      </w:pPr>
      <w:r>
        <w:rPr>
          <w:rFonts w:cs="Arial"/>
          <w:b/>
          <w:color w:val="000000"/>
        </w:rPr>
        <w:t xml:space="preserve">Question 13: Do companies agree that UE can </w:t>
      </w:r>
      <w:r>
        <w:rPr>
          <w:b/>
          <w:lang w:eastAsia="ja-JP"/>
        </w:rPr>
        <w:t>use the target cell NTN-config IE from SIB19 for HO and CHO</w:t>
      </w:r>
      <w:r>
        <w:rPr>
          <w:rFonts w:cs="Arial"/>
          <w:b/>
          <w:color w:val="000000"/>
        </w:rPr>
        <w:t xml:space="preserve">? </w:t>
      </w:r>
      <w:r>
        <w:rPr>
          <w:rFonts w:cs="Arial"/>
          <w:b/>
          <w:bCs/>
          <w:color w:val="000000" w:themeColor="text1"/>
          <w14:textFill>
            <w14:solidFill>
              <w14:schemeClr w14:val="tx1"/>
            </w14:solidFill>
          </w14:textFill>
        </w:rPr>
        <w:t xml:space="preserve"> </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jc w:val="cente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Disagree</w:t>
            </w:r>
          </w:p>
        </w:tc>
        <w:tc>
          <w:tcPr>
            <w:tcW w:w="5954" w:type="dxa"/>
            <w:shd w:val="clear" w:color="auto" w:fill="auto"/>
          </w:tcPr>
          <w:p>
            <w:pPr>
              <w:jc w:val="left"/>
              <w:rPr>
                <w:rFonts w:hint="default" w:eastAsia="等线"/>
                <w:lang w:val="en-US" w:eastAsia="zh-CN"/>
              </w:rPr>
            </w:pPr>
            <w:r>
              <w:rPr>
                <w:rFonts w:hint="eastAsia" w:eastAsia="等线"/>
                <w:lang w:val="en-US" w:eastAsia="zh-CN"/>
              </w:rPr>
              <w:t>It would complicate things, given that there might not be target cell NTN-config IE in serving cell</w:t>
            </w:r>
            <w:r>
              <w:rPr>
                <w:rFonts w:hint="default" w:eastAsia="等线"/>
                <w:lang w:val="en-US" w:eastAsia="zh-CN"/>
              </w:rPr>
              <w:t>’</w:t>
            </w:r>
            <w:r>
              <w:rPr>
                <w:rFonts w:hint="eastAsia" w:eastAsia="等线"/>
                <w:lang w:val="en-US" w:eastAsia="zh-CN"/>
              </w:rPr>
              <w:t>s SIB19, then we need also to specify whether to use serving cell</w:t>
            </w:r>
            <w:r>
              <w:rPr>
                <w:rFonts w:hint="default" w:eastAsia="等线"/>
                <w:lang w:val="en-US" w:eastAsia="zh-CN"/>
              </w:rPr>
              <w:t>’</w:t>
            </w:r>
            <w:r>
              <w:rPr>
                <w:rFonts w:hint="eastAsia" w:eastAsia="等线"/>
                <w:lang w:val="en-US" w:eastAsia="zh-CN"/>
              </w:rPr>
              <w:t>s NTN-config. For simplicity, if NTN-config is absent in reconfiguarationWithSync,UE always use serving cell</w:t>
            </w:r>
            <w:r>
              <w:rPr>
                <w:rFonts w:hint="default" w:eastAsia="等线"/>
                <w:lang w:val="en-US" w:eastAsia="zh-CN"/>
              </w:rPr>
              <w:t>’</w:t>
            </w:r>
            <w:r>
              <w:rPr>
                <w:rFonts w:hint="eastAsia" w:eastAsia="等线"/>
                <w:lang w:val="en-US" w:eastAsia="zh-CN"/>
              </w:rPr>
              <w:t>s NTN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bl>
    <w:p/>
    <w:p/>
    <w:p>
      <w:r>
        <w:rPr>
          <w:lang w:eastAsia="ja-JP"/>
        </w:rPr>
        <w:t>Furthermore, in CHO framework, the UE needs to decode the HO message only upon CHO execution. It might be preferable to keep this behavior and avoid a requirement to read the HO message before execution. In such case, it could be up to NW/UE implementation to provide/keep reading SIB19 up to date so that the target NTN-config is valid at the time of CHO execution.</w:t>
      </w:r>
    </w:p>
    <w:p>
      <w:pPr>
        <w:rPr>
          <w:rFonts w:cs="Arial"/>
          <w:b/>
          <w:bCs/>
          <w:color w:val="000000" w:themeColor="text1"/>
          <w14:textFill>
            <w14:solidFill>
              <w14:schemeClr w14:val="tx1"/>
            </w14:solidFill>
          </w14:textFill>
        </w:rPr>
      </w:pPr>
      <w:r>
        <w:rPr>
          <w:rFonts w:cs="Arial"/>
          <w:b/>
          <w:color w:val="000000"/>
        </w:rPr>
        <w:t xml:space="preserve">Question 14: If Q13 is agreed, do companies agree that </w:t>
      </w:r>
      <w:r>
        <w:rPr>
          <w:b/>
          <w:lang w:eastAsia="ja-JP"/>
        </w:rPr>
        <w:t>it is up to NW/UE implementation to provide/keep SIB19 up to date so that the target cell NTN-config in SIB19 is valid at the time of CHO execution</w:t>
      </w:r>
      <w:r>
        <w:rPr>
          <w:rFonts w:cs="Arial"/>
          <w:b/>
          <w:color w:val="000000"/>
        </w:rPr>
        <w:t xml:space="preserve">? </w:t>
      </w:r>
      <w:r>
        <w:rPr>
          <w:rFonts w:cs="Arial"/>
          <w:b/>
          <w:bCs/>
          <w:color w:val="000000" w:themeColor="text1"/>
          <w14:textFill>
            <w14:solidFill>
              <w14:schemeClr w14:val="tx1"/>
            </w14:solidFill>
          </w14:textFill>
        </w:rPr>
        <w:t xml:space="preserve"> </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jc w:val="cente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See comment</w:t>
            </w:r>
          </w:p>
        </w:tc>
        <w:tc>
          <w:tcPr>
            <w:tcW w:w="5954" w:type="dxa"/>
            <w:shd w:val="clear" w:color="auto" w:fill="auto"/>
          </w:tcPr>
          <w:p>
            <w:pPr>
              <w:jc w:val="left"/>
              <w:rPr>
                <w:rFonts w:hint="default"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bl>
    <w:p/>
    <w:p/>
    <w:p>
      <w:pPr>
        <w:spacing w:before="240"/>
      </w:pPr>
      <w:r>
        <w:rPr>
          <w:lang w:eastAsia="ja-JP"/>
        </w:rPr>
        <w:t xml:space="preserve">In the current TS 38.331, T430 for the target cell is captured as follows, wherein </w:t>
      </w:r>
      <w:r>
        <w:t xml:space="preserve">the validity duration and epoch time included in reconfigurationWithSync is applied by UE for target cell T430.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bookmarkStart w:id="11" w:name="_Toc100929562"/>
            <w:r>
              <w:t>5.3.5.5.2</w:t>
            </w:r>
            <w:r>
              <w:tab/>
            </w:r>
            <w:r>
              <w:t>Reconfiguration with sync</w:t>
            </w:r>
            <w:bookmarkEnd w:id="11"/>
          </w:p>
          <w:p>
            <w:r>
              <w:t>The UE shall perform the following actions to execute a reconfiguration with sync.</w:t>
            </w:r>
          </w:p>
          <w:p>
            <w:pPr>
              <w:pStyle w:val="59"/>
              <w:rPr>
                <w:rFonts w:eastAsia="Times New Roman"/>
                <w:color w:val="FF0000"/>
              </w:rPr>
            </w:pPr>
            <w:r>
              <w:rPr>
                <w:color w:val="FF0000"/>
              </w:rPr>
              <w:t>1&gt;</w:t>
            </w:r>
            <w:r>
              <w:rPr>
                <w:color w:val="FF0000"/>
              </w:rPr>
              <w:tab/>
            </w:r>
            <w:r>
              <w:rPr>
                <w:color w:val="FF0000"/>
              </w:rPr>
              <w:t>stop timer T430 if running;</w:t>
            </w:r>
          </w:p>
          <w:p>
            <w:pPr>
              <w:pStyle w:val="59"/>
              <w:rPr>
                <w:color w:val="FF0000"/>
              </w:rPr>
            </w:pPr>
            <w:r>
              <w:rPr>
                <w:color w:val="FF0000"/>
              </w:rPr>
              <w:t>1&gt;</w:t>
            </w:r>
            <w:r>
              <w:rPr>
                <w:color w:val="FF0000"/>
              </w:rPr>
              <w:tab/>
            </w:r>
            <w:r>
              <w:rPr>
                <w:color w:val="FF0000"/>
              </w:rPr>
              <w:t xml:space="preserve">start timer T430 with the timer value set to </w:t>
            </w:r>
            <w:r>
              <w:rPr>
                <w:i/>
                <w:iCs/>
                <w:color w:val="FF0000"/>
              </w:rPr>
              <w:t>ntn-UlSyncValidityDuration</w:t>
            </w:r>
            <w:r>
              <w:rPr>
                <w:color w:val="FF0000"/>
              </w:rPr>
              <w:t xml:space="preserve"> from the subframe indicated by </w:t>
            </w:r>
            <w:r>
              <w:rPr>
                <w:i/>
                <w:iCs/>
                <w:color w:val="FF0000"/>
              </w:rPr>
              <w:t>epochTime</w:t>
            </w:r>
            <w:r>
              <w:rPr>
                <w:color w:val="FF0000"/>
              </w:rPr>
              <w:t xml:space="preserve">, if included in the </w:t>
            </w:r>
            <w:r>
              <w:rPr>
                <w:i/>
                <w:color w:val="FF0000"/>
              </w:rPr>
              <w:t xml:space="preserve">reconfigurationWithSync </w:t>
            </w:r>
            <w:r>
              <w:rPr>
                <w:iCs/>
                <w:color w:val="FF0000"/>
              </w:rPr>
              <w:t xml:space="preserve">for </w:t>
            </w:r>
            <w:r>
              <w:rPr>
                <w:iCs/>
                <w:color w:val="FF0000"/>
                <w:highlight w:val="yellow"/>
              </w:rPr>
              <w:t>serving cell;</w:t>
            </w:r>
          </w:p>
          <w:p>
            <w:pPr>
              <w:pStyle w:val="59"/>
              <w:rPr>
                <w:lang w:eastAsia="ja-JP"/>
              </w:rPr>
            </w:pPr>
            <w:r>
              <w:t>1&gt;</w:t>
            </w:r>
            <w:r>
              <w:tab/>
            </w:r>
            <w:r>
              <w:t>if the AS security is not activated, perform the actions upon going to RRC_IDLE as specified in 5.3.11 with the release cause '</w:t>
            </w:r>
            <w:r>
              <w:rPr>
                <w:i/>
              </w:rPr>
              <w:t>other</w:t>
            </w:r>
            <w:r>
              <w:t>' upon which the procedure ends;</w:t>
            </w:r>
          </w:p>
        </w:tc>
      </w:tr>
    </w:tbl>
    <w:p/>
    <w:p>
      <w:r>
        <w:t xml:space="preserve">If UE can use target cell NTN-config in SIB19 for HO/CHO, the following TP is proposed.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6"/>
              <w:ind w:left="1152" w:hanging="1152"/>
              <w:rPr>
                <w:lang w:eastAsia="ja-JP"/>
              </w:rPr>
            </w:pPr>
            <w:r>
              <w:t>5.3.5.5.2</w:t>
            </w:r>
            <w:r>
              <w:tab/>
            </w:r>
            <w:r>
              <w:t>Reconfiguration with sync</w:t>
            </w:r>
          </w:p>
          <w:p>
            <w:bookmarkStart w:id="12" w:name="_Hlk115390880"/>
            <w:r>
              <w:t>The UE shall perform the following actions to execute a reconfiguration with sync.</w:t>
            </w:r>
          </w:p>
          <w:p>
            <w:pPr>
              <w:pStyle w:val="59"/>
              <w:rPr>
                <w:rFonts w:eastAsia="Times New Roman"/>
              </w:rPr>
            </w:pPr>
            <w:r>
              <w:t>1&gt;</w:t>
            </w:r>
            <w:r>
              <w:tab/>
            </w:r>
            <w:r>
              <w:t>stop timer T430 if running;</w:t>
            </w:r>
          </w:p>
          <w:p>
            <w:pPr>
              <w:pStyle w:val="59"/>
            </w:pPr>
            <w:r>
              <w:t>1&gt;</w:t>
            </w:r>
            <w:r>
              <w:tab/>
            </w:r>
            <w:r>
              <w:t xml:space="preserve">start timer T430 with the timer value set to </w:t>
            </w:r>
            <w:r>
              <w:rPr>
                <w:i/>
                <w:iCs/>
              </w:rPr>
              <w:t>ntn-UlSyncValidityDuration</w:t>
            </w:r>
            <w:r>
              <w:t xml:space="preserve"> from the subframe indicated by </w:t>
            </w:r>
            <w:r>
              <w:rPr>
                <w:i/>
                <w:iCs/>
              </w:rPr>
              <w:t>epochTime</w:t>
            </w:r>
            <w:r>
              <w:t xml:space="preserve">, </w:t>
            </w:r>
            <w:ins w:id="6" w:author="Sequans - Olivier Marco" w:date="2022-09-30T01:20:00Z">
              <w:r>
                <w:rPr/>
                <w:t>according to the target cell NTN-config</w:t>
              </w:r>
            </w:ins>
            <w:del w:id="7" w:author="Sequans - Olivier Marco" w:date="2022-09-30T01:20:00Z">
              <w:r>
                <w:rPr/>
                <w:delText xml:space="preserve">if included in the </w:delText>
              </w:r>
            </w:del>
            <w:del w:id="8" w:author="Sequans - Olivier Marco" w:date="2022-09-30T01:20:00Z">
              <w:r>
                <w:rPr>
                  <w:i/>
                </w:rPr>
                <w:delText xml:space="preserve">reconfigurationWithSync </w:delText>
              </w:r>
            </w:del>
            <w:del w:id="9" w:author="Sequans - Olivier Marco" w:date="2022-09-30T01:20:00Z">
              <w:r>
                <w:rPr>
                  <w:iCs/>
                </w:rPr>
                <w:delText>for serving cell</w:delText>
              </w:r>
            </w:del>
            <w:r>
              <w:rPr>
                <w:iCs/>
              </w:rPr>
              <w:t>;</w:t>
            </w:r>
          </w:p>
          <w:p>
            <w:pPr>
              <w:pStyle w:val="59"/>
            </w:pPr>
            <w:r>
              <w:t>1&gt;</w:t>
            </w:r>
            <w:r>
              <w:tab/>
            </w:r>
            <w:r>
              <w:t>if the AS security is not activated, perform the actions upon going to RRC_IDLE as specified in 5.3.11 with the release cause '</w:t>
            </w:r>
            <w:r>
              <w:rPr>
                <w:i/>
              </w:rPr>
              <w:t>other</w:t>
            </w:r>
            <w:r>
              <w:t>' upon which the procedure ends;</w:t>
            </w:r>
            <w:bookmarkEnd w:id="12"/>
          </w:p>
          <w:p>
            <w:pPr>
              <w:rPr>
                <w:rFonts w:eastAsia="Times New Roman"/>
                <w:lang w:eastAsia="ja-JP"/>
              </w:rPr>
            </w:pPr>
            <w:ins w:id="10" w:author="Sequans - Olivier Marco" w:date="2022-09-30T11:18:00Z">
              <w:r>
                <w:rPr>
                  <w:rFonts w:eastAsia="Times New Roman"/>
                  <w:lang w:eastAsia="ja-JP"/>
                </w:rPr>
                <w:t>NOTE: target cell N</w:t>
              </w:r>
            </w:ins>
            <w:ins w:id="11" w:author="Sequans - Olivier Marco" w:date="2022-09-30T11:19:00Z">
              <w:r>
                <w:rPr>
                  <w:rFonts w:eastAsia="Times New Roman"/>
                  <w:lang w:eastAsia="ja-JP"/>
                </w:rPr>
                <w:t xml:space="preserve">TN-config might be from </w:t>
              </w:r>
            </w:ins>
            <w:ins w:id="12" w:author="Sequans - Olivier Marco" w:date="2022-09-30T11:19:00Z">
              <w:r>
                <w:rPr>
                  <w:i/>
                  <w:iCs/>
                </w:rPr>
                <w:t>reconfiguration</w:t>
              </w:r>
            </w:ins>
            <w:ins w:id="13" w:author="Sequans - Olivier Marco" w:date="2022-09-30T11:20:00Z">
              <w:r>
                <w:rPr>
                  <w:i/>
                  <w:iCs/>
                </w:rPr>
                <w:t>W</w:t>
              </w:r>
            </w:ins>
            <w:ins w:id="14" w:author="Sequans - Olivier Marco" w:date="2022-09-30T11:19:00Z">
              <w:r>
                <w:rPr>
                  <w:i/>
                  <w:iCs/>
                </w:rPr>
                <w:t>ith</w:t>
              </w:r>
            </w:ins>
            <w:ins w:id="15" w:author="Sequans - Olivier Marco" w:date="2022-09-30T11:20:00Z">
              <w:r>
                <w:rPr>
                  <w:i/>
                  <w:iCs/>
                </w:rPr>
                <w:t>S</w:t>
              </w:r>
            </w:ins>
            <w:ins w:id="16" w:author="Sequans - Olivier Marco" w:date="2022-09-30T11:19:00Z">
              <w:r>
                <w:rPr>
                  <w:i/>
                  <w:iCs/>
                </w:rPr>
                <w:t>ync</w:t>
              </w:r>
            </w:ins>
            <w:ins w:id="17" w:author="Sequans - Olivier Marco" w:date="2022-09-30T11:20:00Z">
              <w:r>
                <w:rPr/>
                <w:t xml:space="preserve"> or SIB19</w:t>
              </w:r>
            </w:ins>
          </w:p>
        </w:tc>
      </w:tr>
    </w:tbl>
    <w:p/>
    <w:p>
      <w:pPr>
        <w:rPr>
          <w:rFonts w:cs="Arial"/>
          <w:b/>
          <w:bCs/>
          <w:color w:val="000000" w:themeColor="text1"/>
          <w14:textFill>
            <w14:solidFill>
              <w14:schemeClr w14:val="tx1"/>
            </w14:solidFill>
          </w14:textFill>
        </w:rPr>
      </w:pPr>
      <w:r>
        <w:rPr>
          <w:rFonts w:cs="Arial"/>
          <w:b/>
          <w:color w:val="000000"/>
        </w:rPr>
        <w:t xml:space="preserve">Question 15: If Q13 is agreed, do companies agree to adopt the TP in R2-2210729 for TS 38.331 clause 5.3.5.5.2? </w:t>
      </w:r>
      <w:r>
        <w:rPr>
          <w:rFonts w:cs="Arial"/>
          <w:b/>
          <w:bCs/>
          <w:color w:val="000000" w:themeColor="text1"/>
          <w14:textFill>
            <w14:solidFill>
              <w14:schemeClr w14:val="tx1"/>
            </w14:solidFill>
          </w14:textFill>
        </w:rPr>
        <w:t xml:space="preserve"> </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jc w:val="cente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bl>
    <w:p>
      <w:pPr>
        <w:spacing w:before="240"/>
      </w:pPr>
    </w:p>
    <w:p>
      <w:pPr>
        <w:spacing w:before="240"/>
      </w:pPr>
    </w:p>
    <w:p>
      <w:pPr>
        <w:pStyle w:val="4"/>
      </w:pPr>
      <w:r>
        <w:t xml:space="preserve">T430 related to HO </w:t>
      </w:r>
    </w:p>
    <w:p>
      <w:r>
        <w:t>In [5], T430 handling related to HO failure is discussed as follows. If UE ends up performing re-establishment procedure due to HO failure, at this point the T430 timer has been started for the target cell as it was started 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pPr>
        <w:rPr>
          <w:rFonts w:cs="Arial"/>
          <w:b/>
          <w:bCs/>
          <w:color w:val="000000" w:themeColor="text1"/>
          <w14:textFill>
            <w14:solidFill>
              <w14:schemeClr w14:val="tx1"/>
            </w14:solidFill>
          </w14:textFill>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14:textFill>
            <w14:solidFill>
              <w14:schemeClr w14:val="tx1"/>
            </w14:solidFill>
          </w14:textFill>
        </w:rPr>
        <w:t xml:space="preserve"> </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jc w:val="center"/>
              <w:rPr>
                <w:rFonts w:hint="default" w:eastAsia="等线"/>
                <w:lang w:val="en-US" w:eastAsia="zh-CN"/>
              </w:rPr>
            </w:pPr>
          </w:p>
        </w:tc>
        <w:tc>
          <w:tcPr>
            <w:tcW w:w="2113" w:type="dxa"/>
            <w:shd w:val="clear" w:color="auto" w:fill="auto"/>
          </w:tcPr>
          <w:p>
            <w:pPr>
              <w:rPr>
                <w:rFonts w:hint="default" w:eastAsia="等线"/>
                <w:lang w:val="en-US" w:eastAsia="zh-CN"/>
              </w:rPr>
            </w:pPr>
          </w:p>
        </w:tc>
        <w:tc>
          <w:tcPr>
            <w:tcW w:w="5954" w:type="dxa"/>
            <w:shd w:val="clear" w:color="auto" w:fill="auto"/>
          </w:tcPr>
          <w:p>
            <w:pPr>
              <w:jc w:val="left"/>
              <w:rPr>
                <w:rFonts w:hint="default"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bl>
    <w:p>
      <w:pPr>
        <w:spacing w:before="240"/>
      </w:pPr>
    </w:p>
    <w:p>
      <w:pPr>
        <w:spacing w:before="240"/>
      </w:pPr>
    </w:p>
    <w:p>
      <w:pPr>
        <w:spacing w:before="240"/>
      </w:pPr>
      <w:r>
        <w:t xml:space="preserve">Upon UE selecting a suitable cell in RRC re-establishment procedure, the UE has to acquire SIB19 if the selected cell is an NTN cell and start T430 timer for the serving cell. The following two options are proposed in [5] to specify this UE behaviour. </w:t>
      </w:r>
    </w:p>
    <w:p>
      <w:pPr>
        <w:rPr>
          <w:rFonts w:cs="Arial"/>
          <w:b/>
          <w:bCs/>
          <w:color w:val="000000" w:themeColor="text1"/>
          <w14:textFill>
            <w14:solidFill>
              <w14:schemeClr w14:val="tx1"/>
            </w14:solidFill>
          </w14:textFill>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14:textFill>
            <w14:solidFill>
              <w14:schemeClr w14:val="tx1"/>
            </w14:solidFill>
          </w14:textFill>
        </w:rPr>
        <w:t xml:space="preserve"> </w:t>
      </w:r>
    </w:p>
    <w:p>
      <w:pPr>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Option 1: specify procedural text in in Clause 5.3.7.3.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5"/>
            </w:pPr>
            <w:r>
              <w:t>5.3.7.3</w:t>
            </w:r>
            <w:r>
              <w:tab/>
            </w:r>
            <w:r>
              <w:t>Actions following cell selection while T311 is running</w:t>
            </w:r>
          </w:p>
          <w:p>
            <w:r>
              <w:t>Upon selecting a suitable NR cell, the UE shall:</w:t>
            </w:r>
          </w:p>
          <w:p>
            <w:pPr>
              <w:pStyle w:val="59"/>
            </w:pPr>
            <w:r>
              <w:t>1&gt;</w:t>
            </w:r>
            <w:r>
              <w:tab/>
            </w:r>
            <w:r>
              <w:t>ensure having valid and up to date essential system information as specified in clause 5.2.2.2;</w:t>
            </w:r>
          </w:p>
          <w:p>
            <w:pPr>
              <w:pStyle w:val="59"/>
              <w:rPr>
                <w:ins w:id="18" w:author="Samsung (Shiyang Leng)" w:date="2022-10-10T22:25:00Z"/>
              </w:rPr>
            </w:pPr>
            <w:ins w:id="19" w:author="Samsung (Shiyang Leng)" w:date="2022-10-10T22:25:00Z">
              <w:r>
                <w:rPr/>
                <w:t>1&gt;</w:t>
              </w:r>
            </w:ins>
            <w:ins w:id="20" w:author="Samsung (Shiyang Leng)" w:date="2022-10-10T22:25:00Z">
              <w:r>
                <w:rPr/>
                <w:tab/>
              </w:r>
            </w:ins>
            <w:ins w:id="21" w:author="Samsung (Shiyang Leng)" w:date="2022-10-10T22:25:00Z">
              <w:r>
                <w:rPr/>
                <w:t>if the selected cell is an NTN cell:</w:t>
              </w:r>
            </w:ins>
          </w:p>
          <w:p>
            <w:pPr>
              <w:pStyle w:val="60"/>
            </w:pPr>
            <w:ins w:id="22" w:author="Samsung (Shiyang Leng)" w:date="2022-10-10T22:25:00Z">
              <w:r>
                <w:rPr/>
                <w:t>2&gt;</w:t>
              </w:r>
            </w:ins>
            <w:ins w:id="23" w:author="Samsung (Shiyang Leng)" w:date="2022-10-10T22:25:00Z">
              <w:r>
                <w:rPr/>
                <w:tab/>
              </w:r>
            </w:ins>
            <w:ins w:id="24" w:author="Samsung (Shiyang Leng)" w:date="2022-10-10T22:25:00Z">
              <w:r>
                <w:rPr/>
                <w:t>acquire SIB19 as defined in clause 5.2.2.3.2;</w:t>
              </w:r>
            </w:ins>
          </w:p>
          <w:p>
            <w:pPr>
              <w:pStyle w:val="59"/>
            </w:pPr>
            <w:r>
              <w:t>1&gt;</w:t>
            </w:r>
            <w:r>
              <w:tab/>
            </w:r>
            <w:r>
              <w:t>stop timer T311;</w:t>
            </w:r>
          </w:p>
          <w:p>
            <w:pPr>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w:t>
            </w:r>
          </w:p>
          <w:p>
            <w:pPr>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&lt;&lt;omitted&gt;&gt;</w:t>
            </w:r>
          </w:p>
        </w:tc>
      </w:tr>
    </w:tbl>
    <w:p>
      <w:pPr>
        <w:rPr>
          <w:rFonts w:cs="Arial"/>
          <w:b/>
          <w:bCs/>
          <w:color w:val="000000" w:themeColor="text1"/>
          <w14:textFill>
            <w14:solidFill>
              <w14:schemeClr w14:val="tx1"/>
            </w14:solidFill>
          </w14:textFill>
        </w:rPr>
      </w:pPr>
    </w:p>
    <w:p>
      <w:pPr>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Option 2: capture in the note in Clause 5.2.2.4.21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6"/>
            </w:pPr>
            <w:r>
              <w:t>5.2.2.4.21</w:t>
            </w:r>
            <w:r>
              <w:tab/>
            </w:r>
            <w:r>
              <w:t xml:space="preserve">Actions upon reception of </w:t>
            </w:r>
            <w:r>
              <w:rPr>
                <w:i/>
                <w:iCs/>
              </w:rPr>
              <w:t>SIB19</w:t>
            </w:r>
          </w:p>
          <w:p>
            <w:r>
              <w:t xml:space="preserve">Upon receiving </w:t>
            </w:r>
            <w:r>
              <w:rPr>
                <w:i/>
                <w:iCs/>
              </w:rPr>
              <w:t>SIB19</w:t>
            </w:r>
            <w:r>
              <w:t>, the UE shall:</w:t>
            </w:r>
          </w:p>
          <w:p>
            <w:pPr>
              <w:pStyle w:val="59"/>
            </w:pPr>
            <w:r>
              <w:t>1&gt;</w:t>
            </w:r>
            <w:r>
              <w:tab/>
            </w:r>
            <w:r>
              <w:t xml:space="preserve">start or restart T430 for serving cell with the timer value set to </w:t>
            </w:r>
            <w:r>
              <w:rPr>
                <w:i/>
                <w:iCs/>
              </w:rPr>
              <w:t>ntn-UlSyncValidityDuration</w:t>
            </w:r>
            <w:r>
              <w:t xml:space="preserve"> from the subframe indicated by </w:t>
            </w:r>
            <w:r>
              <w:rPr>
                <w:i/>
                <w:iCs/>
              </w:rPr>
              <w:t>epochTime</w:t>
            </w:r>
            <w:r>
              <w:t>;</w:t>
            </w:r>
          </w:p>
          <w:p>
            <w:pPr>
              <w:pStyle w:val="91"/>
            </w:pPr>
            <w:r>
              <w:t>NOTE:</w:t>
            </w:r>
            <w:r>
              <w:tab/>
            </w:r>
            <w:r>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w:t>
            </w:r>
            <w:ins w:id="25" w:author="Samsung (Shiyang Leng)" w:date="2022-10-10T22:27:00Z">
              <w:r>
                <w:rPr/>
                <w:t xml:space="preserve">or if timer T430 is stopped </w:t>
              </w:r>
            </w:ins>
            <w:r>
              <w:t>by UE implementation.</w:t>
            </w:r>
          </w:p>
        </w:tc>
      </w:tr>
    </w:tbl>
    <w:p>
      <w:pPr>
        <w:rPr>
          <w:rFonts w:cs="Arial"/>
          <w:b/>
          <w:bCs/>
          <w:color w:val="000000" w:themeColor="text1"/>
          <w14:textFill>
            <w14:solidFill>
              <w14:schemeClr w14:val="tx1"/>
            </w14:solidFill>
          </w14:textFill>
        </w:rPr>
      </w:pPr>
    </w:p>
    <w:p>
      <w:pPr>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Option 3: other</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 xml:space="preserve">Option </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jc w:val="center"/>
              <w:rPr>
                <w:rFonts w:hint="default" w:ascii="Arial" w:hAnsi="Arial" w:eastAsia="等线" w:cs="Times New Roman"/>
                <w:lang w:val="en-US" w:eastAsia="zh-CN" w:bidi="ar-SA"/>
              </w:rPr>
            </w:pPr>
            <w:r>
              <w:rPr>
                <w:rFonts w:hint="eastAsia" w:eastAsia="等线"/>
                <w:lang w:val="en-US" w:eastAsia="zh-CN"/>
              </w:rPr>
              <w:t>Xiaomi</w:t>
            </w:r>
          </w:p>
        </w:tc>
        <w:tc>
          <w:tcPr>
            <w:tcW w:w="2113" w:type="dxa"/>
            <w:shd w:val="clear" w:color="auto" w:fill="auto"/>
            <w:vAlign w:val="top"/>
          </w:tcPr>
          <w:p>
            <w:pPr>
              <w:rPr>
                <w:rFonts w:hint="default" w:ascii="Arial" w:hAnsi="Arial" w:eastAsia="等线" w:cs="Times New Roman"/>
                <w:lang w:val="en-US" w:eastAsia="zh-CN" w:bidi="ar-SA"/>
              </w:rPr>
            </w:pPr>
            <w:r>
              <w:rPr>
                <w:rFonts w:hint="eastAsia" w:eastAsia="等线" w:cs="Times New Roman"/>
                <w:lang w:val="en-US" w:eastAsia="zh-CN" w:bidi="ar-SA"/>
              </w:rPr>
              <w:t>Option 3</w:t>
            </w:r>
          </w:p>
        </w:tc>
        <w:tc>
          <w:tcPr>
            <w:tcW w:w="5954" w:type="dxa"/>
            <w:shd w:val="clear" w:color="auto" w:fill="auto"/>
            <w:vAlign w:val="top"/>
          </w:tcPr>
          <w:p>
            <w:pPr>
              <w:jc w:val="left"/>
              <w:rPr>
                <w:rFonts w:hint="eastAsia" w:eastAsia="等线"/>
                <w:lang w:val="en-US" w:eastAsia="zh-CN"/>
              </w:rPr>
            </w:pPr>
            <w:r>
              <w:rPr>
                <w:rFonts w:hint="eastAsia" w:eastAsia="等线"/>
                <w:lang w:val="en-US" w:eastAsia="zh-CN"/>
              </w:rPr>
              <w:t>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We think it would be enough:</w:t>
            </w:r>
          </w:p>
          <w:p>
            <w:pPr>
              <w:pStyle w:val="5"/>
              <w:rPr>
                <w:rFonts w:eastAsia="MS Mincho"/>
              </w:rPr>
            </w:pPr>
            <w:bookmarkStart w:id="13" w:name="_Toc100929532"/>
            <w:r>
              <w:rPr>
                <w:rFonts w:eastAsia="MS Mincho"/>
              </w:rPr>
              <w:t>5.2.2.5</w:t>
            </w:r>
            <w:r>
              <w:rPr>
                <w:rFonts w:eastAsia="MS Mincho"/>
              </w:rPr>
              <w:tab/>
            </w:r>
            <w:r>
              <w:rPr>
                <w:rFonts w:eastAsia="MS Mincho"/>
              </w:rPr>
              <w:t>Essential system information missing</w:t>
            </w:r>
            <w:bookmarkEnd w:id="13"/>
          </w:p>
          <w:p>
            <w:pPr>
              <w:jc w:val="left"/>
              <w:rPr>
                <w:rFonts w:hint="default" w:eastAsia="等线"/>
                <w:lang w:val="en-US" w:eastAsia="zh-CN"/>
              </w:rPr>
            </w:pPr>
            <w:r>
              <w:rPr>
                <w:rFonts w:hint="eastAsia" w:eastAsia="等线"/>
                <w:lang w:val="en-US" w:eastAsia="zh-CN"/>
              </w:rPr>
              <w:t>...</w:t>
            </w:r>
          </w:p>
          <w:p>
            <w:pPr>
              <w:pStyle w:val="91"/>
              <w:rPr>
                <w:ins w:id="26" w:author="xiaowei-xiaomi" w:date="2022-09-27T19:44:22Z"/>
                <w:rFonts w:hint="default" w:eastAsia="宋体"/>
                <w:lang w:val="en-US" w:eastAsia="zh-CN"/>
              </w:rPr>
            </w:pPr>
            <w:ins w:id="27" w:author="xiaowei-xiaomi" w:date="2022-09-27T19:44:22Z">
              <w:r>
                <w:rPr/>
                <w:t>NOTE:</w:t>
              </w:r>
            </w:ins>
            <w:ins w:id="28" w:author="xiaowei-xiaomi" w:date="2022-09-27T19:44:22Z">
              <w:r>
                <w:rPr/>
                <w:tab/>
              </w:r>
            </w:ins>
            <w:ins w:id="29" w:author="xiaowei-xiaomi" w:date="2022-10-12T11:59:52Z">
              <w:r>
                <w:rPr>
                  <w:rFonts w:hint="eastAsia" w:eastAsia="宋体"/>
                  <w:lang w:val="en-US" w:eastAsia="zh-CN"/>
                </w:rPr>
                <w:t>S</w:t>
              </w:r>
            </w:ins>
            <w:ins w:id="30" w:author="xiaowei-xiaomi" w:date="2022-10-12T11:59:53Z">
              <w:r>
                <w:rPr>
                  <w:rFonts w:hint="eastAsia" w:eastAsia="宋体"/>
                  <w:lang w:val="en-US" w:eastAsia="zh-CN"/>
                </w:rPr>
                <w:t>IB</w:t>
              </w:r>
            </w:ins>
            <w:ins w:id="31" w:author="xiaowei-xiaomi" w:date="2022-10-12T11:59:54Z">
              <w:r>
                <w:rPr>
                  <w:rFonts w:hint="eastAsia" w:eastAsia="宋体"/>
                  <w:lang w:val="en-US" w:eastAsia="zh-CN"/>
                </w:rPr>
                <w:t>19 is</w:t>
              </w:r>
            </w:ins>
            <w:ins w:id="32" w:author="xiaowei-xiaomi" w:date="2022-10-12T11:59:55Z">
              <w:r>
                <w:rPr>
                  <w:rFonts w:hint="eastAsia" w:eastAsia="宋体"/>
                  <w:lang w:val="en-US" w:eastAsia="zh-CN"/>
                </w:rPr>
                <w:t xml:space="preserve"> e</w:t>
              </w:r>
            </w:ins>
            <w:ins w:id="33" w:author="xiaowei-xiaomi" w:date="2022-10-12T11:59:56Z">
              <w:r>
                <w:rPr>
                  <w:rFonts w:hint="eastAsia" w:eastAsia="宋体"/>
                  <w:lang w:val="en-US" w:eastAsia="zh-CN"/>
                </w:rPr>
                <w:t>sse</w:t>
              </w:r>
            </w:ins>
            <w:ins w:id="34" w:author="xiaowei-xiaomi" w:date="2022-10-12T11:59:57Z">
              <w:r>
                <w:rPr>
                  <w:rFonts w:hint="eastAsia" w:eastAsia="宋体"/>
                  <w:lang w:val="en-US" w:eastAsia="zh-CN"/>
                </w:rPr>
                <w:t>ntia</w:t>
              </w:r>
            </w:ins>
            <w:ins w:id="35" w:author="xiaowei-xiaomi" w:date="2022-10-12T11:59:58Z">
              <w:r>
                <w:rPr>
                  <w:rFonts w:hint="eastAsia" w:eastAsia="宋体"/>
                  <w:lang w:val="en-US" w:eastAsia="zh-CN"/>
                </w:rPr>
                <w:t>l</w:t>
              </w:r>
            </w:ins>
            <w:ins w:id="36" w:author="xiaowei-xiaomi" w:date="2022-10-12T12:00:01Z">
              <w:r>
                <w:rPr>
                  <w:rFonts w:hint="eastAsia" w:eastAsia="宋体"/>
                  <w:lang w:val="en-US" w:eastAsia="zh-CN"/>
                </w:rPr>
                <w:t xml:space="preserve"> </w:t>
              </w:r>
            </w:ins>
            <w:ins w:id="37" w:author="xiaowei-xiaomi" w:date="2022-10-12T12:00:03Z">
              <w:r>
                <w:rPr>
                  <w:rFonts w:hint="eastAsia" w:eastAsia="宋体"/>
                  <w:lang w:val="en-US" w:eastAsia="zh-CN"/>
                </w:rPr>
                <w:t>sy</w:t>
              </w:r>
            </w:ins>
            <w:ins w:id="38" w:author="xiaowei-xiaomi" w:date="2022-10-12T12:00:04Z">
              <w:r>
                <w:rPr>
                  <w:rFonts w:hint="eastAsia" w:eastAsia="宋体"/>
                  <w:lang w:val="en-US" w:eastAsia="zh-CN"/>
                </w:rPr>
                <w:t>stem</w:t>
              </w:r>
            </w:ins>
            <w:ins w:id="39" w:author="xiaowei-xiaomi" w:date="2022-10-12T12:00:05Z">
              <w:r>
                <w:rPr>
                  <w:rFonts w:hint="eastAsia" w:eastAsia="宋体"/>
                  <w:lang w:val="en-US" w:eastAsia="zh-CN"/>
                </w:rPr>
                <w:t xml:space="preserve"> in</w:t>
              </w:r>
            </w:ins>
            <w:ins w:id="40" w:author="xiaowei-xiaomi" w:date="2022-10-12T12:00:06Z">
              <w:r>
                <w:rPr>
                  <w:rFonts w:hint="eastAsia" w:eastAsia="宋体"/>
                  <w:lang w:val="en-US" w:eastAsia="zh-CN"/>
                </w:rPr>
                <w:t>for</w:t>
              </w:r>
            </w:ins>
            <w:ins w:id="41" w:author="xiaowei-xiaomi" w:date="2022-10-12T12:00:07Z">
              <w:r>
                <w:rPr>
                  <w:rFonts w:hint="eastAsia" w:eastAsia="宋体"/>
                  <w:lang w:val="en-US" w:eastAsia="zh-CN"/>
                </w:rPr>
                <w:t>mation</w:t>
              </w:r>
            </w:ins>
            <w:ins w:id="42" w:author="xiaowei-xiaomi" w:date="2022-10-12T12:00:08Z">
              <w:r>
                <w:rPr>
                  <w:rFonts w:hint="eastAsia" w:eastAsia="宋体"/>
                  <w:lang w:val="en-US" w:eastAsia="zh-CN"/>
                </w:rPr>
                <w:t>.</w:t>
              </w:r>
            </w:ins>
            <w:ins w:id="43" w:author="xiaowei-xiaomi" w:date="2022-10-12T12:00:09Z">
              <w:r>
                <w:rPr>
                  <w:rFonts w:hint="eastAsia" w:eastAsia="宋体"/>
                  <w:lang w:val="en-US" w:eastAsia="zh-CN"/>
                </w:rPr>
                <w:t xml:space="preserve"> </w:t>
              </w:r>
            </w:ins>
          </w:p>
          <w:p>
            <w:pPr>
              <w:jc w:val="left"/>
              <w:rPr>
                <w:rFonts w:hint="default" w:eastAsia="等线"/>
                <w:lang w:val="en-US" w:eastAsia="zh-CN"/>
              </w:rPr>
            </w:pPr>
            <w:r>
              <w:rPr>
                <w:rFonts w:hint="eastAsia" w:eastAsia="等线"/>
                <w:lang w:val="en-US" w:eastAsia="zh-CN"/>
              </w:rPr>
              <w:t>With the above note, there is no need to adopt option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bl>
    <w:p>
      <w:pPr>
        <w:spacing w:before="240"/>
        <w:rPr>
          <w:b/>
        </w:rPr>
      </w:pPr>
    </w:p>
    <w:p>
      <w:pPr>
        <w:spacing w:before="240"/>
        <w:rPr>
          <w:b/>
        </w:rPr>
      </w:pPr>
    </w:p>
    <w:p>
      <w:r>
        <w:t>Furthermore, the timer table in clause 7.1.1 needs to be updated to capture the new starting and stopping conditions for T430 in HO/CHO.</w:t>
      </w:r>
    </w:p>
    <w:p>
      <w:pPr>
        <w:rPr>
          <w:rFonts w:cs="Arial"/>
          <w:b/>
          <w:color w:val="000000"/>
        </w:rPr>
      </w:pPr>
      <w:r>
        <w:rPr>
          <w:rFonts w:cs="Arial"/>
          <w:b/>
          <w:color w:val="000000"/>
        </w:rPr>
        <w:t xml:space="preserve">Question 18: To update the start and stop condition of T430, do companies agree to adopt the following TP in R2-2209528?  </w:t>
      </w:r>
    </w:p>
    <w:tbl>
      <w:tblPr>
        <w:tblStyle w:val="45"/>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8"/>
              <w:rPr>
                <w:lang w:eastAsia="en-GB"/>
              </w:rPr>
            </w:pPr>
            <w:r>
              <w:rPr>
                <w:lang w:eastAsia="en-GB"/>
              </w:rPr>
              <w:t>T430</w:t>
            </w:r>
          </w:p>
        </w:tc>
        <w:tc>
          <w:tcPr>
            <w:tcW w:w="2269" w:type="dxa"/>
            <w:tcBorders>
              <w:top w:val="single" w:color="auto" w:sz="4" w:space="0"/>
              <w:left w:val="single" w:color="auto" w:sz="4" w:space="0"/>
              <w:bottom w:val="single" w:color="auto" w:sz="4" w:space="0"/>
              <w:right w:val="single" w:color="auto" w:sz="4" w:space="0"/>
            </w:tcBorders>
          </w:tcPr>
          <w:p>
            <w:pPr>
              <w:pStyle w:val="68"/>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w:t>
            </w:r>
            <w:r>
              <w:rPr>
                <w:rFonts w:eastAsia="Batang"/>
                <w:color w:val="FF0000"/>
                <w:lang w:eastAsia="en-GB"/>
              </w:rPr>
              <w:t xml:space="preserve">, or upon reception of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r>
              <w:rPr>
                <w:rFonts w:eastAsia="Batang"/>
                <w:color w:val="FF0000"/>
                <w:lang w:eastAsia="en-GB"/>
              </w:rPr>
              <w:t xml:space="preserve">, or upon conditional reconfiguration execution i.e. when applying a stored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p>
        </w:tc>
        <w:tc>
          <w:tcPr>
            <w:tcW w:w="2836" w:type="dxa"/>
            <w:tcBorders>
              <w:top w:val="single" w:color="auto" w:sz="4" w:space="0"/>
              <w:left w:val="single" w:color="auto" w:sz="4" w:space="0"/>
              <w:bottom w:val="single" w:color="auto" w:sz="4" w:space="0"/>
              <w:right w:val="single" w:color="auto" w:sz="4" w:space="0"/>
            </w:tcBorders>
          </w:tcPr>
          <w:p>
            <w:pPr>
              <w:pStyle w:val="68"/>
              <w:rPr>
                <w:rFonts w:eastAsia="Batang"/>
                <w:lang w:eastAsia="en-GB"/>
              </w:rPr>
            </w:pPr>
            <w:r>
              <w:rPr>
                <w:rFonts w:eastAsia="Batang"/>
                <w:color w:val="FF0000"/>
                <w:lang w:eastAsia="en-GB"/>
              </w:rPr>
              <w:t xml:space="preserve">Upon reception of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r>
              <w:rPr>
                <w:rFonts w:eastAsia="Batang"/>
                <w:color w:val="FF0000"/>
                <w:lang w:eastAsia="en-GB"/>
              </w:rPr>
              <w:t xml:space="preserve"> , or upon conditional reconfiguration execution i.e. when applying a stored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p>
        </w:tc>
        <w:tc>
          <w:tcPr>
            <w:tcW w:w="2836" w:type="dxa"/>
            <w:tcBorders>
              <w:top w:val="single" w:color="auto" w:sz="4" w:space="0"/>
              <w:left w:val="single" w:color="auto" w:sz="4" w:space="0"/>
              <w:bottom w:val="single" w:color="auto" w:sz="4" w:space="0"/>
              <w:right w:val="single" w:color="auto" w:sz="4" w:space="0"/>
            </w:tcBorders>
          </w:tcPr>
          <w:p>
            <w:pPr>
              <w:pStyle w:val="68"/>
              <w:rPr>
                <w:rFonts w:eastAsia="Batang"/>
                <w:lang w:eastAsia="en-GB"/>
              </w:rPr>
            </w:pPr>
            <w:r>
              <w:rPr>
                <w:rFonts w:eastAsia="Batang"/>
                <w:lang w:eastAsia="en-GB"/>
              </w:rPr>
              <w:t>Perform the actions as specified in 5.2.2.6.</w:t>
            </w:r>
          </w:p>
        </w:tc>
      </w:tr>
    </w:tbl>
    <w:p>
      <w:pPr>
        <w:rPr>
          <w:rFonts w:cs="Arial"/>
          <w:b/>
          <w:bCs/>
          <w:color w:val="000000" w:themeColor="text1"/>
          <w14:textFill>
            <w14:solidFill>
              <w14:schemeClr w14:val="tx1"/>
            </w14:solidFill>
          </w14:textFill>
        </w:rPr>
      </w:pP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jc w:val="cente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Agree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rPr>
            </w:pPr>
          </w:p>
        </w:tc>
      </w:tr>
    </w:tbl>
    <w:p>
      <w:pPr>
        <w:rPr>
          <w:rFonts w:cs="Arial"/>
          <w:b/>
          <w:bCs/>
          <w:color w:val="000000" w:themeColor="text1"/>
          <w14:textFill>
            <w14:solidFill>
              <w14:schemeClr w14:val="tx1"/>
            </w14:solidFill>
          </w14:textFill>
        </w:rPr>
      </w:pPr>
    </w:p>
    <w:p>
      <w:pPr>
        <w:spacing w:before="240"/>
      </w:pPr>
    </w:p>
    <w:p>
      <w:pPr>
        <w:spacing w:before="240"/>
        <w:rPr>
          <w:b/>
        </w:rPr>
      </w:pPr>
    </w:p>
    <w:p>
      <w:pPr>
        <w:pStyle w:val="2"/>
      </w:pPr>
      <w:r>
        <w:t>4. Summary and Proposals</w:t>
      </w:r>
    </w:p>
    <w:p>
      <w:pPr>
        <w:pStyle w:val="63"/>
        <w:overflowPunct/>
        <w:autoSpaceDE/>
        <w:autoSpaceDN/>
        <w:adjustRightInd/>
        <w:spacing w:line="259" w:lineRule="auto"/>
        <w:textAlignment w:val="auto"/>
        <w:rPr>
          <w:b w:val="0"/>
        </w:rPr>
      </w:pPr>
      <w:r>
        <w:rPr>
          <w:b w:val="0"/>
        </w:rPr>
        <w:t>This section summarizes the main proposals:</w:t>
      </w:r>
    </w:p>
    <w:p/>
    <w:p>
      <w:pPr>
        <w:pStyle w:val="63"/>
        <w:overflowPunct/>
        <w:autoSpaceDE/>
        <w:autoSpaceDN/>
        <w:adjustRightInd/>
        <w:spacing w:line="259" w:lineRule="auto"/>
        <w:textAlignment w:val="auto"/>
        <w:rPr>
          <w:b w:val="0"/>
        </w:rPr>
      </w:pPr>
    </w:p>
    <w:p>
      <w:pPr>
        <w:pStyle w:val="2"/>
      </w:pPr>
      <w:r>
        <w:t>5. References</w:t>
      </w:r>
    </w:p>
    <w:p>
      <w:pPr>
        <w:pStyle w:val="130"/>
        <w:numPr>
          <w:ilvl w:val="0"/>
          <w:numId w:val="19"/>
        </w:numPr>
      </w:pPr>
      <w:r>
        <w:t>R2-2210466 Discussion on Epoch Time</w:t>
      </w:r>
      <w:r>
        <w:tab/>
      </w:r>
      <w:r>
        <w:t>Samsung Research America</w:t>
      </w:r>
      <w:r>
        <w:tab/>
      </w:r>
      <w:r>
        <w:t>discussion</w:t>
      </w:r>
      <w:r>
        <w:tab/>
      </w:r>
      <w:r>
        <w:t>Rel-17</w:t>
      </w:r>
      <w:r>
        <w:tab/>
      </w:r>
      <w:r>
        <w:t>NR_NTN_solutions-Core</w:t>
      </w:r>
    </w:p>
    <w:p>
      <w:pPr>
        <w:pStyle w:val="130"/>
        <w:numPr>
          <w:ilvl w:val="0"/>
          <w:numId w:val="19"/>
        </w:numPr>
      </w:pPr>
      <w:r>
        <w:t>R2-2209799 Clarification on validity of the UL sync info</w:t>
      </w:r>
      <w:r>
        <w:tab/>
      </w:r>
      <w:r>
        <w:t>Apple</w:t>
      </w:r>
      <w:r>
        <w:tab/>
      </w:r>
      <w:r>
        <w:t>discussion</w:t>
      </w:r>
      <w:r>
        <w:tab/>
      </w:r>
      <w:r>
        <w:t>Rel-17</w:t>
      </w:r>
      <w:r>
        <w:tab/>
      </w:r>
      <w:r>
        <w:t>NR_NTN_solutions-Core</w:t>
      </w:r>
    </w:p>
    <w:p>
      <w:pPr>
        <w:pStyle w:val="130"/>
        <w:numPr>
          <w:ilvl w:val="0"/>
          <w:numId w:val="19"/>
        </w:numPr>
      </w:pPr>
      <w:r>
        <w:t>R2-2210411</w:t>
      </w:r>
      <w:r>
        <w:tab/>
      </w:r>
      <w:r>
        <w:t>Discussion on epoch time</w:t>
      </w:r>
      <w:r>
        <w:tab/>
      </w:r>
      <w:r>
        <w:t>Huawei, HiSilicon</w:t>
      </w:r>
      <w:r>
        <w:tab/>
      </w:r>
      <w:r>
        <w:t>discussion</w:t>
      </w:r>
      <w:r>
        <w:tab/>
      </w:r>
      <w:r>
        <w:t>Rel-17</w:t>
      </w:r>
      <w:r>
        <w:tab/>
      </w:r>
      <w:r>
        <w:t>NR_NTN_solutions-Core</w:t>
      </w:r>
    </w:p>
    <w:p>
      <w:pPr>
        <w:pStyle w:val="130"/>
        <w:numPr>
          <w:ilvl w:val="0"/>
          <w:numId w:val="19"/>
        </w:numPr>
      </w:pPr>
      <w:r>
        <w:t>R2-2210729</w:t>
      </w:r>
      <w:r>
        <w:tab/>
      </w:r>
      <w:r>
        <w:t>NTN Configuration at Handover and CHO</w:t>
      </w:r>
      <w:r>
        <w:tab/>
      </w:r>
      <w:r>
        <w:t>Sequans Communications</w:t>
      </w:r>
      <w:r>
        <w:tab/>
      </w:r>
      <w:r>
        <w:t>discussion</w:t>
      </w:r>
      <w:r>
        <w:tab/>
      </w:r>
      <w:r>
        <w:t>Rel-17</w:t>
      </w:r>
      <w:r>
        <w:tab/>
      </w:r>
      <w:r>
        <w:t>38.331</w:t>
      </w:r>
      <w:r>
        <w:tab/>
      </w:r>
      <w:r>
        <w:t>NR_NTN_solutions-Core</w:t>
      </w:r>
      <w:r>
        <w:tab/>
      </w:r>
      <w:r>
        <w:t>R2-2208659</w:t>
      </w:r>
    </w:p>
    <w:p>
      <w:pPr>
        <w:pStyle w:val="130"/>
        <w:numPr>
          <w:ilvl w:val="0"/>
          <w:numId w:val="19"/>
        </w:numPr>
      </w:pPr>
      <w:r>
        <w:t>R2-2209528</w:t>
      </w:r>
      <w:r>
        <w:tab/>
      </w:r>
      <w:r>
        <w:t>On timer T430 for Rel-17 NR NTN</w:t>
      </w:r>
      <w:r>
        <w:tab/>
      </w:r>
      <w:r>
        <w:t>Ericsson</w:t>
      </w:r>
      <w:r>
        <w:tab/>
      </w:r>
      <w:r>
        <w:t>discussion</w:t>
      </w:r>
      <w:r>
        <w:tab/>
      </w:r>
      <w:r>
        <w:t>Rel-17</w:t>
      </w:r>
    </w:p>
    <w:p>
      <w:pPr>
        <w:pStyle w:val="130"/>
        <w:numPr>
          <w:ilvl w:val="0"/>
          <w:numId w:val="19"/>
        </w:numPr>
      </w:pPr>
      <w:r>
        <w:t>R2-2209850</w:t>
      </w:r>
      <w:r>
        <w:tab/>
      </w:r>
      <w:r>
        <w:t>Discussion on configuration of satellite information for handover</w:t>
      </w:r>
      <w:r>
        <w:tab/>
      </w:r>
      <w:r>
        <w:t>ASUSTeK</w:t>
      </w:r>
      <w:r>
        <w:tab/>
      </w:r>
      <w:r>
        <w:t>discussion</w:t>
      </w:r>
      <w:r>
        <w:tab/>
      </w:r>
      <w:r>
        <w:t>Rel-17</w:t>
      </w:r>
      <w:r>
        <w:tab/>
      </w:r>
      <w:r>
        <w:t>38.331</w:t>
      </w:r>
      <w:r>
        <w:tab/>
      </w:r>
      <w:r>
        <w:t>NR_NTN_solutions-Core</w:t>
      </w:r>
    </w:p>
    <w:p>
      <w:pPr>
        <w:pStyle w:val="130"/>
        <w:numPr>
          <w:ilvl w:val="0"/>
          <w:numId w:val="19"/>
        </w:numPr>
      </w:pPr>
      <w:r>
        <w:t>R2-2209851</w:t>
      </w:r>
      <w:r>
        <w:tab/>
      </w:r>
      <w:r>
        <w:t>Discussion on T430 handling upon going to RRC_IDLE</w:t>
      </w:r>
      <w:r>
        <w:tab/>
      </w:r>
      <w:r>
        <w:t>ASUSTeK</w:t>
      </w:r>
      <w:r>
        <w:tab/>
      </w:r>
      <w:r>
        <w:t>discussion</w:t>
      </w:r>
      <w:r>
        <w:tab/>
      </w:r>
      <w:r>
        <w:t>Rel-17</w:t>
      </w:r>
      <w:r>
        <w:tab/>
      </w:r>
      <w:r>
        <w:t>38.331</w:t>
      </w:r>
      <w:r>
        <w:tab/>
      </w:r>
      <w:r>
        <w:t>NR_NTN_solutions-Core</w:t>
      </w:r>
    </w:p>
    <w:p>
      <w:pPr>
        <w:pStyle w:val="130"/>
        <w:numPr>
          <w:ilvl w:val="0"/>
          <w:numId w:val="19"/>
        </w:numPr>
      </w:pPr>
      <w:r>
        <w:t>R2-2209852</w:t>
      </w:r>
      <w:r>
        <w:tab/>
      </w:r>
      <w:r>
        <w:t>Clarification on validity timer for serving cell</w:t>
      </w:r>
      <w:r>
        <w:tab/>
      </w:r>
      <w:r>
        <w:t>ASUSTeK</w:t>
      </w:r>
      <w:r>
        <w:tab/>
      </w:r>
      <w:r>
        <w:t>discussion</w:t>
      </w:r>
      <w:r>
        <w:tab/>
      </w:r>
      <w:r>
        <w:t>Rel-17</w:t>
      </w:r>
      <w:r>
        <w:tab/>
      </w:r>
      <w:r>
        <w:t>38.331</w:t>
      </w:r>
      <w:r>
        <w:tab/>
      </w:r>
      <w:r>
        <w:t>NR_NTN_solutions-Core</w:t>
      </w:r>
    </w:p>
    <w:p>
      <w:pPr>
        <w:pStyle w:val="88"/>
      </w:pPr>
    </w:p>
    <w:p>
      <w:pPr>
        <w:pStyle w:val="130"/>
        <w:ind w:left="0" w:firstLine="0"/>
      </w:pPr>
    </w:p>
    <w:sectPr>
      <w:footerReference r:id="rId5" w:type="default"/>
      <w:headerReference r:id="rId4" w:type="even"/>
      <w:footnotePr>
        <w:numRestart w:val="eachSect"/>
      </w:footnotePr>
      <w:pgSz w:w="11907" w:h="16840"/>
      <w:pgMar w:top="1418" w:right="1134" w:bottom="1134"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MingLiU">
    <w:altName w:val="Microsoft JhengHei"/>
    <w:panose1 w:val="02010609000101010101"/>
    <w:charset w:val="88"/>
    <w:family w:val="moder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20</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21</w:t>
    </w:r>
    <w:r>
      <w:rPr>
        <w:rStyle w:val="48"/>
      </w:rPr>
      <w:fldChar w:fldCharType="end"/>
    </w:r>
    <w:r>
      <w:rPr>
        <w:rStyle w:val="4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E5911"/>
    <w:multiLevelType w:val="multilevel"/>
    <w:tmpl w:val="0D1E5911"/>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4">
    <w:nsid w:val="418549AE"/>
    <w:multiLevelType w:val="multilevel"/>
    <w:tmpl w:val="418549AE"/>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BDF65F6"/>
    <w:multiLevelType w:val="multilevel"/>
    <w:tmpl w:val="4BDF65F6"/>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CC57573"/>
    <w:multiLevelType w:val="multilevel"/>
    <w:tmpl w:val="4CC575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1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6CD3A3F"/>
    <w:multiLevelType w:val="multilevel"/>
    <w:tmpl w:val="56CD3A3F"/>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70238B8"/>
    <w:multiLevelType w:val="multilevel"/>
    <w:tmpl w:val="570238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8B2344"/>
    <w:multiLevelType w:val="multilevel"/>
    <w:tmpl w:val="5B8B23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0A32A63"/>
    <w:multiLevelType w:val="multilevel"/>
    <w:tmpl w:val="60A32A63"/>
    <w:lvl w:ilvl="0" w:tentative="0">
      <w:start w:val="3"/>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3">
    <w:nsid w:val="6C6C43F7"/>
    <w:multiLevelType w:val="multilevel"/>
    <w:tmpl w:val="6C6C43F7"/>
    <w:lvl w:ilvl="0" w:tentative="0">
      <w:start w:val="1"/>
      <w:numFmt w:val="decimal"/>
      <w:lvlText w:val="%1)"/>
      <w:lvlJc w:val="left"/>
      <w:pPr>
        <w:ind w:left="360" w:hanging="36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E760327"/>
    <w:multiLevelType w:val="multilevel"/>
    <w:tmpl w:val="6E760327"/>
    <w:lvl w:ilvl="0" w:tentative="0">
      <w:start w:val="1"/>
      <w:numFmt w:val="decimal"/>
      <w:pStyle w:val="115"/>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5">
    <w:nsid w:val="70146DC0"/>
    <w:multiLevelType w:val="multilevel"/>
    <w:tmpl w:val="70146DC0"/>
    <w:lvl w:ilvl="0" w:tentative="0">
      <w:start w:val="1"/>
      <w:numFmt w:val="bullet"/>
      <w:pStyle w:val="12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7">
    <w:nsid w:val="78F76F6F"/>
    <w:multiLevelType w:val="singleLevel"/>
    <w:tmpl w:val="78F76F6F"/>
    <w:lvl w:ilvl="0" w:tentative="0">
      <w:start w:val="1"/>
      <w:numFmt w:val="bullet"/>
      <w:pStyle w:val="140"/>
      <w:lvlText w:val=""/>
      <w:lvlJc w:val="left"/>
      <w:pPr>
        <w:tabs>
          <w:tab w:val="left" w:pos="360"/>
        </w:tabs>
        <w:ind w:left="360" w:hanging="360"/>
      </w:pPr>
      <w:rPr>
        <w:rFonts w:hint="default" w:ascii="Symbol" w:hAnsi="Symbol"/>
      </w:rPr>
    </w:lvl>
  </w:abstractNum>
  <w:abstractNum w:abstractNumId="18">
    <w:nsid w:val="7F547DFD"/>
    <w:multiLevelType w:val="singleLevel"/>
    <w:tmpl w:val="7F547DFD"/>
    <w:lvl w:ilvl="0" w:tentative="0">
      <w:start w:val="1"/>
      <w:numFmt w:val="bullet"/>
      <w:pStyle w:val="103"/>
      <w:lvlText w:val=""/>
      <w:lvlJc w:val="left"/>
      <w:pPr>
        <w:tabs>
          <w:tab w:val="left" w:pos="1418"/>
        </w:tabs>
        <w:ind w:left="1418" w:hanging="426"/>
      </w:pPr>
      <w:rPr>
        <w:rFonts w:hint="default" w:ascii="Wingdings" w:hAnsi="Wingdings"/>
      </w:rPr>
    </w:lvl>
  </w:abstractNum>
  <w:num w:numId="1">
    <w:abstractNumId w:val="2"/>
  </w:num>
  <w:num w:numId="2">
    <w:abstractNumId w:val="10"/>
  </w:num>
  <w:num w:numId="3">
    <w:abstractNumId w:val="1"/>
  </w:num>
  <w:num w:numId="4">
    <w:abstractNumId w:val="3"/>
  </w:num>
  <w:num w:numId="5">
    <w:abstractNumId w:val="18"/>
  </w:num>
  <w:num w:numId="6">
    <w:abstractNumId w:val="14"/>
  </w:num>
  <w:num w:numId="7">
    <w:abstractNumId w:val="15"/>
  </w:num>
  <w:num w:numId="8">
    <w:abstractNumId w:val="7"/>
  </w:num>
  <w:num w:numId="9">
    <w:abstractNumId w:val="17"/>
  </w:num>
  <w:num w:numId="10">
    <w:abstractNumId w:val="16"/>
  </w:num>
  <w:num w:numId="11">
    <w:abstractNumId w:val="5"/>
  </w:num>
  <w:num w:numId="12">
    <w:abstractNumId w:val="12"/>
  </w:num>
  <w:num w:numId="13">
    <w:abstractNumId w:val="0"/>
  </w:num>
  <w:num w:numId="14">
    <w:abstractNumId w:val="11"/>
  </w:num>
  <w:num w:numId="15">
    <w:abstractNumId w:val="9"/>
  </w:num>
  <w:num w:numId="16">
    <w:abstractNumId w:val="13"/>
  </w:num>
  <w:num w:numId="17">
    <w:abstractNumId w:val="6"/>
  </w:num>
  <w:num w:numId="18">
    <w:abstractNumId w:val="8"/>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SUSTeK">
    <w15:presenceInfo w15:providerId="None" w15:userId="ASUSTeK"/>
  </w15:person>
  <w15:person w15:author="Sequans - Olivier Marco">
    <w15:presenceInfo w15:providerId="None" w15:userId="Sequans - Olivier Marco"/>
  </w15:person>
  <w15:person w15:author="Samsung (Shiyang Leng)">
    <w15:presenceInfo w15:providerId="None" w15:userId="Samsung (Shiyang Leng)"/>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displayBackgroundShape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E0F"/>
    <w:rsid w:val="0015462A"/>
    <w:rsid w:val="001546DF"/>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112B"/>
    <w:rsid w:val="00191627"/>
    <w:rsid w:val="001923B4"/>
    <w:rsid w:val="00192CD0"/>
    <w:rsid w:val="0019341A"/>
    <w:rsid w:val="00193513"/>
    <w:rsid w:val="001938D2"/>
    <w:rsid w:val="00193C64"/>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082"/>
    <w:rsid w:val="001D72A0"/>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45F"/>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FB1"/>
    <w:rsid w:val="002A055E"/>
    <w:rsid w:val="002A121C"/>
    <w:rsid w:val="002A134C"/>
    <w:rsid w:val="002A1D4E"/>
    <w:rsid w:val="002A2072"/>
    <w:rsid w:val="002A2869"/>
    <w:rsid w:val="002A444D"/>
    <w:rsid w:val="002A517B"/>
    <w:rsid w:val="002A5348"/>
    <w:rsid w:val="002A592F"/>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5070"/>
    <w:rsid w:val="003C5215"/>
    <w:rsid w:val="003C7806"/>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14F8"/>
    <w:rsid w:val="00491624"/>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D75"/>
    <w:rsid w:val="004B572C"/>
    <w:rsid w:val="004B5C2F"/>
    <w:rsid w:val="004B5D8E"/>
    <w:rsid w:val="004B6F1D"/>
    <w:rsid w:val="004B766C"/>
    <w:rsid w:val="004B7785"/>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DF4"/>
    <w:rsid w:val="004F2078"/>
    <w:rsid w:val="004F3A53"/>
    <w:rsid w:val="004F4CBD"/>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9D4"/>
    <w:rsid w:val="00554E19"/>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92A"/>
    <w:rsid w:val="005B3AA3"/>
    <w:rsid w:val="005B3BD5"/>
    <w:rsid w:val="005B44FC"/>
    <w:rsid w:val="005B457B"/>
    <w:rsid w:val="005B47D8"/>
    <w:rsid w:val="005B50DB"/>
    <w:rsid w:val="005B5730"/>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28B"/>
    <w:rsid w:val="00616F36"/>
    <w:rsid w:val="00616F60"/>
    <w:rsid w:val="0061725C"/>
    <w:rsid w:val="00617D70"/>
    <w:rsid w:val="00620A71"/>
    <w:rsid w:val="00620D80"/>
    <w:rsid w:val="006218FB"/>
    <w:rsid w:val="00621940"/>
    <w:rsid w:val="00622FD3"/>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AED"/>
    <w:rsid w:val="00686494"/>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1CB"/>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20277"/>
    <w:rsid w:val="00721049"/>
    <w:rsid w:val="0072126E"/>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CA3"/>
    <w:rsid w:val="0078177E"/>
    <w:rsid w:val="00781975"/>
    <w:rsid w:val="007826ED"/>
    <w:rsid w:val="0078304C"/>
    <w:rsid w:val="00783393"/>
    <w:rsid w:val="00783673"/>
    <w:rsid w:val="007843D5"/>
    <w:rsid w:val="00785490"/>
    <w:rsid w:val="007868C0"/>
    <w:rsid w:val="007869BE"/>
    <w:rsid w:val="00787E00"/>
    <w:rsid w:val="007903CB"/>
    <w:rsid w:val="0079041E"/>
    <w:rsid w:val="007915CE"/>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6E5"/>
    <w:rsid w:val="008A4861"/>
    <w:rsid w:val="008A51A8"/>
    <w:rsid w:val="008A5484"/>
    <w:rsid w:val="008A54C7"/>
    <w:rsid w:val="008A56E2"/>
    <w:rsid w:val="008A58E8"/>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44F"/>
    <w:rsid w:val="009F3818"/>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D0"/>
    <w:rsid w:val="00A441BD"/>
    <w:rsid w:val="00A45B74"/>
    <w:rsid w:val="00A46150"/>
    <w:rsid w:val="00A462A2"/>
    <w:rsid w:val="00A464A4"/>
    <w:rsid w:val="00A46816"/>
    <w:rsid w:val="00A501F1"/>
    <w:rsid w:val="00A507D2"/>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9E6"/>
    <w:rsid w:val="00AB6AF7"/>
    <w:rsid w:val="00AC007F"/>
    <w:rsid w:val="00AC2C74"/>
    <w:rsid w:val="00AC2ECD"/>
    <w:rsid w:val="00AC3119"/>
    <w:rsid w:val="00AC3E65"/>
    <w:rsid w:val="00AC4947"/>
    <w:rsid w:val="00AC49FB"/>
    <w:rsid w:val="00AC514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530"/>
    <w:rsid w:val="00B664C7"/>
    <w:rsid w:val="00B66E7F"/>
    <w:rsid w:val="00B70061"/>
    <w:rsid w:val="00B70435"/>
    <w:rsid w:val="00B717BF"/>
    <w:rsid w:val="00B72F63"/>
    <w:rsid w:val="00B73110"/>
    <w:rsid w:val="00B731ED"/>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1F"/>
    <w:rsid w:val="00B969F5"/>
    <w:rsid w:val="00B97447"/>
    <w:rsid w:val="00BA0D16"/>
    <w:rsid w:val="00BA131A"/>
    <w:rsid w:val="00BA203D"/>
    <w:rsid w:val="00BA2280"/>
    <w:rsid w:val="00BA2A08"/>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E7DB9"/>
    <w:rsid w:val="00BF1596"/>
    <w:rsid w:val="00BF2FB5"/>
    <w:rsid w:val="00BF3279"/>
    <w:rsid w:val="00BF3C7F"/>
    <w:rsid w:val="00BF3DA1"/>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B1F"/>
    <w:rsid w:val="00CF3BF6"/>
    <w:rsid w:val="00CF3CEC"/>
    <w:rsid w:val="00CF4282"/>
    <w:rsid w:val="00CF5542"/>
    <w:rsid w:val="00CF57E5"/>
    <w:rsid w:val="00CF5A46"/>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4F39"/>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91F"/>
    <w:rsid w:val="00DF6C09"/>
    <w:rsid w:val="00DF7192"/>
    <w:rsid w:val="00DF786E"/>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3AA9"/>
    <w:rsid w:val="00E8431C"/>
    <w:rsid w:val="00E84C4B"/>
    <w:rsid w:val="00E85928"/>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21D7"/>
    <w:rsid w:val="00EE260A"/>
    <w:rsid w:val="00EE28F4"/>
    <w:rsid w:val="00EE2CE8"/>
    <w:rsid w:val="00EE4C87"/>
    <w:rsid w:val="00EE5E99"/>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4CDA"/>
    <w:rsid w:val="00F358B9"/>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428C"/>
    <w:rsid w:val="00F9492A"/>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58"/>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link w:val="146"/>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7">
    <w:name w:val="Default Paragraph Font"/>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uiPriority w:val="0"/>
    <w:pPr>
      <w:tabs>
        <w:tab w:val="right" w:pos="1701"/>
      </w:tabs>
      <w:ind w:left="2268" w:hanging="2268"/>
    </w:pPr>
  </w:style>
  <w:style w:type="paragraph" w:styleId="15">
    <w:name w:val="toc 6"/>
    <w:basedOn w:val="16"/>
    <w:next w:val="1"/>
    <w:semiHidden/>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uiPriority w:val="0"/>
    <w:pPr>
      <w:tabs>
        <w:tab w:val="left" w:pos="1701"/>
      </w:tabs>
      <w:ind w:left="1134" w:hanging="1134"/>
    </w:pPr>
  </w:style>
  <w:style w:type="paragraph" w:styleId="19">
    <w:name w:val="toc 2"/>
    <w:basedOn w:val="20"/>
    <w:next w:val="1"/>
    <w:qFormat/>
    <w:uiPriority w:val="39"/>
    <w:pPr>
      <w:keepNext w:val="0"/>
      <w:tabs>
        <w:tab w:val="left" w:pos="1701"/>
      </w:tabs>
      <w:spacing w:before="0"/>
      <w:ind w:left="851" w:hanging="851"/>
    </w:pPr>
    <w:rPr>
      <w:szCs w:val="20"/>
    </w:rPr>
  </w:style>
  <w:style w:type="paragraph" w:styleId="20">
    <w:name w:val="toc 1"/>
    <w:next w:val="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uiPriority w:val="0"/>
    <w:pPr>
      <w:numPr>
        <w:numId w:val="1"/>
      </w:numPr>
      <w:tabs>
        <w:tab w:val="left" w:pos="510"/>
        <w:tab w:val="left" w:pos="794"/>
        <w:tab w:val="left" w:pos="1077"/>
        <w:tab w:val="left" w:pos="1361"/>
      </w:tabs>
    </w:pPr>
  </w:style>
  <w:style w:type="paragraph" w:styleId="24">
    <w:name w:val="List Bullet 3"/>
    <w:basedOn w:val="25"/>
    <w:uiPriority w:val="0"/>
    <w:pPr>
      <w:numPr>
        <w:numId w:val="2"/>
      </w:numPr>
      <w:tabs>
        <w:tab w:val="left" w:pos="510"/>
        <w:tab w:val="left" w:pos="794"/>
        <w:tab w:val="left" w:pos="1077"/>
      </w:tabs>
    </w:pPr>
  </w:style>
  <w:style w:type="paragraph" w:styleId="25">
    <w:name w:val="List Bullet 2"/>
    <w:basedOn w:val="26"/>
    <w:qFormat/>
    <w:uiPriority w:val="0"/>
    <w:pPr>
      <w:tabs>
        <w:tab w:val="left" w:pos="510"/>
        <w:tab w:val="left" w:pos="794"/>
      </w:tabs>
      <w:ind w:left="794"/>
    </w:pPr>
  </w:style>
  <w:style w:type="paragraph" w:styleId="26">
    <w:name w:val="List Bullet"/>
    <w:basedOn w:val="27"/>
    <w:uiPriority w:val="0"/>
    <w:pPr>
      <w:numPr>
        <w:ilvl w:val="0"/>
        <w:numId w:val="3"/>
      </w:numPr>
    </w:pPr>
  </w:style>
  <w:style w:type="paragraph" w:styleId="27">
    <w:name w:val="Body Text"/>
    <w:basedOn w:val="1"/>
    <w:link w:val="64"/>
    <w:qFormat/>
    <w:uiPriority w:val="0"/>
  </w:style>
  <w:style w:type="paragraph" w:styleId="28">
    <w:name w:val="caption"/>
    <w:basedOn w:val="1"/>
    <w:next w:val="1"/>
    <w:link w:val="144"/>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4"/>
    <w:semiHidden/>
    <w:uiPriority w:val="0"/>
  </w:style>
  <w:style w:type="paragraph" w:styleId="31">
    <w:name w:val="List Bullet 5"/>
    <w:basedOn w:val="23"/>
    <w:qFormat/>
    <w:uiPriority w:val="0"/>
    <w:pPr>
      <w:numPr>
        <w:numId w:val="4"/>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1"/>
    <w:qFormat/>
    <w:uiPriority w:val="99"/>
    <w:pPr>
      <w:jc w:val="center"/>
    </w:pPr>
    <w:rPr>
      <w:i/>
      <w:iCs/>
    </w:rPr>
  </w:style>
  <w:style w:type="paragraph" w:styleId="35">
    <w:name w:val="header"/>
    <w:link w:val="100"/>
    <w:qFormat/>
    <w:uiPriority w:val="99"/>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uiPriority w:val="0"/>
    <w:pPr>
      <w:ind w:left="1702"/>
    </w:pPr>
  </w:style>
  <w:style w:type="paragraph" w:styleId="38">
    <w:name w:val="List 4"/>
    <w:basedOn w:val="11"/>
    <w:qFormat/>
    <w:uiPriority w:val="0"/>
    <w:pPr>
      <w:ind w:left="1418"/>
    </w:pPr>
  </w:style>
  <w:style w:type="paragraph" w:styleId="39">
    <w:name w:val="table of figures"/>
    <w:basedOn w:val="1"/>
    <w:next w:val="1"/>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Normal (Web)"/>
    <w:basedOn w:val="1"/>
    <w:unhideWhenUsed/>
    <w:qFormat/>
    <w:uiPriority w:val="99"/>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basedOn w:val="47"/>
    <w:semiHidden/>
    <w:qFormat/>
    <w:uiPriority w:val="0"/>
  </w:style>
  <w:style w:type="character" w:styleId="49">
    <w:name w:val="FollowedHyperlink"/>
    <w:semiHidden/>
    <w:qFormat/>
    <w:uiPriority w:val="0"/>
    <w:rPr>
      <w:color w:val="FF0000"/>
      <w:u w:val="single"/>
    </w:rPr>
  </w:style>
  <w:style w:type="character" w:styleId="50">
    <w:name w:val="Hyperlink"/>
    <w:uiPriority w:val="99"/>
    <w:rPr>
      <w:color w:val="0000FF"/>
      <w:u w:val="single"/>
      <w:lang w:val="en-GB"/>
    </w:rPr>
  </w:style>
  <w:style w:type="character" w:styleId="51">
    <w:name w:val="annotation reference"/>
    <w:semiHidden/>
    <w:uiPriority w:val="0"/>
    <w:rPr>
      <w:sz w:val="16"/>
      <w:szCs w:val="16"/>
    </w:rPr>
  </w:style>
  <w:style w:type="character" w:styleId="52">
    <w:name w:val="footnote reference"/>
    <w:semiHidden/>
    <w:qFormat/>
    <w:uiPriority w:val="0"/>
    <w:rPr>
      <w:b/>
      <w:bCs/>
      <w:position w:val="6"/>
      <w:sz w:val="16"/>
      <w:szCs w:val="16"/>
    </w:rPr>
  </w:style>
  <w:style w:type="paragraph" w:customStyle="1" w:styleId="53">
    <w:name w:val="Figure"/>
    <w:basedOn w:val="1"/>
    <w:next w:val="28"/>
    <w:uiPriority w:val="0"/>
    <w:pPr>
      <w:keepNext/>
      <w:keepLines/>
      <w:spacing w:before="180"/>
      <w:jc w:val="center"/>
    </w:pPr>
  </w:style>
  <w:style w:type="paragraph" w:customStyle="1" w:styleId="54">
    <w:name w:val="3GPP_Header"/>
    <w:basedOn w:val="1"/>
    <w:qFormat/>
    <w:uiPriority w:val="0"/>
    <w:pPr>
      <w:tabs>
        <w:tab w:val="left" w:pos="1701"/>
        <w:tab w:val="right" w:pos="9639"/>
      </w:tabs>
      <w:spacing w:after="240"/>
    </w:pPr>
    <w:rPr>
      <w:b/>
      <w:sz w:val="24"/>
    </w:rPr>
  </w:style>
  <w:style w:type="paragraph" w:customStyle="1" w:styleId="55">
    <w:name w:val="EQ"/>
    <w:basedOn w:val="1"/>
    <w:next w:val="1"/>
    <w:qFormat/>
    <w:uiPriority w:val="0"/>
    <w:pPr>
      <w:keepLines/>
      <w:tabs>
        <w:tab w:val="center" w:pos="4536"/>
        <w:tab w:val="right" w:pos="9072"/>
      </w:tabs>
      <w:spacing w:after="180"/>
      <w:jc w:val="left"/>
    </w:pPr>
    <w:rPr>
      <w:lang w:eastAsia="en-US"/>
    </w:rPr>
  </w:style>
  <w:style w:type="paragraph" w:customStyle="1" w:styleId="56">
    <w:name w:val="Editor's Note"/>
    <w:basedOn w:val="1"/>
    <w:qFormat/>
    <w:uiPriority w:val="0"/>
    <w:pPr>
      <w:keepLines/>
      <w:spacing w:after="180"/>
      <w:ind w:left="1135" w:hanging="851"/>
      <w:jc w:val="left"/>
    </w:pPr>
    <w:rPr>
      <w:color w:val="FF0000"/>
      <w:lang w:eastAsia="en-US"/>
    </w:rPr>
  </w:style>
  <w:style w:type="paragraph" w:customStyle="1" w:styleId="57">
    <w:name w:val="Reference"/>
    <w:basedOn w:val="1"/>
    <w:qFormat/>
    <w:uiPriority w:val="0"/>
  </w:style>
  <w:style w:type="character" w:customStyle="1" w:styleId="58">
    <w:name w:val="Heading 1 Char"/>
    <w:link w:val="2"/>
    <w:qFormat/>
    <w:uiPriority w:val="0"/>
    <w:rPr>
      <w:rFonts w:ascii="Arial" w:hAnsi="Arial" w:cs="Arial"/>
      <w:sz w:val="36"/>
      <w:szCs w:val="36"/>
      <w:lang w:val="en-GB"/>
    </w:rPr>
  </w:style>
  <w:style w:type="paragraph" w:customStyle="1" w:styleId="59">
    <w:name w:val="B1"/>
    <w:basedOn w:val="13"/>
    <w:link w:val="93"/>
    <w:qFormat/>
    <w:uiPriority w:val="0"/>
    <w:pPr>
      <w:spacing w:after="180"/>
      <w:jc w:val="left"/>
    </w:pPr>
    <w:rPr>
      <w:lang w:eastAsia="en-US"/>
    </w:rPr>
  </w:style>
  <w:style w:type="paragraph" w:customStyle="1" w:styleId="60">
    <w:name w:val="B2"/>
    <w:basedOn w:val="12"/>
    <w:link w:val="94"/>
    <w:qFormat/>
    <w:uiPriority w:val="0"/>
    <w:pPr>
      <w:spacing w:after="180"/>
      <w:jc w:val="left"/>
    </w:pPr>
    <w:rPr>
      <w:lang w:eastAsia="en-US"/>
    </w:rPr>
  </w:style>
  <w:style w:type="paragraph" w:customStyle="1" w:styleId="61">
    <w:name w:val="B3"/>
    <w:basedOn w:val="11"/>
    <w:link w:val="119"/>
    <w:qFormat/>
    <w:uiPriority w:val="0"/>
    <w:pPr>
      <w:spacing w:after="180"/>
      <w:jc w:val="left"/>
    </w:pPr>
    <w:rPr>
      <w:lang w:eastAsia="en-US"/>
    </w:rPr>
  </w:style>
  <w:style w:type="paragraph" w:customStyle="1" w:styleId="62">
    <w:name w:val="B4"/>
    <w:basedOn w:val="38"/>
    <w:link w:val="121"/>
    <w:qFormat/>
    <w:uiPriority w:val="0"/>
    <w:pPr>
      <w:spacing w:after="180"/>
      <w:jc w:val="left"/>
    </w:pPr>
    <w:rPr>
      <w:lang w:eastAsia="en-US"/>
    </w:rPr>
  </w:style>
  <w:style w:type="paragraph" w:customStyle="1" w:styleId="63">
    <w:name w:val="Proposal"/>
    <w:basedOn w:val="1"/>
    <w:link w:val="108"/>
    <w:qFormat/>
    <w:uiPriority w:val="0"/>
    <w:pPr>
      <w:tabs>
        <w:tab w:val="left" w:pos="1701"/>
      </w:tabs>
    </w:pPr>
    <w:rPr>
      <w:b/>
      <w:bCs/>
    </w:rPr>
  </w:style>
  <w:style w:type="character" w:customStyle="1" w:styleId="64">
    <w:name w:val="Body Text Char"/>
    <w:link w:val="27"/>
    <w:qFormat/>
    <w:uiPriority w:val="0"/>
    <w:rPr>
      <w:rFonts w:ascii="Arial" w:hAnsi="Arial"/>
      <w:lang w:val="en-GB"/>
    </w:rPr>
  </w:style>
  <w:style w:type="paragraph" w:customStyle="1" w:styleId="65">
    <w:name w:val="B5"/>
    <w:basedOn w:val="37"/>
    <w:link w:val="120"/>
    <w:qFormat/>
    <w:uiPriority w:val="0"/>
    <w:pPr>
      <w:spacing w:after="180"/>
      <w:jc w:val="left"/>
    </w:pPr>
    <w:rPr>
      <w:lang w:eastAsia="en-US"/>
    </w:rPr>
  </w:style>
  <w:style w:type="paragraph" w:customStyle="1" w:styleId="66">
    <w:name w:val="EX"/>
    <w:basedOn w:val="1"/>
    <w:uiPriority w:val="0"/>
    <w:pPr>
      <w:keepLines/>
      <w:spacing w:after="180"/>
      <w:ind w:left="1702" w:hanging="1418"/>
      <w:jc w:val="left"/>
    </w:pPr>
    <w:rPr>
      <w:lang w:eastAsia="en-US"/>
    </w:rPr>
  </w:style>
  <w:style w:type="paragraph" w:customStyle="1" w:styleId="67">
    <w:name w:val="EW"/>
    <w:basedOn w:val="66"/>
    <w:qFormat/>
    <w:uiPriority w:val="0"/>
    <w:pPr>
      <w:spacing w:after="0"/>
    </w:pPr>
  </w:style>
  <w:style w:type="paragraph" w:customStyle="1" w:styleId="68">
    <w:name w:val="TAL"/>
    <w:basedOn w:val="1"/>
    <w:link w:val="104"/>
    <w:qFormat/>
    <w:uiPriority w:val="0"/>
    <w:pPr>
      <w:keepNext/>
      <w:keepLines/>
      <w:spacing w:after="0"/>
      <w:jc w:val="left"/>
    </w:pPr>
    <w:rPr>
      <w:sz w:val="18"/>
      <w:lang w:eastAsia="en-US"/>
    </w:rPr>
  </w:style>
  <w:style w:type="paragraph" w:customStyle="1" w:styleId="69">
    <w:name w:val="TAC"/>
    <w:basedOn w:val="68"/>
    <w:link w:val="128"/>
    <w:uiPriority w:val="0"/>
    <w:pPr>
      <w:jc w:val="center"/>
    </w:pPr>
  </w:style>
  <w:style w:type="paragraph" w:customStyle="1" w:styleId="70">
    <w:name w:val="TAH"/>
    <w:basedOn w:val="69"/>
    <w:link w:val="129"/>
    <w:qFormat/>
    <w:uiPriority w:val="0"/>
    <w:rPr>
      <w:b/>
    </w:rPr>
  </w:style>
  <w:style w:type="paragraph" w:customStyle="1" w:styleId="71">
    <w:name w:val="TAN"/>
    <w:basedOn w:val="68"/>
    <w:qFormat/>
    <w:uiPriority w:val="0"/>
    <w:pPr>
      <w:ind w:left="851" w:hanging="851"/>
    </w:pPr>
  </w:style>
  <w:style w:type="paragraph" w:customStyle="1" w:styleId="72">
    <w:name w:val="TAR"/>
    <w:basedOn w:val="68"/>
    <w:qFormat/>
    <w:uiPriority w:val="0"/>
    <w:pPr>
      <w:jc w:val="right"/>
    </w:pPr>
  </w:style>
  <w:style w:type="paragraph" w:customStyle="1" w:styleId="73">
    <w:name w:val="TH"/>
    <w:basedOn w:val="1"/>
    <w:link w:val="105"/>
    <w:qFormat/>
    <w:uiPriority w:val="0"/>
    <w:pPr>
      <w:keepNext/>
      <w:keepLines/>
      <w:spacing w:before="60" w:after="180"/>
      <w:jc w:val="center"/>
    </w:pPr>
    <w:rPr>
      <w:b/>
      <w:lang w:eastAsia="en-US"/>
    </w:rPr>
  </w:style>
  <w:style w:type="paragraph" w:customStyle="1" w:styleId="74">
    <w:name w:val="TF"/>
    <w:basedOn w:val="73"/>
    <w:link w:val="106"/>
    <w:uiPriority w:val="0"/>
    <w:pPr>
      <w:keepNext w:val="0"/>
      <w:spacing w:before="0" w:after="240"/>
    </w:pPr>
  </w:style>
  <w:style w:type="paragraph" w:customStyle="1" w:styleId="75">
    <w:name w:val="TT"/>
    <w:basedOn w:val="2"/>
    <w:next w:val="1"/>
    <w:qFormat/>
    <w:uiPriority w:val="0"/>
    <w:pPr>
      <w:ind w:left="1134" w:hanging="1134"/>
      <w:outlineLvl w:val="9"/>
    </w:pPr>
    <w:rPr>
      <w:rFonts w:cs="Times New Roman"/>
      <w:szCs w:val="20"/>
      <w:lang w:eastAsia="en-US"/>
    </w:r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8">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character" w:customStyle="1" w:styleId="80">
    <w:name w:val="ZGSM"/>
    <w:qFormat/>
    <w:uiPriority w:val="0"/>
  </w:style>
  <w:style w:type="paragraph" w:customStyle="1" w:styleId="8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8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83">
    <w:name w:val="ZTD"/>
    <w:basedOn w:val="77"/>
    <w:qFormat/>
    <w:uiPriority w:val="0"/>
    <w:pPr>
      <w:framePr w:hRule="auto" w:y="852"/>
    </w:pPr>
    <w:rPr>
      <w:i w:val="0"/>
      <w:sz w:val="40"/>
    </w:rPr>
  </w:style>
  <w:style w:type="paragraph" w:customStyle="1" w:styleId="8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paragraph" w:customStyle="1" w:styleId="86">
    <w:name w:val="FP"/>
    <w:basedOn w:val="1"/>
    <w:qFormat/>
    <w:uiPriority w:val="0"/>
    <w:pPr>
      <w:spacing w:after="0"/>
      <w:jc w:val="left"/>
    </w:pPr>
    <w:rPr>
      <w:lang w:eastAsia="en-US"/>
    </w:rPr>
  </w:style>
  <w:style w:type="paragraph" w:customStyle="1" w:styleId="87">
    <w:name w:val="Observation"/>
    <w:basedOn w:val="63"/>
    <w:link w:val="112"/>
    <w:qFormat/>
    <w:uiPriority w:val="0"/>
  </w:style>
  <w:style w:type="paragraph" w:customStyle="1" w:styleId="88">
    <w:name w:val="Doc-text2"/>
    <w:basedOn w:val="1"/>
    <w:link w:val="8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89">
    <w:name w:val="Doc-text2 Char"/>
    <w:link w:val="88"/>
    <w:qFormat/>
    <w:uiPriority w:val="0"/>
    <w:rPr>
      <w:rFonts w:ascii="Arial" w:hAnsi="Arial" w:eastAsia="MS Mincho"/>
      <w:szCs w:val="24"/>
      <w:lang w:val="en-GB" w:eastAsia="en-GB"/>
    </w:rPr>
  </w:style>
  <w:style w:type="paragraph" w:styleId="90">
    <w:name w:val="List Paragraph"/>
    <w:basedOn w:val="1"/>
    <w:link w:val="116"/>
    <w:qFormat/>
    <w:uiPriority w:val="34"/>
    <w:pPr>
      <w:ind w:left="720"/>
      <w:contextualSpacing/>
    </w:pPr>
  </w:style>
  <w:style w:type="paragraph" w:customStyle="1" w:styleId="91">
    <w:name w:val="NO"/>
    <w:basedOn w:val="1"/>
    <w:link w:val="92"/>
    <w:qFormat/>
    <w:uiPriority w:val="0"/>
    <w:pPr>
      <w:keepLines/>
      <w:spacing w:after="180"/>
      <w:ind w:left="1135" w:hanging="851"/>
      <w:jc w:val="left"/>
    </w:pPr>
    <w:rPr>
      <w:rFonts w:ascii="Times New Roman" w:hAnsi="Times New Roman" w:eastAsia="Times New Roman"/>
    </w:rPr>
  </w:style>
  <w:style w:type="character" w:customStyle="1" w:styleId="92">
    <w:name w:val="NO Char"/>
    <w:link w:val="91"/>
    <w:qFormat/>
    <w:uiPriority w:val="0"/>
    <w:rPr>
      <w:rFonts w:ascii="Times New Roman" w:hAnsi="Times New Roman" w:eastAsia="Times New Roman"/>
    </w:rPr>
  </w:style>
  <w:style w:type="character" w:customStyle="1" w:styleId="93">
    <w:name w:val="B1 Char"/>
    <w:link w:val="59"/>
    <w:qFormat/>
    <w:uiPriority w:val="0"/>
    <w:rPr>
      <w:rFonts w:ascii="Arial" w:hAnsi="Arial"/>
      <w:lang w:val="en-GB" w:eastAsia="en-US"/>
    </w:rPr>
  </w:style>
  <w:style w:type="character" w:customStyle="1" w:styleId="94">
    <w:name w:val="B2 Char"/>
    <w:link w:val="60"/>
    <w:qFormat/>
    <w:uiPriority w:val="0"/>
    <w:rPr>
      <w:rFonts w:ascii="Arial" w:hAnsi="Arial"/>
      <w:lang w:val="en-GB" w:eastAsia="en-US"/>
    </w:rPr>
  </w:style>
  <w:style w:type="paragraph" w:customStyle="1" w:styleId="95">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96">
    <w:name w:val="PL Char"/>
    <w:link w:val="95"/>
    <w:qFormat/>
    <w:uiPriority w:val="0"/>
    <w:rPr>
      <w:rFonts w:ascii="Courier New" w:hAnsi="Courier New" w:eastAsia="Times New Roman"/>
      <w:sz w:val="16"/>
    </w:rPr>
  </w:style>
  <w:style w:type="character" w:customStyle="1" w:styleId="97">
    <w:name w:val="st"/>
    <w:qFormat/>
    <w:uiPriority w:val="0"/>
  </w:style>
  <w:style w:type="character" w:customStyle="1" w:styleId="98">
    <w:name w:val="Char Char7"/>
    <w:qFormat/>
    <w:uiPriority w:val="0"/>
    <w:rPr>
      <w:rFonts w:ascii="Arial" w:hAnsi="Arial" w:eastAsia="MS Mincho" w:cs="Arial"/>
      <w:b/>
      <w:bCs/>
      <w:iCs/>
      <w:sz w:val="28"/>
      <w:szCs w:val="28"/>
      <w:lang w:val="en-GB" w:eastAsia="en-GB" w:bidi="ar-SA"/>
    </w:rPr>
  </w:style>
  <w:style w:type="character" w:customStyle="1" w:styleId="99">
    <w:name w:val="首标题"/>
    <w:qFormat/>
    <w:uiPriority w:val="99"/>
    <w:rPr>
      <w:rFonts w:ascii="Arial" w:hAnsi="Arial" w:cs="Times New Roman"/>
      <w:sz w:val="24"/>
    </w:rPr>
  </w:style>
  <w:style w:type="character" w:customStyle="1" w:styleId="100">
    <w:name w:val="Header Char"/>
    <w:link w:val="35"/>
    <w:qFormat/>
    <w:locked/>
    <w:uiPriority w:val="99"/>
    <w:rPr>
      <w:rFonts w:ascii="Arial" w:hAnsi="Arial" w:cs="Arial"/>
      <w:b/>
      <w:bCs/>
      <w:sz w:val="18"/>
      <w:szCs w:val="18"/>
    </w:rPr>
  </w:style>
  <w:style w:type="character" w:customStyle="1" w:styleId="101">
    <w:name w:val="Footer Char"/>
    <w:link w:val="34"/>
    <w:qFormat/>
    <w:locked/>
    <w:uiPriority w:val="99"/>
    <w:rPr>
      <w:rFonts w:ascii="Arial" w:hAnsi="Arial" w:cs="Arial"/>
      <w:b/>
      <w:bCs/>
      <w:i/>
      <w:iCs/>
      <w:sz w:val="18"/>
      <w:szCs w:val="18"/>
    </w:rPr>
  </w:style>
  <w:style w:type="character" w:customStyle="1" w:styleId="102">
    <w:name w:val="B1 Char1"/>
    <w:qFormat/>
    <w:uiPriority w:val="0"/>
    <w:rPr>
      <w:rFonts w:eastAsia="Times New Roman"/>
    </w:rPr>
  </w:style>
  <w:style w:type="paragraph" w:customStyle="1" w:styleId="103">
    <w:name w:val="text intend 2"/>
    <w:basedOn w:val="1"/>
    <w:qFormat/>
    <w:uiPriority w:val="0"/>
    <w:pPr>
      <w:numPr>
        <w:ilvl w:val="0"/>
        <w:numId w:val="5"/>
      </w:numPr>
    </w:pPr>
    <w:rPr>
      <w:rFonts w:ascii="Times New Roman" w:hAnsi="Times New Roman" w:eastAsia="MS Mincho"/>
      <w:sz w:val="24"/>
      <w:lang w:val="en-US" w:eastAsia="en-GB"/>
    </w:rPr>
  </w:style>
  <w:style w:type="character" w:customStyle="1" w:styleId="104">
    <w:name w:val="TAL Car"/>
    <w:link w:val="68"/>
    <w:qFormat/>
    <w:uiPriority w:val="0"/>
    <w:rPr>
      <w:rFonts w:ascii="Arial" w:hAnsi="Arial"/>
      <w:sz w:val="18"/>
      <w:lang w:val="en-GB" w:eastAsia="en-US"/>
    </w:rPr>
  </w:style>
  <w:style w:type="character" w:customStyle="1" w:styleId="105">
    <w:name w:val="TH Char"/>
    <w:link w:val="73"/>
    <w:qFormat/>
    <w:uiPriority w:val="0"/>
    <w:rPr>
      <w:rFonts w:ascii="Arial" w:hAnsi="Arial"/>
      <w:b/>
      <w:lang w:val="en-GB" w:eastAsia="en-US"/>
    </w:rPr>
  </w:style>
  <w:style w:type="character" w:customStyle="1" w:styleId="106">
    <w:name w:val="TF Char"/>
    <w:link w:val="74"/>
    <w:qFormat/>
    <w:uiPriority w:val="0"/>
    <w:rPr>
      <w:rFonts w:ascii="Arial" w:hAnsi="Arial"/>
      <w:b/>
      <w:lang w:val="en-GB" w:eastAsia="en-US"/>
    </w:rPr>
  </w:style>
  <w:style w:type="paragraph" w:customStyle="1" w:styleId="107">
    <w:name w:val="proposal"/>
    <w:basedOn w:val="63"/>
    <w:link w:val="109"/>
    <w:qFormat/>
    <w:uiPriority w:val="0"/>
    <w:pPr>
      <w:overflowPunct/>
      <w:autoSpaceDE/>
      <w:autoSpaceDN/>
      <w:adjustRightInd/>
      <w:spacing w:line="259" w:lineRule="auto"/>
      <w:textAlignment w:val="auto"/>
    </w:pPr>
  </w:style>
  <w:style w:type="character" w:customStyle="1" w:styleId="108">
    <w:name w:val="Proposal Char"/>
    <w:link w:val="63"/>
    <w:qFormat/>
    <w:uiPriority w:val="0"/>
    <w:rPr>
      <w:rFonts w:ascii="Arial" w:hAnsi="Arial"/>
      <w:b/>
      <w:bCs/>
      <w:lang w:val="en-GB"/>
    </w:rPr>
  </w:style>
  <w:style w:type="character" w:customStyle="1" w:styleId="109">
    <w:name w:val="proposal Char"/>
    <w:link w:val="107"/>
    <w:qFormat/>
    <w:uiPriority w:val="0"/>
    <w:rPr>
      <w:rFonts w:ascii="Arial" w:hAnsi="Arial"/>
      <w:b/>
      <w:bCs/>
      <w:lang w:val="en-GB"/>
    </w:rPr>
  </w:style>
  <w:style w:type="character" w:customStyle="1" w:styleId="110">
    <w:name w:val="Book Title"/>
    <w:qFormat/>
    <w:uiPriority w:val="33"/>
    <w:rPr>
      <w:b/>
      <w:bCs/>
      <w:i/>
      <w:iCs/>
      <w:spacing w:val="5"/>
    </w:rPr>
  </w:style>
  <w:style w:type="paragraph" w:customStyle="1" w:styleId="111">
    <w:name w:val="Revision"/>
    <w:hidden/>
    <w:semiHidden/>
    <w:qFormat/>
    <w:uiPriority w:val="99"/>
    <w:rPr>
      <w:rFonts w:ascii="Arial" w:hAnsi="Arial" w:eastAsia="宋体" w:cs="Times New Roman"/>
      <w:lang w:val="en-GB" w:eastAsia="zh-CN" w:bidi="ar-SA"/>
    </w:rPr>
  </w:style>
  <w:style w:type="character" w:customStyle="1" w:styleId="112">
    <w:name w:val="Observation Char"/>
    <w:link w:val="87"/>
    <w:qFormat/>
    <w:uiPriority w:val="0"/>
    <w:rPr>
      <w:rFonts w:ascii="Arial" w:hAnsi="Arial"/>
      <w:b/>
      <w:bCs/>
      <w:lang w:val="en-GB"/>
    </w:rPr>
  </w:style>
  <w:style w:type="paragraph" w:customStyle="1" w:styleId="113">
    <w:name w:val="CR Cover Page"/>
    <w:link w:val="114"/>
    <w:qFormat/>
    <w:uiPriority w:val="0"/>
    <w:pPr>
      <w:spacing w:after="120"/>
    </w:pPr>
    <w:rPr>
      <w:rFonts w:ascii="Arial" w:hAnsi="Arial" w:eastAsia="宋体" w:cs="Times New Roman"/>
      <w:lang w:val="en-GB" w:eastAsia="en-US" w:bidi="ar-SA"/>
    </w:rPr>
  </w:style>
  <w:style w:type="character" w:customStyle="1" w:styleId="114">
    <w:name w:val="CR Cover Page Zchn"/>
    <w:link w:val="113"/>
    <w:qFormat/>
    <w:uiPriority w:val="0"/>
    <w:rPr>
      <w:rFonts w:ascii="Arial" w:hAnsi="Arial"/>
      <w:lang w:val="en-GB" w:eastAsia="en-US"/>
    </w:rPr>
  </w:style>
  <w:style w:type="paragraph" w:customStyle="1" w:styleId="115">
    <w:name w:val="Style Heading 1NMP Heading 1H1h11h12h13h14h15h16app headin..."/>
    <w:basedOn w:val="2"/>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6">
    <w:name w:val="List Paragraph Char"/>
    <w:link w:val="90"/>
    <w:qFormat/>
    <w:uiPriority w:val="34"/>
    <w:rPr>
      <w:rFonts w:ascii="Arial" w:hAnsi="Arial"/>
      <w:lang w:val="en-GB"/>
    </w:rPr>
  </w:style>
  <w:style w:type="paragraph" w:customStyle="1" w:styleId="117">
    <w:name w:val="Comments"/>
    <w:basedOn w:val="1"/>
    <w:link w:val="118"/>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8">
    <w:name w:val="Comments Char"/>
    <w:link w:val="117"/>
    <w:qFormat/>
    <w:uiPriority w:val="0"/>
    <w:rPr>
      <w:rFonts w:ascii="Arial" w:hAnsi="Arial" w:eastAsia="MS Mincho"/>
      <w:i/>
      <w:sz w:val="18"/>
      <w:szCs w:val="24"/>
      <w:lang w:val="en-GB" w:eastAsia="en-GB"/>
    </w:rPr>
  </w:style>
  <w:style w:type="character" w:customStyle="1" w:styleId="119">
    <w:name w:val="B3 Char"/>
    <w:link w:val="61"/>
    <w:qFormat/>
    <w:uiPriority w:val="0"/>
    <w:rPr>
      <w:rFonts w:ascii="Arial" w:hAnsi="Arial"/>
      <w:lang w:val="en-GB" w:eastAsia="en-US"/>
    </w:rPr>
  </w:style>
  <w:style w:type="character" w:customStyle="1" w:styleId="120">
    <w:name w:val="B5 Char"/>
    <w:link w:val="65"/>
    <w:qFormat/>
    <w:uiPriority w:val="0"/>
    <w:rPr>
      <w:rFonts w:ascii="Arial" w:hAnsi="Arial"/>
      <w:lang w:val="en-GB" w:eastAsia="en-US"/>
    </w:rPr>
  </w:style>
  <w:style w:type="character" w:customStyle="1" w:styleId="121">
    <w:name w:val="B4 Char"/>
    <w:link w:val="62"/>
    <w:qFormat/>
    <w:uiPriority w:val="0"/>
    <w:rPr>
      <w:rFonts w:ascii="Arial" w:hAnsi="Arial"/>
      <w:lang w:val="en-GB" w:eastAsia="en-US"/>
    </w:rPr>
  </w:style>
  <w:style w:type="character" w:customStyle="1" w:styleId="122">
    <w:name w:val="B3 Char2"/>
    <w:qFormat/>
    <w:uiPriority w:val="0"/>
    <w:rPr>
      <w:rFonts w:ascii="Times New Roman" w:hAnsi="Times New Roman" w:eastAsia="Times New Roman"/>
    </w:rPr>
  </w:style>
  <w:style w:type="character" w:customStyle="1" w:styleId="123">
    <w:name w:val="列表段落 字符"/>
    <w:qFormat/>
    <w:locked/>
    <w:uiPriority w:val="34"/>
    <w:rPr>
      <w:rFonts w:ascii="Times New Roman" w:hAnsi="Times New Roman" w:eastAsia="宋体" w:cs="Times New Roman"/>
    </w:rPr>
  </w:style>
  <w:style w:type="character" w:customStyle="1" w:styleId="124">
    <w:name w:val="Comment Text Char"/>
    <w:link w:val="30"/>
    <w:semiHidden/>
    <w:qFormat/>
    <w:uiPriority w:val="0"/>
    <w:rPr>
      <w:rFonts w:ascii="Arial" w:hAnsi="Arial"/>
      <w:lang w:val="en-GB"/>
    </w:rPr>
  </w:style>
  <w:style w:type="paragraph" w:customStyle="1" w:styleId="125">
    <w:name w:val="Doc-comment"/>
    <w:basedOn w:val="1"/>
    <w:next w:val="88"/>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6">
    <w:name w:val="正文文本 字符1"/>
    <w:qFormat/>
    <w:uiPriority w:val="0"/>
    <w:rPr>
      <w:rFonts w:ascii="Arial" w:hAnsi="Arial"/>
      <w:lang w:val="en-GB"/>
    </w:rPr>
  </w:style>
  <w:style w:type="paragraph" w:customStyle="1" w:styleId="127">
    <w:name w:val="Agreement"/>
    <w:basedOn w:val="1"/>
    <w:next w:val="88"/>
    <w:qFormat/>
    <w:uiPriority w:val="99"/>
    <w:pPr>
      <w:numPr>
        <w:ilvl w:val="0"/>
        <w:numId w:val="7"/>
      </w:numPr>
      <w:overflowPunct/>
      <w:autoSpaceDE/>
      <w:autoSpaceDN/>
      <w:adjustRightInd/>
      <w:spacing w:before="60" w:after="0"/>
      <w:jc w:val="left"/>
      <w:textAlignment w:val="auto"/>
    </w:pPr>
    <w:rPr>
      <w:rFonts w:eastAsia="MS Mincho"/>
      <w:b/>
      <w:szCs w:val="24"/>
      <w:lang w:eastAsia="en-GB"/>
    </w:rPr>
  </w:style>
  <w:style w:type="character" w:customStyle="1" w:styleId="128">
    <w:name w:val="TAC Char"/>
    <w:link w:val="69"/>
    <w:uiPriority w:val="0"/>
    <w:rPr>
      <w:rFonts w:ascii="Arial" w:hAnsi="Arial"/>
      <w:sz w:val="18"/>
      <w:lang w:val="en-GB" w:eastAsia="en-US"/>
    </w:rPr>
  </w:style>
  <w:style w:type="character" w:customStyle="1" w:styleId="129">
    <w:name w:val="TAH Car"/>
    <w:link w:val="70"/>
    <w:qFormat/>
    <w:uiPriority w:val="0"/>
    <w:rPr>
      <w:rFonts w:ascii="Arial" w:hAnsi="Arial"/>
      <w:b/>
      <w:sz w:val="18"/>
      <w:lang w:val="en-GB" w:eastAsia="en-US"/>
    </w:rPr>
  </w:style>
  <w:style w:type="paragraph" w:customStyle="1" w:styleId="130">
    <w:name w:val="Doc-title"/>
    <w:basedOn w:val="1"/>
    <w:next w:val="88"/>
    <w:link w:val="131"/>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1">
    <w:name w:val="Doc-title Char"/>
    <w:link w:val="130"/>
    <w:qFormat/>
    <w:uiPriority w:val="0"/>
    <w:rPr>
      <w:rFonts w:ascii="Arial" w:hAnsi="Arial" w:eastAsia="MS Mincho"/>
      <w:szCs w:val="24"/>
      <w:lang w:val="en-GB" w:eastAsia="en-GB"/>
    </w:rPr>
  </w:style>
  <w:style w:type="character" w:customStyle="1" w:styleId="132">
    <w:name w:val="列出段落 字符"/>
    <w:qFormat/>
    <w:locked/>
    <w:uiPriority w:val="34"/>
  </w:style>
  <w:style w:type="character" w:customStyle="1" w:styleId="133">
    <w:name w:val="批注文字 字符"/>
    <w:semiHidden/>
    <w:qFormat/>
    <w:uiPriority w:val="99"/>
  </w:style>
  <w:style w:type="character" w:customStyle="1" w:styleId="134">
    <w:name w:val="正文文本 字符"/>
    <w:qFormat/>
    <w:uiPriority w:val="0"/>
    <w:rPr>
      <w:rFonts w:ascii="Arial" w:hAnsi="Arial"/>
      <w:lang w:val="en-GB"/>
    </w:rPr>
  </w:style>
  <w:style w:type="paragraph" w:customStyle="1" w:styleId="135">
    <w:name w:val="EmailDiscussion"/>
    <w:basedOn w:val="1"/>
    <w:next w:val="136"/>
    <w:link w:val="137"/>
    <w:qFormat/>
    <w:uiPriority w:val="0"/>
    <w:pPr>
      <w:numPr>
        <w:ilvl w:val="0"/>
        <w:numId w:val="8"/>
      </w:numPr>
      <w:overflowPunct/>
      <w:autoSpaceDE/>
      <w:autoSpaceDN/>
      <w:adjustRightInd/>
      <w:spacing w:before="40" w:after="0"/>
      <w:jc w:val="left"/>
      <w:textAlignment w:val="auto"/>
    </w:pPr>
    <w:rPr>
      <w:rFonts w:eastAsia="MS Mincho"/>
      <w:b/>
      <w:szCs w:val="24"/>
      <w:lang w:eastAsia="en-GB"/>
    </w:rPr>
  </w:style>
  <w:style w:type="paragraph" w:customStyle="1" w:styleId="136">
    <w:name w:val="EmailDiscussion2"/>
    <w:basedOn w:val="88"/>
    <w:qFormat/>
    <w:uiPriority w:val="99"/>
  </w:style>
  <w:style w:type="character" w:customStyle="1" w:styleId="137">
    <w:name w:val="EmailDiscussion Char"/>
    <w:link w:val="135"/>
    <w:qFormat/>
    <w:uiPriority w:val="0"/>
    <w:rPr>
      <w:rFonts w:ascii="Arial" w:hAnsi="Arial" w:eastAsia="MS Mincho"/>
      <w:b/>
      <w:szCs w:val="24"/>
      <w:lang w:val="en-GB" w:eastAsia="en-GB"/>
    </w:rPr>
  </w:style>
  <w:style w:type="character" w:customStyle="1" w:styleId="138">
    <w:name w:val="apple-converted-space"/>
    <w:qFormat/>
    <w:uiPriority w:val="0"/>
  </w:style>
  <w:style w:type="character" w:customStyle="1" w:styleId="139">
    <w:name w:val="NO Char1"/>
    <w:qFormat/>
    <w:uiPriority w:val="0"/>
    <w:rPr>
      <w:lang w:val="en-GB" w:eastAsia="en-US"/>
    </w:rPr>
  </w:style>
  <w:style w:type="paragraph" w:customStyle="1" w:styleId="140">
    <w:name w:val="normal puce"/>
    <w:basedOn w:val="1"/>
    <w:qFormat/>
    <w:uiPriority w:val="0"/>
    <w:pPr>
      <w:widowControl w:val="0"/>
      <w:numPr>
        <w:ilvl w:val="0"/>
        <w:numId w:val="9"/>
      </w:numPr>
      <w:tabs>
        <w:tab w:val="clear" w:pos="360"/>
      </w:tabs>
      <w:overflowPunct/>
      <w:autoSpaceDE/>
      <w:autoSpaceDN/>
      <w:adjustRightInd/>
      <w:spacing w:before="60" w:after="60"/>
      <w:ind w:left="720"/>
      <w:textAlignment w:val="auto"/>
    </w:pPr>
    <w:rPr>
      <w:rFonts w:ascii="Calibri" w:hAnsi="Calibri" w:eastAsia="MS Mincho"/>
      <w:szCs w:val="22"/>
      <w:lang w:eastAsia="en-US"/>
    </w:rPr>
  </w:style>
  <w:style w:type="character" w:customStyle="1" w:styleId="141">
    <w:name w:val="标题 1 字符"/>
    <w:qFormat/>
    <w:uiPriority w:val="0"/>
    <w:rPr>
      <w:rFonts w:ascii="Arial" w:hAnsi="Arial" w:cs="Arial"/>
      <w:sz w:val="36"/>
      <w:szCs w:val="36"/>
      <w:lang w:val="en-GB"/>
    </w:rPr>
  </w:style>
  <w:style w:type="character" w:customStyle="1" w:styleId="142">
    <w:name w:val="skip"/>
    <w:qFormat/>
    <w:uiPriority w:val="0"/>
  </w:style>
  <w:style w:type="character" w:customStyle="1" w:styleId="143">
    <w:name w:val="Unresolved Mention1"/>
    <w:basedOn w:val="47"/>
    <w:semiHidden/>
    <w:unhideWhenUsed/>
    <w:qFormat/>
    <w:uiPriority w:val="99"/>
    <w:rPr>
      <w:color w:val="605E5C"/>
      <w:shd w:val="clear" w:color="auto" w:fill="E1DFDD"/>
    </w:rPr>
  </w:style>
  <w:style w:type="character" w:customStyle="1" w:styleId="144">
    <w:name w:val="Caption Char"/>
    <w:link w:val="28"/>
    <w:qFormat/>
    <w:uiPriority w:val="0"/>
    <w:rPr>
      <w:rFonts w:ascii="Arial" w:hAnsi="Arial"/>
      <w:b/>
      <w:bCs/>
      <w:lang w:val="en-GB"/>
    </w:rPr>
  </w:style>
  <w:style w:type="character" w:customStyle="1" w:styleId="145">
    <w:name w:val="TAL Char"/>
    <w:qFormat/>
    <w:uiPriority w:val="0"/>
    <w:rPr>
      <w:rFonts w:ascii="Arial" w:hAnsi="Arial"/>
      <w:sz w:val="18"/>
      <w:lang w:val="en-GB" w:eastAsia="en-US" w:bidi="ar-SA"/>
    </w:rPr>
  </w:style>
  <w:style w:type="character" w:customStyle="1" w:styleId="146">
    <w:name w:val="Heading 4 Char"/>
    <w:basedOn w:val="47"/>
    <w:link w:val="5"/>
    <w:qFormat/>
    <w:uiPriority w:val="0"/>
    <w:rPr>
      <w:rFonts w:ascii="Arial" w:hAnsi="Arial" w:cs="Arial"/>
      <w:sz w:val="24"/>
      <w:szCs w:val="24"/>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C5A2-A278-46A5-AA32-3A978AB33E74}">
  <ds:schemaRefs/>
</ds:datastoreItem>
</file>

<file path=docProps/app.xml><?xml version="1.0" encoding="utf-8"?>
<Properties xmlns="http://schemas.openxmlformats.org/officeDocument/2006/extended-properties" xmlns:vt="http://schemas.openxmlformats.org/officeDocument/2006/docPropsVTypes">
  <Template>OPPO1</Template>
  <Company>Microsoft</Company>
  <Pages>21</Pages>
  <Words>4444</Words>
  <Characters>22954</Characters>
  <Lines>190</Lines>
  <Paragraphs>53</Paragraphs>
  <TotalTime>2</TotalTime>
  <ScaleCrop>false</ScaleCrop>
  <LinksUpToDate>false</LinksUpToDate>
  <CharactersWithSpaces>27231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2022-10-10T16:14:00Z</dcterms:created>
  <dc:creator>OPPO-Haitao</dc:creator>
  <cp:keywords>3GPP; OPPO; TDoc</cp:keywords>
  <cp:lastModifiedBy>xiaowei-xiaomi</cp:lastModifiedBy>
  <cp:lastPrinted>2008-01-31T00:09:00Z</cp:lastPrinted>
  <dcterms:modified xsi:type="dcterms:W3CDTF">2022-10-12T04:07:59Z</dcterms:modified>
  <dc:title>OPPO</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2052-11.1.0.12358</vt:lpwstr>
  </property>
  <property fmtid="{D5CDD505-2E9C-101B-9397-08002B2CF9AE}" pid="9" name="ICV">
    <vt:lpwstr>D43F289C60FC44E885EEC03F3AFD4440</vt:lpwstr>
  </property>
</Properties>
</file>