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10 - 19 Oct, 2022</w:t>
      </w:r>
    </w:p>
    <w:p w14:paraId="218D37FC" w14:textId="77777777" w:rsidR="002D737C" w:rsidRDefault="00FA43C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18D37FD" w14:textId="77777777" w:rsidR="002D737C" w:rsidRDefault="00FA43C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[Offline-109][NR NTN] cell reselection requirements (Huawei)</w:t>
      </w:r>
    </w:p>
    <w:p w14:paraId="218D37FE"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FA43C4">
      <w:pPr>
        <w:pStyle w:val="Heading1"/>
        <w:jc w:val="both"/>
        <w:rPr>
          <w:rFonts w:eastAsia="SimSun"/>
          <w:lang w:eastAsia="zh-CN"/>
        </w:rPr>
      </w:pPr>
      <w:r>
        <w:t>Introduction</w:t>
      </w:r>
    </w:p>
    <w:p w14:paraId="218D3801" w14:textId="77777777" w:rsidR="002D737C" w:rsidRDefault="00FA43C4">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FA43C4">
      <w:pPr>
        <w:pStyle w:val="EmailDiscussion"/>
      </w:pPr>
      <w:r>
        <w:t>[AT119bis-e][109][NR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rsidRPr="00C80AA2">
        <w:rPr>
          <w:lang w:val="en-US"/>
        </w:rPr>
        <w:t xml:space="preserve">Introduce one indication for cell reselection requirement enhancement for LEO. </w:t>
      </w:r>
      <w:r>
        <w:t>FFS if in SIB1 or SIB19</w:t>
      </w:r>
    </w:p>
    <w:p w14:paraId="218D380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FA43C4">
      <w:pPr>
        <w:spacing w:before="180"/>
        <w:rPr>
          <w:rFonts w:eastAsia="SimSun"/>
          <w:lang w:eastAsia="zh-CN"/>
        </w:rPr>
      </w:pPr>
      <w:r>
        <w:rPr>
          <w:rFonts w:eastAsia="SimSun"/>
          <w:lang w:eastAsia="zh-CN"/>
        </w:rPr>
        <w:t>1) Whether the indication for LEO is in SIB1 or SIB 19;</w:t>
      </w:r>
    </w:p>
    <w:p w14:paraId="218D3810" w14:textId="77777777" w:rsidR="002D737C" w:rsidRDefault="00FA43C4">
      <w:pPr>
        <w:spacing w:before="180"/>
        <w:rPr>
          <w:rFonts w:eastAsia="SimSun"/>
          <w:lang w:eastAsia="zh-CN"/>
        </w:rPr>
      </w:pPr>
      <w:r>
        <w:rPr>
          <w:rFonts w:eastAsia="SimSun"/>
          <w:lang w:eastAsia="zh-CN"/>
        </w:rPr>
        <w:t>2) Whether the relaxed monitoring of GEO can reuse the existing configuration;</w:t>
      </w:r>
    </w:p>
    <w:p w14:paraId="218D3811" w14:textId="77777777" w:rsidR="002D737C" w:rsidRDefault="00FA43C4">
      <w:pPr>
        <w:spacing w:before="180"/>
        <w:rPr>
          <w:rFonts w:eastAsia="SimSun"/>
          <w:lang w:eastAsia="zh-CN"/>
        </w:rPr>
      </w:pPr>
      <w:r>
        <w:rPr>
          <w:rFonts w:eastAsia="SimSun"/>
          <w:lang w:eastAsia="zh-CN"/>
        </w:rPr>
        <w:t>And try to attempt some stage-3 details and a draft reply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FA43C4">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18D3819"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FA43C4">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 xml:space="preserve">iao </w:t>
            </w:r>
            <w:proofErr w:type="spellStart"/>
            <w:r>
              <w:rPr>
                <w:rFonts w:eastAsia="SimSun"/>
                <w:bCs/>
                <w:lang w:eastAsia="zh-CN"/>
              </w:rPr>
              <w:t>XIAO</w:t>
            </w:r>
            <w:proofErr w:type="spellEnd"/>
          </w:p>
        </w:tc>
        <w:tc>
          <w:tcPr>
            <w:tcW w:w="4547" w:type="dxa"/>
            <w:shd w:val="clear" w:color="auto" w:fill="auto"/>
          </w:tcPr>
          <w:p w14:paraId="218D381E" w14:textId="77777777" w:rsidR="002D737C" w:rsidRDefault="00FA43C4">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FA43C4">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FA43C4">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FA43C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218D3826" w14:textId="77777777" w:rsidR="002D737C" w:rsidRDefault="00FA43C4">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218D382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FA43C4">
            <w:pPr>
              <w:spacing w:after="0"/>
              <w:jc w:val="center"/>
              <w:rPr>
                <w:rFonts w:eastAsia="SimSun"/>
                <w:bCs/>
                <w:lang w:eastAsia="zh-CN"/>
              </w:rPr>
            </w:pPr>
            <w:r>
              <w:rPr>
                <w:rFonts w:eastAsia="SimSun"/>
                <w:bCs/>
                <w:lang w:eastAsia="zh-CN"/>
              </w:rPr>
              <w:t>Tangxun</w:t>
            </w:r>
          </w:p>
        </w:tc>
        <w:tc>
          <w:tcPr>
            <w:tcW w:w="4547" w:type="dxa"/>
            <w:shd w:val="clear" w:color="auto" w:fill="auto"/>
          </w:tcPr>
          <w:p w14:paraId="218D3832" w14:textId="77777777" w:rsidR="002D737C" w:rsidRDefault="00FA43C4">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SimSun"/>
                <w:bCs/>
                <w:lang w:eastAsia="zh-CN"/>
              </w:rPr>
            </w:pPr>
            <w:r>
              <w:rPr>
                <w:rFonts w:eastAsia="SimSun"/>
                <w:bCs/>
              </w:rPr>
              <w:t>Samsung</w:t>
            </w:r>
          </w:p>
        </w:tc>
        <w:tc>
          <w:tcPr>
            <w:tcW w:w="2682" w:type="dxa"/>
          </w:tcPr>
          <w:p w14:paraId="218D3835" w14:textId="77777777" w:rsidR="002D737C" w:rsidRDefault="00FA43C4">
            <w:pPr>
              <w:spacing w:after="0"/>
              <w:jc w:val="center"/>
              <w:rPr>
                <w:rFonts w:eastAsia="SimSun"/>
                <w:bCs/>
                <w:lang w:eastAsia="zh-CN"/>
              </w:rPr>
            </w:pPr>
            <w:r>
              <w:rPr>
                <w:rFonts w:eastAsia="SimSun"/>
                <w:bCs/>
              </w:rPr>
              <w:t>Shiyang Leng</w:t>
            </w:r>
          </w:p>
        </w:tc>
        <w:tc>
          <w:tcPr>
            <w:tcW w:w="4547" w:type="dxa"/>
            <w:shd w:val="clear" w:color="auto" w:fill="auto"/>
          </w:tcPr>
          <w:p w14:paraId="218D3836" w14:textId="77777777" w:rsidR="002D737C" w:rsidRDefault="00FA43C4">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FA43C4">
            <w:pPr>
              <w:spacing w:after="0"/>
              <w:jc w:val="center"/>
              <w:rPr>
                <w:rFonts w:eastAsia="SimSun"/>
                <w:bCs/>
              </w:rPr>
            </w:pPr>
            <w:proofErr w:type="spellStart"/>
            <w:r>
              <w:rPr>
                <w:rFonts w:eastAsia="SimSun" w:hint="eastAsia"/>
                <w:bCs/>
                <w:lang w:eastAsia="zh-CN"/>
              </w:rPr>
              <w:t>J</w:t>
            </w:r>
            <w:r>
              <w:rPr>
                <w:rFonts w:eastAsia="SimSun"/>
                <w:bCs/>
                <w:lang w:eastAsia="zh-CN"/>
              </w:rPr>
              <w:t>iaxiang</w:t>
            </w:r>
            <w:proofErr w:type="spellEnd"/>
            <w:r>
              <w:rPr>
                <w:rFonts w:eastAsia="SimSun"/>
                <w:bCs/>
                <w:lang w:eastAsia="zh-CN"/>
              </w:rPr>
              <w:t xml:space="preserve"> Liu</w:t>
            </w:r>
          </w:p>
        </w:tc>
        <w:tc>
          <w:tcPr>
            <w:tcW w:w="4547" w:type="dxa"/>
            <w:shd w:val="clear" w:color="auto" w:fill="auto"/>
          </w:tcPr>
          <w:p w14:paraId="218D383A" w14:textId="77777777" w:rsidR="002D737C" w:rsidRDefault="00FA43C4">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SimSun"/>
                <w:bCs/>
                <w:lang w:eastAsia="zh-CN"/>
              </w:rPr>
            </w:pPr>
            <w:proofErr w:type="spellStart"/>
            <w:r>
              <w:rPr>
                <w:rFonts w:eastAsia="SimSun" w:hint="eastAsia"/>
                <w:bCs/>
                <w:lang w:eastAsia="zh-CN"/>
              </w:rPr>
              <w:t>S</w:t>
            </w:r>
            <w:r>
              <w:rPr>
                <w:rFonts w:eastAsia="SimSun"/>
                <w:bCs/>
                <w:lang w:eastAsia="zh-CN"/>
              </w:rPr>
              <w:t>idong</w:t>
            </w:r>
            <w:proofErr w:type="spellEnd"/>
            <w:r>
              <w:rPr>
                <w:rFonts w:eastAsia="SimSun"/>
                <w:bCs/>
                <w:lang w:eastAsia="zh-CN"/>
              </w:rPr>
              <w:t xml:space="preserve">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bCs/>
                <w:lang w:eastAsia="zh-CN"/>
              </w:rPr>
            </w:pPr>
            <w:proofErr w:type="spellStart"/>
            <w:r w:rsidRPr="00FA7970">
              <w:rPr>
                <w:rFonts w:eastAsia="SimSun"/>
                <w:bCs/>
                <w:lang w:eastAsia="zh-CN"/>
              </w:rPr>
              <w:t>Manook</w:t>
            </w:r>
            <w:proofErr w:type="spellEnd"/>
            <w:r w:rsidRPr="00FA7970">
              <w:rPr>
                <w:rFonts w:eastAsia="SimSun"/>
                <w:bCs/>
                <w:lang w:eastAsia="zh-CN"/>
              </w:rPr>
              <w:t xml:space="preserve"> </w:t>
            </w:r>
            <w:proofErr w:type="spellStart"/>
            <w:r w:rsidRPr="00FA7970">
              <w:rPr>
                <w:rFonts w:eastAsia="SimSun"/>
                <w:bCs/>
                <w:lang w:eastAsia="zh-CN"/>
              </w:rPr>
              <w:t>Soghomonian</w:t>
            </w:r>
            <w:proofErr w:type="spellEnd"/>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bCs/>
                <w:lang w:eastAsia="zh-CN"/>
              </w:rPr>
            </w:pPr>
            <w:r>
              <w:rPr>
                <w:rFonts w:eastAsia="SimSun"/>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SimSun"/>
                <w:bCs/>
              </w:rPr>
            </w:pPr>
            <w:proofErr w:type="spellStart"/>
            <w:r>
              <w:rPr>
                <w:rFonts w:eastAsia="SimSun"/>
                <w:bCs/>
                <w:lang w:eastAsia="zh-CN"/>
              </w:rPr>
              <w:lastRenderedPageBreak/>
              <w:t>SungHoon</w:t>
            </w:r>
            <w:proofErr w:type="spellEnd"/>
            <w:r>
              <w:rPr>
                <w:rFonts w:eastAsia="SimSun"/>
                <w:bCs/>
                <w:lang w:eastAsia="zh-CN"/>
              </w:rPr>
              <w:t xml:space="preserve"> Jung</w:t>
            </w:r>
          </w:p>
        </w:tc>
        <w:tc>
          <w:tcPr>
            <w:tcW w:w="2682" w:type="dxa"/>
          </w:tcPr>
          <w:p w14:paraId="6F1E7004" w14:textId="77777777" w:rsidR="00AE0C8E" w:rsidRDefault="00AE0C8E" w:rsidP="00CF4D09">
            <w:pPr>
              <w:spacing w:after="0"/>
              <w:jc w:val="center"/>
              <w:rPr>
                <w:rFonts w:eastAsia="SimSun"/>
                <w:bCs/>
              </w:rPr>
            </w:pPr>
            <w:proofErr w:type="spellStart"/>
            <w:r>
              <w:rPr>
                <w:rFonts w:eastAsia="SimSun"/>
                <w:bCs/>
                <w:lang w:eastAsia="zh-CN"/>
              </w:rPr>
              <w:t>SungHoon</w:t>
            </w:r>
            <w:proofErr w:type="spellEnd"/>
            <w:r>
              <w:rPr>
                <w:rFonts w:eastAsia="SimSun"/>
                <w:bCs/>
                <w:lang w:eastAsia="zh-CN"/>
              </w:rPr>
              <w:t xml:space="preserve"> Jung</w:t>
            </w:r>
          </w:p>
        </w:tc>
        <w:tc>
          <w:tcPr>
            <w:tcW w:w="4547" w:type="dxa"/>
            <w:shd w:val="clear" w:color="auto" w:fill="auto"/>
          </w:tcPr>
          <w:p w14:paraId="7DBC39D8" w14:textId="77777777" w:rsidR="00AE0C8E" w:rsidRDefault="00AE0C8E" w:rsidP="00CF4D09">
            <w:pPr>
              <w:spacing w:after="0"/>
              <w:jc w:val="center"/>
              <w:rPr>
                <w:rFonts w:eastAsia="SimSun"/>
                <w:bCs/>
              </w:rPr>
            </w:pPr>
            <w:r>
              <w:rPr>
                <w:rFonts w:eastAsia="SimSun"/>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ABBA8E3" w:rsidR="00AE0C8E" w:rsidRPr="00AE0C8E" w:rsidRDefault="00825E23">
            <w:pPr>
              <w:spacing w:after="0"/>
              <w:jc w:val="center"/>
              <w:rPr>
                <w:rFonts w:eastAsia="SimSun"/>
                <w:bCs/>
                <w:lang w:eastAsia="zh-CN"/>
              </w:rPr>
            </w:pPr>
            <w:r>
              <w:rPr>
                <w:rFonts w:eastAsia="SimSun"/>
                <w:bCs/>
                <w:lang w:eastAsia="zh-CN"/>
              </w:rPr>
              <w:t>NEC</w:t>
            </w:r>
          </w:p>
        </w:tc>
        <w:tc>
          <w:tcPr>
            <w:tcW w:w="2682" w:type="dxa"/>
            <w:tcBorders>
              <w:top w:val="single" w:sz="4" w:space="0" w:color="auto"/>
              <w:left w:val="single" w:sz="4" w:space="0" w:color="auto"/>
              <w:bottom w:val="single" w:sz="4" w:space="0" w:color="auto"/>
              <w:right w:val="single" w:sz="4" w:space="0" w:color="auto"/>
            </w:tcBorders>
          </w:tcPr>
          <w:p w14:paraId="3A242792" w14:textId="15D9F740" w:rsidR="00AE0C8E" w:rsidRPr="00FA7970" w:rsidRDefault="00825E23">
            <w:pPr>
              <w:spacing w:after="0"/>
              <w:jc w:val="center"/>
              <w:rPr>
                <w:rFonts w:eastAsia="SimSun"/>
                <w:bCs/>
                <w:lang w:eastAsia="zh-CN"/>
              </w:rPr>
            </w:pPr>
            <w:r>
              <w:rPr>
                <w:rFonts w:eastAsia="SimSun"/>
                <w:bCs/>
                <w:lang w:eastAsia="zh-CN"/>
              </w:rPr>
              <w:t>Yuhua Chen</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4B2D6175" w:rsidR="00AE0C8E" w:rsidRDefault="00000000">
            <w:pPr>
              <w:spacing w:after="0"/>
              <w:jc w:val="center"/>
              <w:rPr>
                <w:rFonts w:eastAsia="SimSun"/>
                <w:bCs/>
                <w:lang w:eastAsia="zh-CN"/>
              </w:rPr>
            </w:pPr>
            <w:hyperlink r:id="rId9" w:history="1">
              <w:r w:rsidR="00825E23" w:rsidRPr="00E917FA">
                <w:rPr>
                  <w:rStyle w:val="Hyperlink"/>
                  <w:rFonts w:eastAsia="SimSun"/>
                  <w:bCs/>
                  <w:lang w:eastAsia="zh-CN"/>
                </w:rPr>
                <w:t>Yuhua.chen@emea.nec.com</w:t>
              </w:r>
            </w:hyperlink>
            <w:r w:rsidR="00825E23">
              <w:rPr>
                <w:rFonts w:eastAsia="SimSun"/>
                <w:bCs/>
                <w:lang w:eastAsia="zh-CN"/>
              </w:rPr>
              <w:t xml:space="preserve"> </w:t>
            </w:r>
          </w:p>
        </w:tc>
      </w:tr>
      <w:tr w:rsidR="00AE010B" w:rsidRPr="00D41F8C" w14:paraId="3A6EB1A9" w14:textId="77777777" w:rsidTr="0057623B">
        <w:trPr>
          <w:trHeight w:val="127"/>
        </w:trPr>
        <w:tc>
          <w:tcPr>
            <w:tcW w:w="2367" w:type="dxa"/>
            <w:shd w:val="clear" w:color="auto" w:fill="auto"/>
          </w:tcPr>
          <w:p w14:paraId="15570386" w14:textId="77777777" w:rsidR="00AE010B" w:rsidRPr="00FD2918" w:rsidRDefault="00AE010B" w:rsidP="0057623B">
            <w:pPr>
              <w:spacing w:after="0"/>
              <w:jc w:val="center"/>
              <w:rPr>
                <w:rFonts w:eastAsia="SimSun"/>
                <w:bCs/>
                <w:lang w:val="en-US" w:eastAsia="zh-CN"/>
              </w:rPr>
            </w:pPr>
            <w:r>
              <w:rPr>
                <w:rFonts w:eastAsia="SimSun"/>
                <w:bCs/>
                <w:lang w:val="en-US" w:eastAsia="zh-CN"/>
              </w:rPr>
              <w:t>Apple</w:t>
            </w:r>
          </w:p>
        </w:tc>
        <w:tc>
          <w:tcPr>
            <w:tcW w:w="2682" w:type="dxa"/>
          </w:tcPr>
          <w:p w14:paraId="462EE5C0" w14:textId="77777777" w:rsidR="00AE010B" w:rsidRDefault="00AE010B" w:rsidP="0057623B">
            <w:pPr>
              <w:spacing w:after="0"/>
              <w:jc w:val="center"/>
              <w:rPr>
                <w:rFonts w:eastAsia="SimSun"/>
                <w:bCs/>
                <w:lang w:eastAsia="zh-CN"/>
              </w:rPr>
            </w:pPr>
            <w:r>
              <w:rPr>
                <w:rFonts w:eastAsia="SimSun"/>
                <w:bCs/>
                <w:lang w:eastAsia="zh-CN"/>
              </w:rPr>
              <w:t>Fangli XU</w:t>
            </w:r>
          </w:p>
        </w:tc>
        <w:tc>
          <w:tcPr>
            <w:tcW w:w="4547" w:type="dxa"/>
            <w:shd w:val="clear" w:color="auto" w:fill="auto"/>
          </w:tcPr>
          <w:p w14:paraId="1030C7D3" w14:textId="77777777" w:rsidR="00AE010B" w:rsidRDefault="00AE010B" w:rsidP="0057623B">
            <w:pPr>
              <w:spacing w:after="0"/>
              <w:jc w:val="center"/>
              <w:rPr>
                <w:rFonts w:eastAsia="SimSun"/>
                <w:bCs/>
                <w:lang w:eastAsia="zh-CN"/>
              </w:rPr>
            </w:pPr>
            <w:r>
              <w:rPr>
                <w:rFonts w:eastAsia="SimSun"/>
                <w:bCs/>
                <w:lang w:eastAsia="zh-CN"/>
              </w:rPr>
              <w:t>fangli_xu@apple.com</w:t>
            </w:r>
          </w:p>
        </w:tc>
      </w:tr>
      <w:tr w:rsidR="00AE010B" w14:paraId="2A29816D"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63B52FC" w14:textId="77777777" w:rsidR="00AE010B" w:rsidRDefault="00AE010B">
            <w:pPr>
              <w:spacing w:after="0"/>
              <w:jc w:val="center"/>
              <w:rPr>
                <w:rFonts w:eastAsia="SimSun"/>
                <w:bCs/>
                <w:lang w:eastAsia="zh-CN"/>
              </w:rPr>
            </w:pPr>
          </w:p>
        </w:tc>
        <w:tc>
          <w:tcPr>
            <w:tcW w:w="2682" w:type="dxa"/>
            <w:tcBorders>
              <w:top w:val="single" w:sz="4" w:space="0" w:color="auto"/>
              <w:left w:val="single" w:sz="4" w:space="0" w:color="auto"/>
              <w:bottom w:val="single" w:sz="4" w:space="0" w:color="auto"/>
              <w:right w:val="single" w:sz="4" w:space="0" w:color="auto"/>
            </w:tcBorders>
          </w:tcPr>
          <w:p w14:paraId="0CEB7746" w14:textId="77777777" w:rsidR="00AE010B" w:rsidRDefault="00AE010B">
            <w:pPr>
              <w:spacing w:after="0"/>
              <w:jc w:val="center"/>
              <w:rPr>
                <w:rFonts w:eastAsia="SimSun"/>
                <w:bCs/>
                <w:lang w:eastAsia="zh-CN"/>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404B7738" w14:textId="77777777" w:rsidR="00AE010B" w:rsidRDefault="00AE010B">
            <w:pPr>
              <w:spacing w:after="0"/>
              <w:jc w:val="center"/>
            </w:pPr>
          </w:p>
        </w:tc>
      </w:tr>
    </w:tbl>
    <w:p w14:paraId="218D3844" w14:textId="77777777" w:rsidR="002D737C" w:rsidRDefault="002D737C">
      <w:pPr>
        <w:spacing w:before="120" w:after="120"/>
        <w:jc w:val="both"/>
        <w:rPr>
          <w:rFonts w:eastAsia="SimSun"/>
          <w:lang w:eastAsia="zh-CN"/>
        </w:rPr>
      </w:pPr>
    </w:p>
    <w:p w14:paraId="218D3845" w14:textId="77777777" w:rsidR="002D737C" w:rsidRDefault="00FA43C4">
      <w:pPr>
        <w:pStyle w:val="Heading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FA43C4">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r>
              <w:rPr>
                <w:rFonts w:eastAsiaTheme="minorEastAsia" w:hint="eastAsia"/>
                <w:bCs/>
                <w:lang w:eastAsia="zh-CN"/>
              </w:rPr>
              <w:t>F</w:t>
            </w:r>
            <w:r>
              <w:rPr>
                <w:rFonts w:eastAsiaTheme="minorEastAsia"/>
                <w:bCs/>
                <w:lang w:eastAsia="zh-CN"/>
              </w:rPr>
              <w:t>irstly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 xml:space="preserve">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r>
              <w:rPr>
                <w:rFonts w:eastAsia="SimSun"/>
                <w:lang w:eastAsia="zh-CN"/>
              </w:rPr>
              <w:t>Similar to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 xml:space="preserve">NTN related </w:t>
            </w:r>
            <w:proofErr w:type="spellStart"/>
            <w:r w:rsidR="00560C0B">
              <w:rPr>
                <w:rFonts w:eastAsia="MS Mincho"/>
                <w:bCs/>
                <w:lang w:val="en-US" w:eastAsia="ja-JP"/>
              </w:rPr>
              <w:t>signalling</w:t>
            </w:r>
            <w:proofErr w:type="spellEnd"/>
            <w:r w:rsidR="00560C0B">
              <w:rPr>
                <w:rFonts w:eastAsia="MS Mincho"/>
                <w:bCs/>
                <w:lang w:val="en-US" w:eastAsia="ja-JP"/>
              </w:rPr>
              <w:t xml:space="preserve">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r w:rsidR="00B4562A" w14:paraId="45F82E2B" w14:textId="77777777">
        <w:trPr>
          <w:trHeight w:val="127"/>
        </w:trPr>
        <w:tc>
          <w:tcPr>
            <w:tcW w:w="1215" w:type="dxa"/>
            <w:shd w:val="clear" w:color="auto" w:fill="auto"/>
          </w:tcPr>
          <w:p w14:paraId="24119486" w14:textId="2F7BA0D9" w:rsidR="00B4562A" w:rsidRDefault="00B4562A">
            <w:pPr>
              <w:spacing w:after="0"/>
              <w:rPr>
                <w:rFonts w:eastAsia="MS Mincho"/>
                <w:bCs/>
                <w:lang w:eastAsia="ja-JP"/>
              </w:rPr>
            </w:pPr>
            <w:r>
              <w:rPr>
                <w:rFonts w:eastAsia="MS Mincho"/>
                <w:bCs/>
                <w:lang w:eastAsia="ja-JP"/>
              </w:rPr>
              <w:t>NEC</w:t>
            </w:r>
          </w:p>
        </w:tc>
        <w:tc>
          <w:tcPr>
            <w:tcW w:w="1840" w:type="dxa"/>
          </w:tcPr>
          <w:p w14:paraId="517BA388" w14:textId="609C92FE" w:rsidR="00B4562A" w:rsidRDefault="00B4562A">
            <w:pPr>
              <w:spacing w:after="0"/>
              <w:rPr>
                <w:rFonts w:eastAsia="MS Mincho"/>
                <w:bCs/>
                <w:lang w:val="en-US" w:eastAsia="ja-JP"/>
              </w:rPr>
            </w:pPr>
            <w:r>
              <w:rPr>
                <w:rFonts w:eastAsia="MS Mincho"/>
                <w:bCs/>
                <w:lang w:val="en-US" w:eastAsia="ja-JP"/>
              </w:rPr>
              <w:t xml:space="preserve">No strong view </w:t>
            </w:r>
          </w:p>
        </w:tc>
        <w:tc>
          <w:tcPr>
            <w:tcW w:w="6541" w:type="dxa"/>
            <w:shd w:val="clear" w:color="auto" w:fill="auto"/>
          </w:tcPr>
          <w:p w14:paraId="0F3D83DB" w14:textId="77777777" w:rsidR="00B4562A" w:rsidRDefault="00B4562A">
            <w:pPr>
              <w:spacing w:after="0"/>
              <w:rPr>
                <w:rFonts w:eastAsia="MS Mincho"/>
                <w:bCs/>
                <w:lang w:val="en-US" w:eastAsia="ja-JP"/>
              </w:rPr>
            </w:pPr>
          </w:p>
        </w:tc>
      </w:tr>
      <w:tr w:rsidR="009F439A" w:rsidRPr="0019077C" w14:paraId="628AA608" w14:textId="77777777" w:rsidTr="0057623B">
        <w:trPr>
          <w:trHeight w:val="127"/>
        </w:trPr>
        <w:tc>
          <w:tcPr>
            <w:tcW w:w="1215" w:type="dxa"/>
            <w:shd w:val="clear" w:color="auto" w:fill="auto"/>
          </w:tcPr>
          <w:p w14:paraId="7F58ECE1" w14:textId="77777777" w:rsidR="009F439A" w:rsidRDefault="009F439A" w:rsidP="0057623B">
            <w:pPr>
              <w:spacing w:after="0"/>
              <w:rPr>
                <w:rFonts w:eastAsiaTheme="minorEastAsia"/>
                <w:bCs/>
                <w:lang w:eastAsia="zh-CN"/>
              </w:rPr>
            </w:pPr>
            <w:r>
              <w:rPr>
                <w:rFonts w:eastAsiaTheme="minorEastAsia"/>
                <w:bCs/>
                <w:lang w:eastAsia="zh-CN"/>
              </w:rPr>
              <w:t>Apple</w:t>
            </w:r>
          </w:p>
        </w:tc>
        <w:tc>
          <w:tcPr>
            <w:tcW w:w="1840" w:type="dxa"/>
          </w:tcPr>
          <w:p w14:paraId="118461BC" w14:textId="77777777" w:rsidR="009F439A" w:rsidRDefault="009F439A" w:rsidP="0057623B">
            <w:pPr>
              <w:spacing w:after="0"/>
              <w:rPr>
                <w:rFonts w:eastAsiaTheme="minorEastAsia"/>
                <w:bCs/>
                <w:lang w:eastAsia="zh-CN"/>
              </w:rPr>
            </w:pPr>
            <w:r>
              <w:rPr>
                <w:rFonts w:eastAsiaTheme="minorEastAsia"/>
                <w:bCs/>
                <w:lang w:eastAsia="zh-CN"/>
              </w:rPr>
              <w:t>SIB1</w:t>
            </w:r>
          </w:p>
        </w:tc>
        <w:tc>
          <w:tcPr>
            <w:tcW w:w="6541" w:type="dxa"/>
            <w:shd w:val="clear" w:color="auto" w:fill="auto"/>
          </w:tcPr>
          <w:p w14:paraId="1EA635A7" w14:textId="77777777" w:rsidR="009F439A" w:rsidRDefault="009F439A" w:rsidP="0057623B">
            <w:pPr>
              <w:spacing w:after="0"/>
              <w:rPr>
                <w:rFonts w:eastAsia="SimSun"/>
                <w:lang w:eastAsia="zh-CN"/>
              </w:rPr>
            </w:pPr>
            <w:r>
              <w:rPr>
                <w:rFonts w:eastAsia="SimSun"/>
                <w:lang w:eastAsia="zh-CN"/>
              </w:rPr>
              <w:t xml:space="preserve">We share Huawei’s view. </w:t>
            </w:r>
          </w:p>
          <w:p w14:paraId="6964FEAA" w14:textId="77777777" w:rsidR="009F439A" w:rsidRDefault="009F439A" w:rsidP="0057623B">
            <w:pPr>
              <w:spacing w:after="0"/>
              <w:rPr>
                <w:rFonts w:eastAsia="SimSun"/>
                <w:lang w:eastAsia="zh-CN"/>
              </w:rPr>
            </w:pPr>
            <w:r>
              <w:rPr>
                <w:rFonts w:eastAsia="SimSun"/>
                <w:lang w:eastAsia="zh-CN"/>
              </w:rPr>
              <w:t xml:space="preserve">The understanding is incorrect that all NTN related info are in the same SIB19, </w:t>
            </w:r>
            <w:r w:rsidRPr="009C1281">
              <w:rPr>
                <w:rFonts w:eastAsia="SimSun"/>
                <w:lang w:eastAsia="zh-CN"/>
              </w:rPr>
              <w:t>e.g. the SMTC</w:t>
            </w:r>
            <w:r>
              <w:rPr>
                <w:rFonts w:eastAsia="SimSun"/>
                <w:lang w:eastAsia="zh-CN"/>
              </w:rPr>
              <w:t xml:space="preserve"> config and gap config are</w:t>
            </w:r>
            <w:r w:rsidRPr="009C1281">
              <w:rPr>
                <w:rFonts w:eastAsia="SimSun"/>
                <w:lang w:eastAsia="zh-CN"/>
              </w:rPr>
              <w:t xml:space="preserve"> in SIB2/4</w:t>
            </w:r>
            <w:r>
              <w:rPr>
                <w:rFonts w:eastAsia="SimSun"/>
                <w:lang w:eastAsia="zh-CN"/>
              </w:rPr>
              <w:t>.</w:t>
            </w:r>
          </w:p>
        </w:tc>
      </w:tr>
      <w:tr w:rsidR="009F439A" w14:paraId="6142A39C" w14:textId="77777777">
        <w:trPr>
          <w:trHeight w:val="127"/>
        </w:trPr>
        <w:tc>
          <w:tcPr>
            <w:tcW w:w="1215" w:type="dxa"/>
            <w:shd w:val="clear" w:color="auto" w:fill="auto"/>
          </w:tcPr>
          <w:p w14:paraId="5D2FC0DA" w14:textId="77777777" w:rsidR="009F439A" w:rsidRDefault="009F439A">
            <w:pPr>
              <w:spacing w:after="0"/>
              <w:rPr>
                <w:rFonts w:eastAsia="MS Mincho"/>
                <w:bCs/>
                <w:lang w:eastAsia="ja-JP"/>
              </w:rPr>
            </w:pPr>
          </w:p>
        </w:tc>
        <w:tc>
          <w:tcPr>
            <w:tcW w:w="1840" w:type="dxa"/>
          </w:tcPr>
          <w:p w14:paraId="0C064543" w14:textId="77777777" w:rsidR="009F439A" w:rsidRDefault="009F439A">
            <w:pPr>
              <w:spacing w:after="0"/>
              <w:rPr>
                <w:rFonts w:eastAsia="MS Mincho"/>
                <w:bCs/>
                <w:lang w:val="en-US" w:eastAsia="ja-JP"/>
              </w:rPr>
            </w:pPr>
          </w:p>
        </w:tc>
        <w:tc>
          <w:tcPr>
            <w:tcW w:w="6541" w:type="dxa"/>
            <w:shd w:val="clear" w:color="auto" w:fill="auto"/>
          </w:tcPr>
          <w:p w14:paraId="679BDB8D" w14:textId="77777777" w:rsidR="009F439A" w:rsidRDefault="009F439A">
            <w:pPr>
              <w:spacing w:after="0"/>
              <w:rPr>
                <w:rFonts w:eastAsia="MS Mincho"/>
                <w:bCs/>
                <w:lang w:val="en-US" w:eastAsia="ja-JP"/>
              </w:rPr>
            </w:pPr>
          </w:p>
        </w:tc>
      </w:tr>
    </w:tbl>
    <w:p w14:paraId="218D387E" w14:textId="77777777" w:rsidR="002D737C" w:rsidRDefault="00FA43C4">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argument is that it is unclear whether the requirements are exactly the same with the R16 requirements.</w:t>
      </w:r>
    </w:p>
    <w:p w14:paraId="218D387F" w14:textId="77777777" w:rsidR="002D737C" w:rsidRDefault="00FA43C4">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Heading4"/>
              <w:numPr>
                <w:ilvl w:val="0"/>
                <w:numId w:val="0"/>
              </w:numPr>
              <w:spacing w:after="240"/>
              <w:ind w:left="864" w:hanging="864"/>
              <w:outlineLvl w:val="3"/>
              <w:rPr>
                <w:lang w:val="en-US" w:eastAsia="zh-CN"/>
              </w:rPr>
            </w:pPr>
            <w:r>
              <w:rPr>
                <w:lang w:val="en-US" w:eastAsia="zh-CN"/>
              </w:rPr>
              <w:lastRenderedPageBreak/>
              <w:t>4.2C.2.7</w:t>
            </w:r>
            <w:r>
              <w:rPr>
                <w:lang w:val="en-US" w:eastAsia="zh-CN"/>
              </w:rPr>
              <w:tab/>
              <w:t>Measurements of intra-frequency NR cells for UE configured with relaxed measurement criterion</w:t>
            </w:r>
          </w:p>
          <w:p w14:paraId="218D3881" w14:textId="6FA38489" w:rsidR="002D737C" w:rsidRDefault="00FA43C4">
            <w:pPr>
              <w:spacing w:before="120" w:after="120"/>
              <w:rPr>
                <w:sz w:val="24"/>
                <w:szCs w:val="24"/>
                <w:lang w:val="en-US" w:eastAsia="en-GB"/>
              </w:rPr>
            </w:pPr>
            <w:r>
              <w:rPr>
                <w:rFonts w:hint="eastAsia"/>
                <w:highlight w:val="yellow"/>
              </w:rPr>
              <w:t>The</w:t>
            </w:r>
            <w:r>
              <w:rPr>
                <w:highlight w:val="yellow"/>
              </w:rPr>
              <w:t xml:space="preserve"> </w:t>
            </w:r>
            <w:r w:rsidR="00B4562A">
              <w:rPr>
                <w:highlight w:val="yellow"/>
              </w:rPr>
              <w:pgNum/>
            </w:r>
            <w:proofErr w:type="spellStart"/>
            <w:r w:rsidR="00B4562A">
              <w:rPr>
                <w:highlight w:val="yellow"/>
              </w:rPr>
              <w:t>equirements</w:t>
            </w:r>
            <w:proofErr w:type="spellEnd"/>
            <w:r>
              <w:rPr>
                <w:highlight w:val="yellow"/>
              </w:rPr>
              <w:t xml:space="preserve"> in this clause 4.2.2.7 apply provided that UE is GEO</w:t>
            </w:r>
            <w:r>
              <w:t>.</w:t>
            </w:r>
          </w:p>
        </w:tc>
      </w:tr>
    </w:tbl>
    <w:p w14:paraId="218D3883" w14:textId="77777777" w:rsidR="002D737C" w:rsidRDefault="00FA43C4">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TableGrid"/>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t>4.2C.2.7</w:t>
            </w:r>
            <w:r>
              <w:rPr>
                <w:rFonts w:ascii="Arial" w:eastAsia="SimSun" w:hAnsi="Arial"/>
                <w:sz w:val="24"/>
                <w:lang w:val="en-US" w:eastAsia="zh-CN"/>
              </w:rPr>
              <w:tab/>
              <w:t>Measurements of intra-frequency NR cells for UE configured with relaxed measurement criterion</w:t>
            </w:r>
          </w:p>
          <w:p w14:paraId="218D3885" w14:textId="4A132A4B" w:rsidR="002D737C" w:rsidRDefault="00FA43C4">
            <w:pPr>
              <w:overflowPunct/>
              <w:autoSpaceDE/>
              <w:autoSpaceDN/>
              <w:adjustRightInd/>
              <w:textAlignment w:val="auto"/>
              <w:rPr>
                <w:rFonts w:eastAsia="SimSun"/>
              </w:rPr>
            </w:pPr>
            <w:r>
              <w:rPr>
                <w:rFonts w:eastAsia="SimSun"/>
              </w:rPr>
              <w:t xml:space="preserve">The </w:t>
            </w:r>
            <w:r w:rsidR="00B4562A">
              <w:rPr>
                <w:rFonts w:eastAsia="SimSun"/>
              </w:rPr>
              <w:pgNum/>
            </w:r>
            <w:proofErr w:type="spellStart"/>
            <w:r w:rsidR="00B4562A">
              <w:rPr>
                <w:rFonts w:eastAsia="SimSun"/>
              </w:rPr>
              <w:t>equirements</w:t>
            </w:r>
            <w:proofErr w:type="spellEnd"/>
            <w:r>
              <w:rPr>
                <w:rFonts w:eastAsia="SimSun"/>
              </w:rPr>
              <w:t xml:space="preserve">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apply provided that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2B59B1E4" w:rsidR="002D737C" w:rsidRDefault="00FA43C4">
            <w:pPr>
              <w:overflowPunct/>
              <w:autoSpaceDE/>
              <w:autoSpaceDN/>
              <w:adjustRightInd/>
              <w:textAlignment w:val="auto"/>
              <w:rPr>
                <w:ins w:id="11" w:author="CATT" w:date="2022-09-29T20:00:00Z"/>
                <w:rFonts w:eastAsia="SimSun"/>
              </w:rPr>
            </w:pPr>
            <w:ins w:id="12" w:author="CATT" w:date="2022-09-29T20:00:00Z">
              <w:r>
                <w:rPr>
                  <w:rFonts w:eastAsia="SimSun"/>
                </w:rPr>
                <w:t xml:space="preserve">The </w:t>
              </w:r>
            </w:ins>
            <w:r w:rsidR="00B4562A">
              <w:rPr>
                <w:rFonts w:eastAsia="SimSun"/>
              </w:rPr>
              <w:pgNum/>
            </w:r>
            <w:proofErr w:type="spellStart"/>
            <w:r w:rsidR="00B4562A">
              <w:rPr>
                <w:rFonts w:eastAsia="SimSun"/>
              </w:rPr>
              <w:t>equirements</w:t>
            </w:r>
            <w:proofErr w:type="spellEnd"/>
            <w:ins w:id="13" w:author="CATT" w:date="2022-09-29T20:00:00Z">
              <w:r>
                <w:rPr>
                  <w:rFonts w:eastAsia="SimSun"/>
                </w:rPr>
                <w:t xml:space="preserve"> in clause 4.2.2.</w:t>
              </w:r>
              <w:r>
                <w:rPr>
                  <w:rFonts w:eastAsia="DengXian"/>
                  <w:lang w:eastAsia="zh-CN"/>
                </w:rPr>
                <w:t xml:space="preserve">10 </w:t>
              </w:r>
              <w:r>
                <w:rPr>
                  <w:rFonts w:eastAsia="SimSun"/>
                </w:rPr>
                <w:t>apply provided that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FA43C4">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42260A3F" w:rsidR="002D737C" w:rsidRDefault="00FA43C4">
      <w:pPr>
        <w:spacing w:before="180"/>
        <w:jc w:val="both"/>
        <w:rPr>
          <w:rFonts w:eastAsia="SimSun"/>
          <w:lang w:eastAsia="zh-CN"/>
        </w:rPr>
      </w:pPr>
      <w:r>
        <w:rPr>
          <w:rFonts w:eastAsia="SimSun" w:hint="eastAsia"/>
          <w:lang w:eastAsia="zh-CN"/>
        </w:rPr>
        <w:t>C</w:t>
      </w:r>
      <w:r>
        <w:rPr>
          <w:rFonts w:eastAsia="SimSun"/>
          <w:lang w:eastAsia="zh-CN"/>
        </w:rPr>
        <w:t xml:space="preserve">ompanies may notice that Rel-17 also introduced relaxed monitoring specific to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B4562A">
        <w:rPr>
          <w:rFonts w:eastAsia="SimSun"/>
          <w:lang w:eastAsia="zh-CN"/>
        </w:rPr>
        <w:t>e</w:t>
      </w:r>
      <w:r>
        <w:rPr>
          <w:rFonts w:eastAsia="SimSun"/>
          <w:lang w:eastAsia="zh-CN"/>
        </w:rPr>
        <w:t>s</w:t>
      </w:r>
      <w:proofErr w:type="spellEnd"/>
      <w:r>
        <w:rPr>
          <w:rFonts w:eastAsia="SimSun"/>
          <w:lang w:eastAsia="zh-CN"/>
        </w:rPr>
        <w:t xml:space="preserve"> in SIB2 (cited from 38.331 v17.2.0):</w:t>
      </w:r>
    </w:p>
    <w:p w14:paraId="218D388D" w14:textId="4863EFDF"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 xml:space="preserve">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3CF627D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4A621C52"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9F" w14:textId="30E553C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0" w14:textId="68CABE0C"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44E9AF4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lastRenderedPageBreak/>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53F5CCE5"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17C25D70" w:rsidR="002D737C" w:rsidRDefault="00FA43C4" w:rsidP="00B456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auto"/>
        <w:rPr>
          <w:rFonts w:ascii="Courier New" w:hAnsi="Courier New" w:cs="Courier New"/>
          <w:sz w:val="16"/>
          <w:lang w:eastAsia="en-GB"/>
        </w:rPr>
      </w:pPr>
      <w:r>
        <w:rPr>
          <w:rFonts w:ascii="Courier New" w:hAnsi="Courier New" w:cs="Courier New"/>
          <w:sz w:val="16"/>
          <w:lang w:eastAsia="en-GB"/>
        </w:rPr>
        <w:t>]]</w:t>
      </w:r>
    </w:p>
    <w:p w14:paraId="218D38AE" w14:textId="77777777" w:rsidR="002D737C" w:rsidRDefault="00FA43C4">
      <w:pPr>
        <w:spacing w:before="180"/>
        <w:jc w:val="both"/>
        <w:rPr>
          <w:rFonts w:eastAsia="SimSun"/>
          <w:lang w:eastAsia="zh-CN"/>
        </w:rPr>
      </w:pPr>
      <w:r>
        <w:rPr>
          <w:rFonts w:eastAsia="SimSun" w:hint="eastAsia"/>
          <w:lang w:eastAsia="zh-CN"/>
        </w:rPr>
        <w:t>B</w:t>
      </w:r>
      <w:r>
        <w:rPr>
          <w:rFonts w:eastAsia="SimSun"/>
          <w:lang w:eastAsia="zh-CN"/>
        </w:rPr>
        <w:t xml:space="preserve">ut the case for </w:t>
      </w:r>
      <w:proofErr w:type="spellStart"/>
      <w:r>
        <w:rPr>
          <w:rFonts w:eastAsia="SimSun"/>
          <w:lang w:eastAsia="zh-CN"/>
        </w:rPr>
        <w:t>RedCap</w:t>
      </w:r>
      <w:proofErr w:type="spellEnd"/>
      <w:r>
        <w:rPr>
          <w:rFonts w:eastAsia="SimSun"/>
          <w:lang w:eastAsia="zh-CN"/>
        </w:rPr>
        <w:t xml:space="preserve"> is different with NTN:</w:t>
      </w:r>
    </w:p>
    <w:p w14:paraId="218D38AF" w14:textId="5F04E776" w:rsidR="002D737C" w:rsidRDefault="00FA43C4">
      <w:pPr>
        <w:spacing w:before="180"/>
        <w:jc w:val="both"/>
        <w:rPr>
          <w:rFonts w:eastAsia="SimSun"/>
          <w:lang w:eastAsia="zh-CN"/>
        </w:rPr>
      </w:pPr>
      <w:r>
        <w:rPr>
          <w:rFonts w:eastAsia="SimSun"/>
          <w:lang w:eastAsia="zh-CN"/>
        </w:rPr>
        <w:t xml:space="preserve">For </w:t>
      </w:r>
      <w:proofErr w:type="spellStart"/>
      <w:r>
        <w:rPr>
          <w:rFonts w:eastAsia="SimSun"/>
          <w:lang w:eastAsia="zh-CN"/>
        </w:rPr>
        <w:t>RedCap</w:t>
      </w:r>
      <w:proofErr w:type="spellEnd"/>
      <w:r>
        <w:rPr>
          <w:rFonts w:eastAsia="SimSun"/>
          <w:lang w:eastAsia="zh-CN"/>
        </w:rPr>
        <w:t xml:space="preserve">, the criteria for relaxed measurements are different with R16: R16 uses 1) low mobility and 2) not-at-cell-edge, R17 </w:t>
      </w:r>
      <w:proofErr w:type="spellStart"/>
      <w:r>
        <w:rPr>
          <w:rFonts w:eastAsia="SimSun"/>
          <w:lang w:eastAsia="zh-CN"/>
        </w:rPr>
        <w:t>RedCap</w:t>
      </w:r>
      <w:proofErr w:type="spellEnd"/>
      <w:r>
        <w:rPr>
          <w:rFonts w:eastAsia="SimSun"/>
          <w:lang w:eastAsia="zh-CN"/>
        </w:rPr>
        <w:t xml:space="preserve"> uses 1) stationery and 2) not-at-cell-edge while stationery. RAN4 also defined separate requirements in 38.133 (clause 4.2B.2.9 and 4.2B.2.10). Besides, it is allowed that both R16 relaxed monitoring and R17 relaxed monitoring are configured simultaneously to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B4562A">
        <w:rPr>
          <w:rFonts w:eastAsia="SimSun"/>
          <w:lang w:eastAsia="zh-CN"/>
        </w:rPr>
        <w:t>e</w:t>
      </w:r>
      <w:r>
        <w:rPr>
          <w:rFonts w:eastAsia="SimSun"/>
          <w:lang w:eastAsia="zh-CN"/>
        </w:rPr>
        <w:t>s</w:t>
      </w:r>
      <w:proofErr w:type="spellEnd"/>
      <w:r>
        <w:rPr>
          <w:rFonts w:eastAsia="SimSun"/>
          <w:lang w:eastAsia="zh-CN"/>
        </w:rPr>
        <w:t>, and the UE behaviour for different combinations of configuration is specified in 38.133.</w:t>
      </w:r>
    </w:p>
    <w:p w14:paraId="218D38B0" w14:textId="77777777" w:rsidR="002D737C" w:rsidRDefault="00FA43C4">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ListParagraph"/>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14:paraId="218D38B4" w14:textId="77777777" w:rsidR="002D737C" w:rsidRDefault="00FA43C4">
      <w:pPr>
        <w:pStyle w:val="ListParagraph"/>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14:paraId="218D38B5" w14:textId="77777777" w:rsidR="002D737C" w:rsidRDefault="00FA43C4">
      <w:pPr>
        <w:pStyle w:val="ListParagraph"/>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proofErr w:type="spellStart"/>
            <w:r>
              <w:rPr>
                <w:rFonts w:ascii="Arial" w:hAnsi="Arial"/>
                <w:b/>
                <w:bCs/>
                <w:i/>
                <w:iCs/>
                <w:sz w:val="18"/>
                <w:lang w:eastAsia="sv-SE"/>
              </w:rPr>
              <w:t>relaxedMeasurement</w:t>
            </w:r>
            <w:proofErr w:type="spellEnd"/>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13600F90" w:rsidR="002D737C" w:rsidRDefault="00B4562A">
            <w:pPr>
              <w:spacing w:after="0"/>
              <w:rPr>
                <w:rFonts w:eastAsiaTheme="minorEastAsia"/>
                <w:bCs/>
                <w:lang w:eastAsia="zh-CN"/>
              </w:rPr>
            </w:pPr>
            <w:r>
              <w:rPr>
                <w:rFonts w:eastAsiaTheme="minorEastAsia"/>
                <w:bCs/>
                <w:lang w:eastAsia="zh-CN"/>
              </w:rPr>
              <w:t>V</w:t>
            </w:r>
            <w:r w:rsidR="00FA43C4">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5FE6E635"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xml:space="preserve">” </w:t>
            </w:r>
            <w:r w:rsidR="00B4562A">
              <w:rPr>
                <w:rFonts w:ascii="Arial" w:hAnsi="Arial"/>
                <w:bCs/>
                <w:iCs/>
                <w:sz w:val="18"/>
                <w:lang w:eastAsia="sv-SE"/>
              </w:rPr>
              <w:t>W</w:t>
            </w:r>
            <w:r>
              <w:rPr>
                <w:rFonts w:ascii="Arial" w:hAnsi="Arial"/>
                <w:bCs/>
                <w:iCs/>
                <w:sz w:val="18"/>
                <w:lang w:eastAsia="sv-SE"/>
              </w:rPr>
              <w:t>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69709601" w:rsidR="00AE0C8E" w:rsidRPr="00EC2EBD" w:rsidRDefault="00AE0C8E" w:rsidP="00CF4D09">
            <w:pPr>
              <w:keepNext/>
              <w:keepLines/>
              <w:spacing w:after="0"/>
              <w:rPr>
                <w:rFonts w:eastAsia="Malgun Gothic"/>
                <w:bCs/>
                <w:lang w:eastAsia="ko-KR"/>
              </w:rPr>
            </w:pPr>
            <w:r>
              <w:rPr>
                <w:rFonts w:eastAsia="Malgun Gothic"/>
                <w:bCs/>
                <w:lang w:eastAsia="ko-KR"/>
              </w:rPr>
              <w:t xml:space="preserve">Regarding Samsung concern, since there is no </w:t>
            </w:r>
            <w:proofErr w:type="spellStart"/>
            <w:r>
              <w:rPr>
                <w:rFonts w:eastAsia="Malgun Gothic"/>
                <w:bCs/>
                <w:lang w:eastAsia="ko-KR"/>
              </w:rPr>
              <w:t>RedCap</w:t>
            </w:r>
            <w:proofErr w:type="spellEnd"/>
            <w:r>
              <w:rPr>
                <w:rFonts w:eastAsia="Malgun Gothic"/>
                <w:bCs/>
                <w:lang w:eastAsia="ko-KR"/>
              </w:rPr>
              <w:t xml:space="preserve"> </w:t>
            </w:r>
            <w:proofErr w:type="spellStart"/>
            <w:r>
              <w:rPr>
                <w:rFonts w:eastAsia="Malgun Gothic"/>
                <w:bCs/>
                <w:lang w:eastAsia="ko-KR"/>
              </w:rPr>
              <w:t>U</w:t>
            </w:r>
            <w:r w:rsidR="00B4562A">
              <w:rPr>
                <w:rFonts w:eastAsia="Malgun Gothic"/>
                <w:bCs/>
                <w:lang w:eastAsia="ko-KR"/>
              </w:rPr>
              <w:t>e</w:t>
            </w:r>
            <w:r>
              <w:rPr>
                <w:rFonts w:eastAsia="Malgun Gothic"/>
                <w:bCs/>
                <w:lang w:eastAsia="ko-KR"/>
              </w:rPr>
              <w:t>s</w:t>
            </w:r>
            <w:proofErr w:type="spellEnd"/>
            <w:r>
              <w:rPr>
                <w:rFonts w:eastAsia="Malgun Gothic"/>
                <w:bCs/>
                <w:lang w:eastAsia="ko-KR"/>
              </w:rPr>
              <w:t xml:space="preserve">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r w:rsidR="00B4562A" w14:paraId="44EB62E1" w14:textId="77777777">
        <w:trPr>
          <w:trHeight w:val="127"/>
        </w:trPr>
        <w:tc>
          <w:tcPr>
            <w:tcW w:w="1215" w:type="dxa"/>
            <w:shd w:val="clear" w:color="auto" w:fill="auto"/>
          </w:tcPr>
          <w:p w14:paraId="0C1AB6E2" w14:textId="6244A3EF" w:rsidR="00B4562A" w:rsidRDefault="00B4562A" w:rsidP="00FE4BF7">
            <w:pPr>
              <w:spacing w:after="0"/>
              <w:rPr>
                <w:rFonts w:eastAsia="MS Mincho"/>
                <w:bCs/>
                <w:lang w:val="en-US" w:eastAsia="ja-JP"/>
              </w:rPr>
            </w:pPr>
            <w:r>
              <w:rPr>
                <w:rFonts w:eastAsia="MS Mincho"/>
                <w:bCs/>
                <w:lang w:val="en-US" w:eastAsia="ja-JP"/>
              </w:rPr>
              <w:t>NEC</w:t>
            </w:r>
          </w:p>
        </w:tc>
        <w:tc>
          <w:tcPr>
            <w:tcW w:w="1840" w:type="dxa"/>
          </w:tcPr>
          <w:p w14:paraId="77E6A41C" w14:textId="66513441" w:rsidR="00B4562A" w:rsidRDefault="00B4562A" w:rsidP="00FE4BF7">
            <w:pPr>
              <w:spacing w:after="0"/>
              <w:rPr>
                <w:rFonts w:eastAsia="MS Mincho"/>
                <w:bCs/>
                <w:lang w:val="en-US" w:eastAsia="ja-JP"/>
              </w:rPr>
            </w:pPr>
            <w:r>
              <w:rPr>
                <w:rFonts w:eastAsia="MS Mincho"/>
                <w:bCs/>
                <w:lang w:val="en-US" w:eastAsia="ja-JP"/>
              </w:rPr>
              <w:t xml:space="preserve">Option 1 </w:t>
            </w:r>
          </w:p>
        </w:tc>
        <w:tc>
          <w:tcPr>
            <w:tcW w:w="6541" w:type="dxa"/>
            <w:shd w:val="clear" w:color="auto" w:fill="auto"/>
          </w:tcPr>
          <w:p w14:paraId="6632C639" w14:textId="0FBFD07B" w:rsidR="00B4562A" w:rsidRDefault="00B4562A" w:rsidP="00FE4BF7">
            <w:pPr>
              <w:keepNext/>
              <w:keepLines/>
              <w:spacing w:after="0"/>
              <w:rPr>
                <w:rFonts w:eastAsia="MS Mincho"/>
                <w:bCs/>
                <w:lang w:eastAsia="ja-JP"/>
              </w:rPr>
            </w:pPr>
            <w:r>
              <w:rPr>
                <w:rFonts w:eastAsia="MS Mincho"/>
                <w:bCs/>
                <w:lang w:eastAsia="ja-JP"/>
              </w:rPr>
              <w:t xml:space="preserve">Ok to go with majority </w:t>
            </w:r>
          </w:p>
        </w:tc>
      </w:tr>
      <w:tr w:rsidR="00EB2113" w:rsidRPr="0019077C" w14:paraId="33436B24" w14:textId="77777777" w:rsidTr="0057623B">
        <w:trPr>
          <w:trHeight w:val="127"/>
        </w:trPr>
        <w:tc>
          <w:tcPr>
            <w:tcW w:w="1215" w:type="dxa"/>
            <w:shd w:val="clear" w:color="auto" w:fill="auto"/>
          </w:tcPr>
          <w:p w14:paraId="312324C9" w14:textId="77777777" w:rsidR="00EB2113" w:rsidRDefault="00EB2113" w:rsidP="0057623B">
            <w:pPr>
              <w:spacing w:after="0"/>
              <w:rPr>
                <w:rFonts w:eastAsiaTheme="minorEastAsia"/>
                <w:bCs/>
                <w:lang w:eastAsia="zh-CN"/>
              </w:rPr>
            </w:pPr>
            <w:r>
              <w:rPr>
                <w:rFonts w:eastAsiaTheme="minorEastAsia"/>
                <w:bCs/>
                <w:lang w:eastAsia="zh-CN"/>
              </w:rPr>
              <w:lastRenderedPageBreak/>
              <w:t>Apple</w:t>
            </w:r>
          </w:p>
        </w:tc>
        <w:tc>
          <w:tcPr>
            <w:tcW w:w="1840" w:type="dxa"/>
          </w:tcPr>
          <w:p w14:paraId="2C46F8B4" w14:textId="77777777" w:rsidR="00EB2113" w:rsidRDefault="00EB2113" w:rsidP="0057623B">
            <w:pPr>
              <w:spacing w:after="0"/>
              <w:rPr>
                <w:rFonts w:eastAsiaTheme="minorEastAsia"/>
                <w:bCs/>
                <w:lang w:eastAsia="zh-CN"/>
              </w:rPr>
            </w:pPr>
            <w:r>
              <w:rPr>
                <w:rFonts w:eastAsiaTheme="minorEastAsia"/>
                <w:bCs/>
                <w:lang w:eastAsia="zh-CN"/>
              </w:rPr>
              <w:t>Option 2 or Option 3</w:t>
            </w:r>
          </w:p>
        </w:tc>
        <w:tc>
          <w:tcPr>
            <w:tcW w:w="6541" w:type="dxa"/>
            <w:shd w:val="clear" w:color="auto" w:fill="auto"/>
          </w:tcPr>
          <w:p w14:paraId="06A2C552" w14:textId="28964B73" w:rsidR="0079296E" w:rsidRDefault="0079296E" w:rsidP="0057623B">
            <w:pPr>
              <w:keepNext/>
              <w:keepLines/>
              <w:spacing w:after="0"/>
              <w:rPr>
                <w:rFonts w:eastAsia="MS Mincho"/>
                <w:bCs/>
                <w:lang w:val="en-US" w:eastAsia="zh-CN"/>
              </w:rPr>
            </w:pPr>
            <w:r>
              <w:rPr>
                <w:rFonts w:eastAsia="MS Mincho"/>
                <w:bCs/>
                <w:lang w:val="en-US" w:eastAsia="zh-CN"/>
              </w:rPr>
              <w:t xml:space="preserve">For the measurement relaxation, legacy requirement and the R17 NTN requirement are applied on the different frequencies/cell types. </w:t>
            </w:r>
          </w:p>
          <w:p w14:paraId="72D30213" w14:textId="2E39C4B8" w:rsidR="0079296E" w:rsidRDefault="0079296E" w:rsidP="0079296E">
            <w:pPr>
              <w:pStyle w:val="ListParagraph"/>
              <w:keepNext/>
              <w:keepLines/>
              <w:numPr>
                <w:ilvl w:val="0"/>
                <w:numId w:val="14"/>
              </w:numPr>
              <w:spacing w:after="0"/>
              <w:ind w:firstLineChars="0"/>
              <w:rPr>
                <w:rFonts w:eastAsia="MS Mincho"/>
                <w:bCs/>
                <w:lang w:val="en-US" w:eastAsia="zh-CN"/>
              </w:rPr>
            </w:pPr>
            <w:r>
              <w:rPr>
                <w:rFonts w:eastAsia="MS Mincho"/>
                <w:bCs/>
                <w:lang w:val="en-US" w:eastAsia="zh-CN"/>
              </w:rPr>
              <w:t>For the legacy one, it is for TN capable UE to apply on the TN neighbor cells/</w:t>
            </w:r>
            <w:r w:rsidR="00F04677">
              <w:rPr>
                <w:rFonts w:eastAsia="MS Mincho"/>
                <w:bCs/>
                <w:lang w:val="en-US" w:eastAsia="zh-CN"/>
              </w:rPr>
              <w:t>frequencies.</w:t>
            </w:r>
          </w:p>
          <w:p w14:paraId="2AA67301" w14:textId="45121AFB" w:rsidR="0079296E" w:rsidRPr="0079296E" w:rsidRDefault="0079296E" w:rsidP="0079296E">
            <w:pPr>
              <w:pStyle w:val="ListParagraph"/>
              <w:keepNext/>
              <w:keepLines/>
              <w:numPr>
                <w:ilvl w:val="0"/>
                <w:numId w:val="14"/>
              </w:numPr>
              <w:spacing w:after="0"/>
              <w:ind w:firstLineChars="0"/>
              <w:rPr>
                <w:rFonts w:eastAsia="MS Mincho"/>
                <w:bCs/>
                <w:lang w:val="en-US" w:eastAsia="zh-CN"/>
              </w:rPr>
            </w:pPr>
            <w:r>
              <w:rPr>
                <w:rFonts w:eastAsia="MS Mincho"/>
                <w:bCs/>
                <w:lang w:val="en-US" w:eastAsia="zh-CN"/>
              </w:rPr>
              <w:t xml:space="preserve">For the NTN one, it is for the NTN capable UE to apply on the NTN neighbor cells/frequencies. </w:t>
            </w:r>
          </w:p>
          <w:p w14:paraId="7AF28A24" w14:textId="45AA7E84" w:rsidR="0079296E" w:rsidRDefault="0079296E" w:rsidP="0057623B">
            <w:pPr>
              <w:keepNext/>
              <w:keepLines/>
              <w:spacing w:after="0"/>
              <w:rPr>
                <w:rFonts w:eastAsia="MS Mincho"/>
                <w:bCs/>
                <w:lang w:val="en-US" w:eastAsia="zh-CN"/>
              </w:rPr>
            </w:pPr>
          </w:p>
          <w:p w14:paraId="7745B99F" w14:textId="22C1AEDE" w:rsidR="0079296E" w:rsidRDefault="0079296E" w:rsidP="0057623B">
            <w:pPr>
              <w:keepNext/>
              <w:keepLines/>
              <w:spacing w:after="0"/>
              <w:rPr>
                <w:rFonts w:eastAsia="MS Mincho"/>
                <w:bCs/>
                <w:lang w:val="en-US" w:eastAsia="zh-CN"/>
              </w:rPr>
            </w:pPr>
            <w:r>
              <w:rPr>
                <w:rFonts w:eastAsia="MS Mincho"/>
                <w:bCs/>
                <w:lang w:val="en-US" w:eastAsia="zh-CN"/>
              </w:rPr>
              <w:t>If we only have one configuration</w:t>
            </w:r>
            <w:r w:rsidR="00F04677">
              <w:rPr>
                <w:rFonts w:eastAsia="MS Mincho"/>
                <w:bCs/>
                <w:lang w:val="en-US" w:eastAsia="zh-CN"/>
              </w:rPr>
              <w:t xml:space="preserve"> to control the measurement relaxation of both NTN and TN neighbor cells/frequencies, if both TN and NTN neighbor frequencies are configured in SIBs, NW has no way to enable them separately.</w:t>
            </w:r>
            <w:r w:rsidR="00DD2E7C">
              <w:rPr>
                <w:rFonts w:eastAsia="MS Mincho"/>
                <w:bCs/>
                <w:lang w:val="en-US" w:eastAsia="zh-CN"/>
              </w:rPr>
              <w:t xml:space="preserve"> It’s lack of the NW configuration flexibility. </w:t>
            </w:r>
          </w:p>
          <w:p w14:paraId="1FDFC3AB" w14:textId="77777777" w:rsidR="0079296E" w:rsidRDefault="0079296E" w:rsidP="0079296E">
            <w:pPr>
              <w:keepNext/>
              <w:keepLines/>
              <w:spacing w:after="0"/>
              <w:rPr>
                <w:rFonts w:eastAsia="MS Mincho"/>
                <w:bCs/>
                <w:lang w:val="en-US" w:eastAsia="zh-CN"/>
              </w:rPr>
            </w:pPr>
          </w:p>
          <w:p w14:paraId="62B4202E" w14:textId="6662480B" w:rsidR="004E4387" w:rsidRPr="00145400" w:rsidRDefault="004E4387" w:rsidP="0079296E">
            <w:pPr>
              <w:keepNext/>
              <w:keepLines/>
              <w:spacing w:after="0"/>
              <w:rPr>
                <w:rFonts w:eastAsia="MS Mincho"/>
                <w:bCs/>
                <w:lang w:val="en-US" w:eastAsia="zh-CN"/>
              </w:rPr>
            </w:pPr>
            <w:r>
              <w:rPr>
                <w:rFonts w:eastAsia="MS Mincho"/>
                <w:bCs/>
                <w:lang w:val="en-US" w:eastAsia="zh-CN"/>
              </w:rPr>
              <w:t>I</w:t>
            </w:r>
            <w:r>
              <w:rPr>
                <w:rFonts w:eastAsia="MS Mincho" w:hint="eastAsia"/>
                <w:bCs/>
                <w:lang w:val="en-US" w:eastAsia="zh-CN"/>
              </w:rPr>
              <w:t>n</w:t>
            </w:r>
            <w:r>
              <w:rPr>
                <w:rFonts w:eastAsia="MS Mincho"/>
                <w:bCs/>
                <w:lang w:val="en-US" w:eastAsia="zh-CN"/>
              </w:rPr>
              <w:t xml:space="preserve"> addition, no</w:t>
            </w:r>
            <w:r w:rsidRPr="009D7244">
              <w:rPr>
                <w:rFonts w:eastAsia="MS Mincho"/>
                <w:bCs/>
                <w:lang w:val="en-US" w:eastAsia="zh-CN"/>
              </w:rPr>
              <w:t xml:space="preserve"> matter which option is selected, we should </w:t>
            </w:r>
            <w:r>
              <w:rPr>
                <w:rFonts w:eastAsia="MS Mincho"/>
                <w:bCs/>
                <w:lang w:val="en-US" w:eastAsia="zh-CN"/>
              </w:rPr>
              <w:t>clarify in the spec</w:t>
            </w:r>
            <w:r w:rsidRPr="009D7244">
              <w:rPr>
                <w:rFonts w:eastAsia="MS Mincho"/>
                <w:bCs/>
                <w:lang w:val="en-US" w:eastAsia="zh-CN"/>
              </w:rPr>
              <w:t xml:space="preserve"> that </w:t>
            </w:r>
            <w:r>
              <w:rPr>
                <w:rFonts w:eastAsia="MS Mincho"/>
                <w:bCs/>
                <w:lang w:val="en-US" w:eastAsia="zh-CN"/>
              </w:rPr>
              <w:t>the</w:t>
            </w:r>
            <w:r w:rsidRPr="009D7244">
              <w:rPr>
                <w:rFonts w:eastAsia="MS Mincho"/>
                <w:bCs/>
                <w:lang w:val="en-US" w:eastAsia="zh-CN"/>
              </w:rPr>
              <w:t xml:space="preserve"> configuration </w:t>
            </w:r>
            <w:r>
              <w:rPr>
                <w:rFonts w:eastAsia="MS Mincho"/>
                <w:bCs/>
                <w:lang w:val="en-US" w:eastAsia="zh-CN"/>
              </w:rPr>
              <w:t xml:space="preserve">targeted to the NTN purpose </w:t>
            </w:r>
            <w:r w:rsidRPr="009D7244">
              <w:rPr>
                <w:rFonts w:eastAsia="MS Mincho"/>
                <w:bCs/>
                <w:lang w:val="en-US" w:eastAsia="zh-CN"/>
              </w:rPr>
              <w:t xml:space="preserve">is </w:t>
            </w:r>
            <w:r>
              <w:rPr>
                <w:rFonts w:eastAsia="MS Mincho"/>
                <w:bCs/>
                <w:lang w:val="en-US" w:eastAsia="zh-CN"/>
              </w:rPr>
              <w:t xml:space="preserve">only applied on the NTN </w:t>
            </w:r>
            <w:r w:rsidRPr="009D7244">
              <w:rPr>
                <w:rFonts w:eastAsia="MS Mincho"/>
                <w:bCs/>
                <w:lang w:val="en-US" w:eastAsia="zh-CN"/>
              </w:rPr>
              <w:t>frequenc</w:t>
            </w:r>
            <w:r>
              <w:rPr>
                <w:rFonts w:eastAsia="MS Mincho"/>
                <w:bCs/>
                <w:lang w:val="en-US" w:eastAsia="zh-CN"/>
              </w:rPr>
              <w:t>ies which is provided in SIB19.</w:t>
            </w:r>
          </w:p>
        </w:tc>
      </w:tr>
      <w:tr w:rsidR="00EB2113" w14:paraId="651751E1" w14:textId="77777777">
        <w:trPr>
          <w:trHeight w:val="127"/>
        </w:trPr>
        <w:tc>
          <w:tcPr>
            <w:tcW w:w="1215" w:type="dxa"/>
            <w:shd w:val="clear" w:color="auto" w:fill="auto"/>
          </w:tcPr>
          <w:p w14:paraId="4C497F61" w14:textId="77777777" w:rsidR="00EB2113" w:rsidRPr="00C80AA2" w:rsidRDefault="00EB2113" w:rsidP="00FE4BF7">
            <w:pPr>
              <w:spacing w:after="0"/>
              <w:rPr>
                <w:rFonts w:eastAsia="MS Mincho"/>
                <w:bCs/>
                <w:lang w:eastAsia="ja-JP"/>
              </w:rPr>
            </w:pPr>
          </w:p>
        </w:tc>
        <w:tc>
          <w:tcPr>
            <w:tcW w:w="1840" w:type="dxa"/>
          </w:tcPr>
          <w:p w14:paraId="3AA892E4" w14:textId="77777777" w:rsidR="00EB2113" w:rsidRDefault="00EB2113" w:rsidP="00FE4BF7">
            <w:pPr>
              <w:spacing w:after="0"/>
              <w:rPr>
                <w:rFonts w:eastAsia="MS Mincho"/>
                <w:bCs/>
                <w:lang w:val="en-US" w:eastAsia="ja-JP"/>
              </w:rPr>
            </w:pPr>
          </w:p>
        </w:tc>
        <w:tc>
          <w:tcPr>
            <w:tcW w:w="6541" w:type="dxa"/>
            <w:shd w:val="clear" w:color="auto" w:fill="auto"/>
          </w:tcPr>
          <w:p w14:paraId="701808D2" w14:textId="77777777" w:rsidR="00EB2113" w:rsidRDefault="00EB2113" w:rsidP="00FE4BF7">
            <w:pPr>
              <w:keepNext/>
              <w:keepLines/>
              <w:spacing w:after="0"/>
              <w:rPr>
                <w:rFonts w:eastAsia="MS Mincho"/>
                <w:bCs/>
                <w:lang w:eastAsia="ja-JP"/>
              </w:rPr>
            </w:pPr>
          </w:p>
        </w:tc>
      </w:tr>
    </w:tbl>
    <w:p w14:paraId="218D38E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TableGrid"/>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14"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w:t>
            </w:r>
            <w:proofErr w:type="spellStart"/>
            <w:r>
              <w:rPr>
                <w:rFonts w:eastAsiaTheme="minorEastAsia"/>
                <w:bCs/>
                <w:lang w:eastAsia="zh-CN"/>
              </w:rPr>
              <w:t>behavior</w:t>
            </w:r>
            <w:proofErr w:type="spellEnd"/>
            <w:r>
              <w:rPr>
                <w:rFonts w:eastAsiaTheme="minorEastAsia"/>
                <w:bCs/>
                <w:lang w:eastAsia="zh-CN"/>
              </w:rPr>
              <w:t xml:space="preserve">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r w:rsidR="00B4562A" w:rsidRPr="0019077C" w14:paraId="624D7B50"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DE2CA8D" w14:textId="55E34DC3" w:rsidR="00B4562A" w:rsidRPr="00AE0C8E" w:rsidRDefault="00B4562A" w:rsidP="00CF4D09">
            <w:pPr>
              <w:spacing w:after="0"/>
              <w:rPr>
                <w:rFonts w:eastAsia="MS Mincho"/>
                <w:bCs/>
                <w:lang w:val="en-US" w:eastAsia="ja-JP"/>
              </w:rPr>
            </w:pPr>
            <w:r>
              <w:rPr>
                <w:rFonts w:eastAsia="MS Mincho"/>
                <w:bCs/>
                <w:lang w:val="en-US" w:eastAsia="ja-JP"/>
              </w:rPr>
              <w:t>NEC</w:t>
            </w:r>
          </w:p>
        </w:tc>
        <w:tc>
          <w:tcPr>
            <w:tcW w:w="1840" w:type="dxa"/>
            <w:tcBorders>
              <w:top w:val="single" w:sz="4" w:space="0" w:color="auto"/>
              <w:left w:val="single" w:sz="4" w:space="0" w:color="auto"/>
              <w:bottom w:val="single" w:sz="4" w:space="0" w:color="auto"/>
              <w:right w:val="single" w:sz="4" w:space="0" w:color="auto"/>
            </w:tcBorders>
          </w:tcPr>
          <w:p w14:paraId="50814529" w14:textId="3BCF0A5C" w:rsidR="00B4562A" w:rsidRPr="00AE0C8E" w:rsidRDefault="00B4562A" w:rsidP="00CF4D09">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0A4709BE" w14:textId="77777777" w:rsidR="00B4562A" w:rsidRDefault="00B4562A" w:rsidP="00CF4D09">
            <w:pPr>
              <w:spacing w:after="0"/>
              <w:rPr>
                <w:rFonts w:eastAsia="MS Mincho"/>
                <w:bCs/>
                <w:lang w:eastAsia="ja-JP"/>
              </w:rPr>
            </w:pPr>
          </w:p>
        </w:tc>
      </w:tr>
      <w:tr w:rsidR="002F1D38" w:rsidRPr="0019077C" w14:paraId="00516297"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5608E3EF" w14:textId="719222E0" w:rsidR="002F1D38" w:rsidRDefault="002F1D38" w:rsidP="00CF4D09">
            <w:pPr>
              <w:spacing w:after="0"/>
              <w:rPr>
                <w:rFonts w:eastAsia="MS Mincho"/>
                <w:bCs/>
                <w:lang w:val="en-US" w:eastAsia="ja-JP"/>
              </w:rPr>
            </w:pPr>
            <w:r>
              <w:rPr>
                <w:rFonts w:eastAsia="MS Mincho"/>
                <w:bCs/>
                <w:lang w:val="en-US" w:eastAsia="ja-JP"/>
              </w:rPr>
              <w:t>Apple</w:t>
            </w:r>
          </w:p>
        </w:tc>
        <w:tc>
          <w:tcPr>
            <w:tcW w:w="1840" w:type="dxa"/>
            <w:tcBorders>
              <w:top w:val="single" w:sz="4" w:space="0" w:color="auto"/>
              <w:left w:val="single" w:sz="4" w:space="0" w:color="auto"/>
              <w:bottom w:val="single" w:sz="4" w:space="0" w:color="auto"/>
              <w:right w:val="single" w:sz="4" w:space="0" w:color="auto"/>
            </w:tcBorders>
          </w:tcPr>
          <w:p w14:paraId="2E1D2230" w14:textId="210CE106" w:rsidR="002F1D38" w:rsidRDefault="002F1D38" w:rsidP="00CF4D09">
            <w:pPr>
              <w:spacing w:after="0"/>
              <w:rPr>
                <w:rFonts w:eastAsia="MS Mincho"/>
                <w:bCs/>
                <w:lang w:val="en-US" w:eastAsia="ja-JP"/>
              </w:rPr>
            </w:pPr>
            <w:r>
              <w:rPr>
                <w:rFonts w:eastAsia="MS Mincho"/>
                <w:bCs/>
                <w:lang w:val="en-US" w:eastAsia="ja-JP"/>
              </w:rPr>
              <w:t>See comments</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EB56787" w14:textId="54EC730B" w:rsidR="002F1D38" w:rsidRDefault="00DB7C60" w:rsidP="00CF4D09">
            <w:pPr>
              <w:spacing w:after="0"/>
              <w:rPr>
                <w:rFonts w:eastAsia="MS Mincho"/>
                <w:bCs/>
                <w:lang w:eastAsia="ja-JP"/>
              </w:rPr>
            </w:pPr>
            <w:r>
              <w:rPr>
                <w:rFonts w:eastAsia="MS Mincho"/>
                <w:bCs/>
                <w:lang w:eastAsia="ja-JP"/>
              </w:rPr>
              <w:t xml:space="preserve">If we can capture the meaning clearly in the field description in 38.331, then we </w:t>
            </w:r>
            <w:proofErr w:type="spellStart"/>
            <w:r>
              <w:rPr>
                <w:rFonts w:eastAsia="MS Mincho"/>
                <w:bCs/>
                <w:lang w:eastAsia="ja-JP"/>
              </w:rPr>
              <w:t>donot</w:t>
            </w:r>
            <w:proofErr w:type="spellEnd"/>
            <w:r>
              <w:rPr>
                <w:rFonts w:eastAsia="MS Mincho"/>
                <w:bCs/>
                <w:lang w:eastAsia="ja-JP"/>
              </w:rPr>
              <w:t xml:space="preserve"> need to change the 38.304.   </w:t>
            </w:r>
          </w:p>
        </w:tc>
      </w:tr>
    </w:tbl>
    <w:p w14:paraId="218D3923" w14:textId="77777777" w:rsidR="002D737C" w:rsidRDefault="002D737C">
      <w:pPr>
        <w:rPr>
          <w:rFonts w:eastAsia="SimSun"/>
          <w:lang w:eastAsia="zh-CN"/>
        </w:rPr>
      </w:pPr>
    </w:p>
    <w:p w14:paraId="218D3924" w14:textId="77777777" w:rsidR="002D737C" w:rsidRDefault="00FA43C4">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FA43C4">
      <w:pPr>
        <w:pStyle w:val="Heading1"/>
        <w:jc w:val="both"/>
        <w:rPr>
          <w:rFonts w:eastAsia="SimSun"/>
          <w:lang w:eastAsia="zh-CN"/>
        </w:rPr>
      </w:pPr>
      <w:r>
        <w:rPr>
          <w:rFonts w:eastAsia="SimSun"/>
          <w:lang w:eastAsia="zh-CN"/>
        </w:rPr>
        <w:lastRenderedPageBreak/>
        <w:t>Conclusion</w:t>
      </w:r>
    </w:p>
    <w:p w14:paraId="218D3927" w14:textId="77777777" w:rsidR="002D737C" w:rsidRDefault="00FA43C4">
      <w:pPr>
        <w:spacing w:before="180"/>
        <w:jc w:val="both"/>
      </w:pPr>
      <w:r>
        <w:rPr>
          <w:rFonts w:eastAsia="SimSun"/>
          <w:highlight w:val="yellow"/>
          <w:lang w:eastAsia="zh-CN"/>
        </w:rPr>
        <w:t>To be completed</w:t>
      </w:r>
    </w:p>
    <w:p w14:paraId="218D3928" w14:textId="77777777" w:rsidR="002D737C" w:rsidRDefault="00FA43C4">
      <w:pPr>
        <w:pStyle w:val="Heading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Discussion on enhanced cell reselection requirements for NTN, Huawei, </w:t>
      </w:r>
      <w:proofErr w:type="spellStart"/>
      <w:r>
        <w:rPr>
          <w:rFonts w:ascii="Arial" w:eastAsia="PMingLiU" w:hAnsi="Arial" w:cs="Arial"/>
          <w:lang w:val="en-US"/>
        </w:rPr>
        <w:t>HiSilicon</w:t>
      </w:r>
      <w:bookmarkEnd w:id="23"/>
      <w:proofErr w:type="spellEnd"/>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CR on enhanced cell reselection requirements for NTN, Huawei, </w:t>
      </w:r>
      <w:proofErr w:type="spellStart"/>
      <w:r>
        <w:rPr>
          <w:rFonts w:ascii="Arial" w:eastAsia="PMingLiU" w:hAnsi="Arial" w:cs="Arial"/>
          <w:lang w:val="en-US"/>
        </w:rPr>
        <w:t>HiSilicon</w:t>
      </w:r>
      <w:bookmarkEnd w:id="24"/>
      <w:proofErr w:type="spellEnd"/>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R2-2210348, NR IDLE-mode CR: Introduction of enhanced and relaxed cell reselection for NTN, Nokia, Nokia Shanghai Bell</w:t>
      </w:r>
      <w:bookmarkEnd w:id="25"/>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5607" w14:textId="77777777" w:rsidR="00E852A1" w:rsidRDefault="00E852A1">
      <w:pPr>
        <w:spacing w:after="0"/>
      </w:pPr>
      <w:r>
        <w:separator/>
      </w:r>
    </w:p>
  </w:endnote>
  <w:endnote w:type="continuationSeparator" w:id="0">
    <w:p w14:paraId="11976796" w14:textId="77777777" w:rsidR="00E852A1" w:rsidRDefault="00E85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8BA" w14:textId="77777777" w:rsidR="00E852A1" w:rsidRDefault="00E852A1">
      <w:pPr>
        <w:spacing w:after="0"/>
      </w:pPr>
      <w:r>
        <w:separator/>
      </w:r>
    </w:p>
  </w:footnote>
  <w:footnote w:type="continuationSeparator" w:id="0">
    <w:p w14:paraId="4080B95C" w14:textId="77777777" w:rsidR="00E852A1" w:rsidRDefault="00E852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F05C9B"/>
    <w:multiLevelType w:val="hybridMultilevel"/>
    <w:tmpl w:val="972AD60A"/>
    <w:lvl w:ilvl="0" w:tplc="B3A07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681806"/>
    <w:multiLevelType w:val="hybridMultilevel"/>
    <w:tmpl w:val="FBF20EF6"/>
    <w:lvl w:ilvl="0" w:tplc="B6A2F57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0642785">
    <w:abstractNumId w:val="1"/>
  </w:num>
  <w:num w:numId="2" w16cid:durableId="1896038111">
    <w:abstractNumId w:val="6"/>
  </w:num>
  <w:num w:numId="3" w16cid:durableId="1677536531">
    <w:abstractNumId w:val="7"/>
  </w:num>
  <w:num w:numId="4" w16cid:durableId="2036468124">
    <w:abstractNumId w:val="13"/>
  </w:num>
  <w:num w:numId="5" w16cid:durableId="1353191957">
    <w:abstractNumId w:val="4"/>
  </w:num>
  <w:num w:numId="6" w16cid:durableId="1984966660">
    <w:abstractNumId w:val="11"/>
  </w:num>
  <w:num w:numId="7" w16cid:durableId="1956132086">
    <w:abstractNumId w:val="12"/>
  </w:num>
  <w:num w:numId="8" w16cid:durableId="1727996318">
    <w:abstractNumId w:val="8"/>
  </w:num>
  <w:num w:numId="9" w16cid:durableId="186987343">
    <w:abstractNumId w:val="0"/>
  </w:num>
  <w:num w:numId="10" w16cid:durableId="837304111">
    <w:abstractNumId w:val="2"/>
  </w:num>
  <w:num w:numId="11" w16cid:durableId="1389841950">
    <w:abstractNumId w:val="10"/>
  </w:num>
  <w:num w:numId="12" w16cid:durableId="1444109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682988">
    <w:abstractNumId w:val="3"/>
  </w:num>
  <w:num w:numId="14" w16cid:durableId="14379403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1D38"/>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0B1C"/>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387"/>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250D"/>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296E"/>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E23"/>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997"/>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44CF"/>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39A"/>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2C06"/>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10B"/>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62A"/>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567"/>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0AA2"/>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B7C60"/>
    <w:rsid w:val="00DC0603"/>
    <w:rsid w:val="00DC080E"/>
    <w:rsid w:val="00DC0BBB"/>
    <w:rsid w:val="00DC0EC4"/>
    <w:rsid w:val="00DC17D2"/>
    <w:rsid w:val="00DC1E61"/>
    <w:rsid w:val="00DC28B0"/>
    <w:rsid w:val="00DC2B62"/>
    <w:rsid w:val="00DC57BC"/>
    <w:rsid w:val="00DC5A9E"/>
    <w:rsid w:val="00DC6539"/>
    <w:rsid w:val="00DC66A1"/>
    <w:rsid w:val="00DD0472"/>
    <w:rsid w:val="00DD2E7C"/>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52A1"/>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113"/>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4677"/>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D37FA"/>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qFormat="1"/>
    <w:lsdException w:name="List Number 2" w:semiHidden="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pPr>
      <w:ind w:left="1702"/>
    </w:pPr>
  </w:style>
  <w:style w:type="paragraph" w:styleId="List4">
    <w:name w:val="List 4"/>
    <w:basedOn w:val="List3"/>
    <w:semiHidden/>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uhua.chen@emea.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60F5C-AA61-46F8-9133-92F0CA7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18</TotalTime>
  <Pages>6</Pages>
  <Words>2172</Words>
  <Characters>12385</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 Fangli</cp:lastModifiedBy>
  <cp:revision>20</cp:revision>
  <cp:lastPrinted>2010-01-06T08:23:00Z</cp:lastPrinted>
  <dcterms:created xsi:type="dcterms:W3CDTF">2022-10-12T16:25:00Z</dcterms:created>
  <dcterms:modified xsi:type="dcterms:W3CDTF">2022-10-13T01:46:00Z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