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w:t>
      </w:r>
      <w:proofErr w:type="gramStart"/>
      <w:r w:rsidR="009104F1" w:rsidRPr="009104F1">
        <w:rPr>
          <w:b/>
          <w:bCs/>
          <w:sz w:val="24"/>
          <w:lang w:val="en-US" w:eastAsia="en-US"/>
        </w:rPr>
        <w:t>e][</w:t>
      </w:r>
      <w:proofErr w:type="gramEnd"/>
      <w:r w:rsidR="009104F1" w:rsidRPr="009104F1">
        <w:rPr>
          <w:b/>
          <w:bCs/>
          <w:sz w:val="24"/>
          <w:lang w:val="en-US" w:eastAsia="en-US"/>
        </w:rPr>
        <w:t>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w:t>
      </w:r>
      <w:proofErr w:type="gramStart"/>
      <w:r w:rsidRPr="008E12A6">
        <w:rPr>
          <w:lang w:val="en-US"/>
        </w:rPr>
        <w:t>e][</w:t>
      </w:r>
      <w:proofErr w:type="gramEnd"/>
      <w:r w:rsidRPr="008E12A6">
        <w:rPr>
          <w:lang w:val="en-US"/>
        </w:rPr>
        <w:t>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proofErr w:type="gramStart"/>
      <w:r w:rsidRPr="00FE29D9">
        <w:t>bis</w:t>
      </w:r>
      <w:r>
        <w:t xml:space="preserve">  and</w:t>
      </w:r>
      <w:proofErr w:type="gramEnd"/>
      <w:r>
        <w:t xml:space="preserve">  the following Post E-mail discussion to decide whether or not companies can agree on some proposals :</w:t>
      </w:r>
    </w:p>
    <w:p w14:paraId="5DE38E1B" w14:textId="77777777" w:rsidR="00244AAE" w:rsidRDefault="00244AAE" w:rsidP="00244AAE">
      <w:pPr>
        <w:pStyle w:val="a3"/>
      </w:pPr>
    </w:p>
    <w:p w14:paraId="7DCF7F8A" w14:textId="77777777" w:rsidR="00244AAE" w:rsidRDefault="00244AAE" w:rsidP="00244AAE">
      <w:pPr>
        <w:pStyle w:val="EmailDiscussion"/>
        <w:spacing w:line="240" w:lineRule="auto"/>
        <w:rPr>
          <w:lang w:val="en-US"/>
        </w:rPr>
      </w:pPr>
      <w:r>
        <w:rPr>
          <w:lang w:val="en-US"/>
        </w:rPr>
        <w:t>[POST119-</w:t>
      </w:r>
      <w:proofErr w:type="gramStart"/>
      <w:r>
        <w:rPr>
          <w:lang w:val="en-US"/>
        </w:rPr>
        <w:t>e][</w:t>
      </w:r>
      <w:proofErr w:type="gramEnd"/>
      <w:r>
        <w:rPr>
          <w:lang w:val="en-US"/>
        </w:rPr>
        <w:t>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1"/>
      </w:pPr>
      <w:r>
        <w:t>2</w:t>
      </w:r>
      <w:r>
        <w:tab/>
        <w:t>Context</w:t>
      </w:r>
    </w:p>
    <w:p w14:paraId="2F2C0386" w14:textId="134CC10B" w:rsidR="00244AAE" w:rsidRDefault="00244AAE" w:rsidP="00244AAE">
      <w:pPr>
        <w:pStyle w:val="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w:t>
      </w:r>
      <w:proofErr w:type="gramStart"/>
      <w:r>
        <w:t>2,RAN</w:t>
      </w:r>
      <w:proofErr w:type="gramEnd"/>
      <w:r>
        <w:t>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2"/>
      </w:pPr>
      <w:r>
        <w:t>2</w:t>
      </w:r>
      <w:r w:rsidR="00FF0A12">
        <w:t>.1</w:t>
      </w:r>
      <w:r w:rsidR="00FF0A12">
        <w:tab/>
        <w:t>Recall of the previous meeting agreements</w:t>
      </w:r>
    </w:p>
    <w:p w14:paraId="523BDF2B" w14:textId="2D5065CD" w:rsidR="00FF0A12" w:rsidRDefault="00E71F7D" w:rsidP="00E71F7D">
      <w:pPr>
        <w:pStyle w:val="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Note-1: Other methods (e.g.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 xml:space="preserve">The UE location information is considered verified if the reported GNSS position is consistent with the </w:t>
      </w:r>
      <w:proofErr w:type="gramStart"/>
      <w:r w:rsidRPr="00451532">
        <w:rPr>
          <w:rFonts w:ascii="Times New Roman" w:hAnsi="Times New Roman"/>
        </w:rPr>
        <w:t>network based</w:t>
      </w:r>
      <w:proofErr w:type="gramEnd"/>
      <w:r w:rsidRPr="00451532">
        <w:rPr>
          <w:rFonts w:ascii="Times New Roman" w:hAnsi="Times New Roman"/>
        </w:rPr>
        <w:t xml:space="preserve">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af1"/>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9712A3"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4: For NR NTN with LEO scenario, TRP(s) should be fixed on satellite, not on </w:t>
            </w:r>
            <w:proofErr w:type="gramStart"/>
            <w:r w:rsidRPr="004E4E5D">
              <w:rPr>
                <w:rFonts w:ascii="Arial" w:eastAsia="Times New Roman" w:hAnsi="Arial" w:cs="Arial"/>
                <w:sz w:val="16"/>
                <w:szCs w:val="16"/>
                <w:lang w:val="en-US" w:eastAsia="fr-FR"/>
              </w:rPr>
              <w:t>ground,  the</w:t>
            </w:r>
            <w:proofErr w:type="gramEnd"/>
            <w:r w:rsidRPr="004E4E5D">
              <w:rPr>
                <w:rFonts w:ascii="Arial" w:eastAsia="Times New Roman" w:hAnsi="Arial" w:cs="Arial"/>
                <w:sz w:val="16"/>
                <w:szCs w:val="16"/>
                <w:lang w:val="en-US" w:eastAsia="fr-FR"/>
              </w:rPr>
              <w:t xml:space="preserv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9: RAN2 send </w:t>
            </w:r>
            <w:proofErr w:type="gramStart"/>
            <w:r w:rsidRPr="004E4E5D">
              <w:rPr>
                <w:rFonts w:ascii="Arial" w:eastAsia="Times New Roman" w:hAnsi="Arial" w:cs="Arial"/>
                <w:sz w:val="16"/>
                <w:szCs w:val="16"/>
                <w:lang w:val="en-US" w:eastAsia="fr-FR"/>
              </w:rPr>
              <w:t>an</w:t>
            </w:r>
            <w:proofErr w:type="gramEnd"/>
            <w:r w:rsidRPr="004E4E5D">
              <w:rPr>
                <w:rFonts w:ascii="Arial" w:eastAsia="Times New Roman" w:hAnsi="Arial" w:cs="Arial"/>
                <w:sz w:val="16"/>
                <w:szCs w:val="16"/>
                <w:lang w:val="en-US" w:eastAsia="fr-FR"/>
              </w:rPr>
              <w:t xml:space="preserve">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9712A3"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9712A3"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9712A3"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in NTN scenario, as all the PHY signals are relayed by the satellite, the AOA/AOD information is common for all UEs in </w:t>
            </w:r>
            <w:proofErr w:type="gramStart"/>
            <w:r w:rsidRPr="004E4E5D">
              <w:rPr>
                <w:rFonts w:ascii="Arial" w:eastAsia="Times New Roman" w:hAnsi="Arial" w:cs="Arial"/>
                <w:sz w:val="16"/>
                <w:szCs w:val="16"/>
                <w:lang w:val="en-US" w:eastAsia="fr-FR"/>
              </w:rPr>
              <w:t>a</w:t>
            </w:r>
            <w:proofErr w:type="gramEnd"/>
            <w:r w:rsidRPr="004E4E5D">
              <w:rPr>
                <w:rFonts w:ascii="Arial" w:eastAsia="Times New Roman" w:hAnsi="Arial" w:cs="Arial"/>
                <w:sz w:val="16"/>
                <w:szCs w:val="16"/>
                <w:lang w:val="en-US" w:eastAsia="fr-FR"/>
              </w:rPr>
              <w:t xml:space="preserve">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4: in single-satellite NTN scenario, the different uplink TA value applied for each SRS transmission should be </w:t>
            </w:r>
            <w:proofErr w:type="gramStart"/>
            <w:r w:rsidRPr="004E4E5D">
              <w:rPr>
                <w:rFonts w:ascii="Arial" w:eastAsia="Times New Roman" w:hAnsi="Arial" w:cs="Arial"/>
                <w:sz w:val="16"/>
                <w:szCs w:val="16"/>
                <w:lang w:val="en-US" w:eastAsia="fr-FR"/>
              </w:rPr>
              <w:t>taken into account</w:t>
            </w:r>
            <w:proofErr w:type="gramEnd"/>
            <w:r w:rsidRPr="004E4E5D">
              <w:rPr>
                <w:rFonts w:ascii="Arial" w:eastAsia="Times New Roman" w:hAnsi="Arial" w:cs="Arial"/>
                <w:sz w:val="16"/>
                <w:szCs w:val="16"/>
                <w:lang w:val="en-US" w:eastAsia="fr-FR"/>
              </w:rPr>
              <w:t xml:space="preserve">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9712A3"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9712A3"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9712A3"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9712A3"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9712A3"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RAN2 to support low latency network verification procedures </w:t>
            </w:r>
            <w:proofErr w:type="gramStart"/>
            <w:r w:rsidRPr="004E4E5D">
              <w:rPr>
                <w:rFonts w:ascii="Arial" w:eastAsia="Times New Roman" w:hAnsi="Arial" w:cs="Arial"/>
                <w:sz w:val="16"/>
                <w:szCs w:val="16"/>
                <w:lang w:val="en-US" w:eastAsia="fr-FR"/>
              </w:rPr>
              <w:t>taking into account</w:t>
            </w:r>
            <w:proofErr w:type="gramEnd"/>
            <w:r w:rsidRPr="004E4E5D">
              <w:rPr>
                <w:rFonts w:ascii="Arial" w:eastAsia="Times New Roman" w:hAnsi="Arial" w:cs="Arial"/>
                <w:sz w:val="16"/>
                <w:szCs w:val="16"/>
                <w:lang w:val="en-US" w:eastAsia="fr-FR"/>
              </w:rPr>
              <w:t xml:space="preserve">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9712A3"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9712A3"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9712A3"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9712A3"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r w:rsidRPr="004E4E5D">
              <w:rPr>
                <w:rFonts w:ascii="Arial" w:eastAsia="Times New Roman" w:hAnsi="Arial" w:cs="Arial"/>
                <w:sz w:val="16"/>
                <w:szCs w:val="16"/>
                <w:lang w:val="en-US" w:eastAsia="fr-FR"/>
              </w:rPr>
              <w:t>sent</w:t>
            </w:r>
            <w:proofErr w:type="spell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9712A3"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Ensuring the validity of the UEs reported location should be done by verifying based on a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9712A3"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9712A3"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w:t>
            </w:r>
            <w:proofErr w:type="gramStart"/>
            <w:r w:rsidRPr="004E4E5D">
              <w:rPr>
                <w:rFonts w:ascii="Arial" w:eastAsia="Times New Roman" w:hAnsi="Arial" w:cs="Arial"/>
                <w:sz w:val="16"/>
                <w:szCs w:val="16"/>
                <w:lang w:val="en-US" w:eastAsia="fr-FR"/>
              </w:rPr>
              <w:t>propose</w:t>
            </w:r>
            <w:proofErr w:type="gramEnd"/>
            <w:r w:rsidRPr="004E4E5D">
              <w:rPr>
                <w:rFonts w:ascii="Arial" w:eastAsia="Times New Roman" w:hAnsi="Arial" w:cs="Arial"/>
                <w:sz w:val="16"/>
                <w:szCs w:val="16"/>
                <w:lang w:val="en-US" w:eastAsia="fr-FR"/>
              </w:rPr>
              <w:t xml:space="preserv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3: it is proposed to limit the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proofErr w:type="gramStart"/>
            <w:r w:rsidRPr="004E4E5D">
              <w:rPr>
                <w:rFonts w:ascii="Arial" w:eastAsia="Times New Roman" w:hAnsi="Arial" w:cs="Arial"/>
                <w:sz w:val="16"/>
                <w:szCs w:val="16"/>
                <w:lang w:val="en-US" w:eastAsia="fr-FR"/>
              </w:rPr>
              <w:t>.Proposal</w:t>
            </w:r>
            <w:proofErr w:type="gramEnd"/>
            <w:r w:rsidRPr="004E4E5D">
              <w:rPr>
                <w:rFonts w:ascii="Arial" w:eastAsia="Times New Roman" w:hAnsi="Arial" w:cs="Arial"/>
                <w:sz w:val="16"/>
                <w:szCs w:val="16"/>
                <w:lang w:val="en-US" w:eastAsia="fr-FR"/>
              </w:rPr>
              <w:t xml:space="preserve"> 4: If a given UE is regarded as malicious, as the reported location information is always “fake”, it is reasonable for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can distribute and share the UE’s credit status according the maintained verification result for the UE to </w:t>
            </w:r>
            <w:proofErr w:type="spellStart"/>
            <w:r w:rsidRPr="004E4E5D">
              <w:rPr>
                <w:rFonts w:ascii="Arial" w:eastAsia="Times New Roman" w:hAnsi="Arial" w:cs="Arial"/>
                <w:sz w:val="16"/>
                <w:szCs w:val="16"/>
                <w:lang w:val="en-US" w:eastAsia="fr-FR"/>
              </w:rPr>
              <w:t>neighbour</w:t>
            </w:r>
            <w:proofErr w:type="spellEnd"/>
            <w:r w:rsidRPr="004E4E5D">
              <w:rPr>
                <w:rFonts w:ascii="Arial" w:eastAsia="Times New Roman" w:hAnsi="Arial" w:cs="Arial"/>
                <w:sz w:val="16"/>
                <w:szCs w:val="16"/>
                <w:lang w:val="en-US" w:eastAsia="fr-FR"/>
              </w:rPr>
              <w:t xml:space="preserve">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9712A3"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9712A3"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1"/>
      </w:pPr>
      <w:r>
        <w:t>3</w:t>
      </w:r>
      <w:r>
        <w:tab/>
        <w:t xml:space="preserve">Discussion </w:t>
      </w:r>
    </w:p>
    <w:p w14:paraId="1E2A7073" w14:textId="1866F44C" w:rsidR="008E3239" w:rsidRDefault="00A137EE" w:rsidP="00616C78">
      <w:pPr>
        <w:pStyle w:val="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w:t>
      </w:r>
      <w:proofErr w:type="gramStart"/>
      <w:r w:rsidRPr="00BF3918">
        <w:t>e][</w:t>
      </w:r>
      <w:proofErr w:type="gramEnd"/>
      <w:r w:rsidRPr="00BF3918">
        <w:t>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r w:rsidR="004E13F9" w:rsidRPr="006C2E80" w14:paraId="5CDF2B10"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7F91A7E8" w14:textId="0E3F7274" w:rsidR="004E13F9"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1E35AF5" w14:textId="014FE562" w:rsidR="004E13F9"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251D3A" w14:textId="77777777" w:rsidR="004E13F9" w:rsidRPr="007B411A" w:rsidRDefault="004E13F9" w:rsidP="00D5732F">
            <w:pPr>
              <w:pStyle w:val="TAL"/>
            </w:pPr>
          </w:p>
        </w:tc>
      </w:tr>
      <w:tr w:rsidR="00457837" w:rsidRPr="006C2E80" w14:paraId="134C2CA1"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DBBF85A" w14:textId="3D6647AF"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F333C7B" w14:textId="7F8BCB57"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425D4" w14:textId="77777777" w:rsidR="00457837" w:rsidRPr="007B411A" w:rsidRDefault="00457837" w:rsidP="00D5732F">
            <w:pPr>
              <w:pStyle w:val="TAL"/>
            </w:pPr>
          </w:p>
        </w:tc>
      </w:tr>
      <w:tr w:rsidR="005D30AD" w:rsidRPr="006C2E80" w14:paraId="37B19AC2"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745BC140"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119714" w14:textId="77777777" w:rsidR="005D30AD" w:rsidRDefault="005D30AD"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0DDCA95" w14:textId="77777777" w:rsidR="005D30AD" w:rsidRPr="007B411A" w:rsidRDefault="005D30AD" w:rsidP="00D96F97">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r w:rsidR="004E13F9" w:rsidRPr="006C2E80" w14:paraId="7172BEF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0FC31" w14:textId="7FB3DCD4" w:rsidR="004E13F9" w:rsidRPr="00F36A04"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C7CDD2" w14:textId="69C96E1C" w:rsidR="004E13F9" w:rsidRPr="00F36A04"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32FF264" w14:textId="77777777" w:rsidR="004E13F9" w:rsidRPr="00B9366B" w:rsidRDefault="004E13F9" w:rsidP="00D5732F">
            <w:pPr>
              <w:pStyle w:val="TAL"/>
              <w:rPr>
                <w:lang w:eastAsia="zh-CN"/>
              </w:rPr>
            </w:pPr>
          </w:p>
        </w:tc>
      </w:tr>
      <w:tr w:rsidR="00457837" w:rsidRPr="006C2E80" w14:paraId="2CD3853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7DD519C" w14:textId="2772F717"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090935A" w14:textId="7BD7CAC6"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71E10C" w14:textId="77777777" w:rsidR="00457837" w:rsidRPr="00B9366B" w:rsidRDefault="00457837" w:rsidP="00D5732F">
            <w:pPr>
              <w:pStyle w:val="TAL"/>
              <w:rPr>
                <w:lang w:eastAsia="zh-CN"/>
              </w:rPr>
            </w:pPr>
          </w:p>
        </w:tc>
      </w:tr>
      <w:tr w:rsidR="005D30AD" w:rsidRPr="006C2E80" w14:paraId="6C35A60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E8E0020" w14:textId="77777777" w:rsidR="005D30AD" w:rsidRPr="00F36A04"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ADDC" w14:textId="77777777" w:rsidR="005D30AD" w:rsidRPr="00F36A04" w:rsidRDefault="005D30AD" w:rsidP="00D96F97">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23C5896B" w14:textId="77777777" w:rsidR="005D30AD" w:rsidRPr="00B9366B" w:rsidRDefault="005D30AD" w:rsidP="00D96F97">
            <w:pPr>
              <w:pStyle w:val="TAL"/>
              <w:rPr>
                <w:lang w:eastAsia="zh-CN"/>
              </w:rPr>
            </w:pPr>
            <w:r>
              <w:rPr>
                <w:lang w:eastAsia="zh-CN"/>
              </w:rPr>
              <w:t xml:space="preserve">We tend to follow the NTN WID that the reported UE location is consistent with the </w:t>
            </w:r>
            <w:proofErr w:type="gramStart"/>
            <w:r>
              <w:rPr>
                <w:lang w:eastAsia="zh-CN"/>
              </w:rPr>
              <w:t>network based</w:t>
            </w:r>
            <w:proofErr w:type="gramEnd"/>
            <w:r>
              <w:rPr>
                <w:lang w:eastAsia="zh-CN"/>
              </w:rPr>
              <w:t xml:space="preserve"> assessment to within </w:t>
            </w:r>
            <w:r w:rsidRPr="005D30AD">
              <w:rPr>
                <w:u w:val="single"/>
                <w:lang w:eastAsia="zh-CN"/>
              </w:rPr>
              <w:t>5-10</w:t>
            </w:r>
            <w:r>
              <w:rPr>
                <w:lang w:eastAsia="zh-CN"/>
              </w:rPr>
              <w:t xml:space="preserve"> km</w:t>
            </w: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lastRenderedPageBreak/>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9712A3"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9712A3"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9712A3"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9712A3"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9712A3"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9712A3"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9712A3"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9712A3"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9712A3"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9712A3"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r w:rsidR="00F26260" w:rsidRPr="006C2E80" w14:paraId="0B5216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E8BF6A" w14:textId="42789F08" w:rsidR="00F26260" w:rsidRDefault="00F26260" w:rsidP="00CC6008">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6042A70" w14:textId="414AF352" w:rsidR="00F26260" w:rsidRDefault="00F26260"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8DCD7DD" w14:textId="3049F337" w:rsidR="00F26260" w:rsidRDefault="00F26260" w:rsidP="00CC6008">
            <w:pPr>
              <w:pStyle w:val="TAL"/>
              <w:rPr>
                <w:lang w:eastAsia="zh-CN"/>
              </w:rPr>
            </w:pPr>
            <w:r>
              <w:rPr>
                <w:lang w:eastAsia="zh-CN"/>
              </w:rPr>
              <w:t>Wait for RAN1 input</w:t>
            </w:r>
          </w:p>
        </w:tc>
      </w:tr>
      <w:tr w:rsidR="007304A1" w:rsidRPr="006C2E80" w14:paraId="61C779B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7EE61B" w14:textId="2C17D5BE" w:rsidR="007304A1" w:rsidRDefault="007304A1" w:rsidP="00CC6008">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F4E6BC7" w14:textId="014D0838" w:rsidR="007304A1" w:rsidRDefault="00A54729"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89A68E" w14:textId="00ADA178" w:rsidR="007304A1" w:rsidRDefault="00A54729" w:rsidP="00CC6008">
            <w:pPr>
              <w:pStyle w:val="TAL"/>
              <w:rPr>
                <w:lang w:eastAsia="zh-CN"/>
              </w:rPr>
            </w:pPr>
            <w:r>
              <w:rPr>
                <w:lang w:eastAsia="zh-CN"/>
              </w:rPr>
              <w:t xml:space="preserve">Wait for RAN1 </w:t>
            </w:r>
            <w:r w:rsidR="00A27733">
              <w:rPr>
                <w:lang w:eastAsia="zh-CN"/>
              </w:rPr>
              <w:t xml:space="preserve">input before </w:t>
            </w:r>
            <w:r w:rsidR="00C44643">
              <w:rPr>
                <w:lang w:eastAsia="zh-CN"/>
              </w:rPr>
              <w:t>normative work in RAN2</w:t>
            </w:r>
          </w:p>
        </w:tc>
      </w:tr>
      <w:tr w:rsidR="005D30AD" w:rsidRPr="006C2E80" w14:paraId="0197EE48"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6D1C208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B19C59E" w14:textId="77777777" w:rsidR="005D30AD" w:rsidRDefault="005D30AD"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6BF3D1A" w14:textId="77777777" w:rsidR="005D30AD" w:rsidRDefault="005D30AD" w:rsidP="00D96F97">
            <w:pPr>
              <w:pStyle w:val="TAL"/>
              <w:rPr>
                <w:lang w:eastAsia="zh-CN"/>
              </w:rPr>
            </w:pPr>
            <w:r>
              <w:rPr>
                <w:lang w:eastAsia="zh-CN"/>
              </w:rPr>
              <w:t>Wait for RAN 1 input</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lastRenderedPageBreak/>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r w:rsidR="00F26260" w:rsidRPr="006C2E80" w14:paraId="78C4E67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1C0DC0E" w14:textId="6D583ACA" w:rsidR="00F26260" w:rsidRDefault="00F26260" w:rsidP="009D337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C6CE24" w14:textId="4549FE26" w:rsidR="00F26260" w:rsidRDefault="00F26260"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DF18BD" w14:textId="77777777" w:rsidR="00F26260" w:rsidRDefault="00F26260" w:rsidP="009D3371">
            <w:pPr>
              <w:pStyle w:val="TAL"/>
              <w:rPr>
                <w:lang w:eastAsia="zh-CN"/>
              </w:rPr>
            </w:pPr>
          </w:p>
        </w:tc>
      </w:tr>
      <w:tr w:rsidR="00C44643" w:rsidRPr="006C2E80" w14:paraId="7E5348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3F26DDF" w14:textId="19A559DA" w:rsidR="00C44643" w:rsidRDefault="00C44643" w:rsidP="009D337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66DD742" w14:textId="7515C6CC" w:rsidR="00C44643" w:rsidRDefault="00C44643"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E7D13F" w14:textId="3A1115A6" w:rsidR="00C44643" w:rsidRDefault="00C44643" w:rsidP="009D3371">
            <w:pPr>
              <w:pStyle w:val="TAL"/>
              <w:rPr>
                <w:lang w:eastAsia="zh-CN"/>
              </w:rPr>
            </w:pPr>
            <w:r>
              <w:rPr>
                <w:lang w:eastAsia="zh-CN"/>
              </w:rPr>
              <w:t xml:space="preserve">Wait for </w:t>
            </w:r>
            <w:r w:rsidR="00650945">
              <w:rPr>
                <w:lang w:eastAsia="zh-CN"/>
              </w:rPr>
              <w:t>methods from RAN1</w:t>
            </w:r>
          </w:p>
        </w:tc>
      </w:tr>
      <w:tr w:rsidR="005D30AD" w:rsidRPr="006C2E80" w14:paraId="1F05667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83EAE51"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7B24C83" w14:textId="77777777" w:rsidR="005D30AD" w:rsidRDefault="005D30AD" w:rsidP="00D96F97">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E2E3DCC" w14:textId="77777777" w:rsidR="005D30AD" w:rsidRDefault="005D30AD" w:rsidP="00D96F97">
            <w:pPr>
              <w:pStyle w:val="TAL"/>
              <w:rPr>
                <w:lang w:eastAsia="zh-CN"/>
              </w:rPr>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he Post E-mail discussion [POST119-</w:t>
      </w:r>
      <w:proofErr w:type="gramStart"/>
      <w:r w:rsidRPr="003F0BAC">
        <w:t>e][</w:t>
      </w:r>
      <w:proofErr w:type="gramEnd"/>
      <w:r w:rsidRPr="003F0BAC">
        <w:t xml:space="preserv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a7"/>
        <w:numPr>
          <w:ilvl w:val="0"/>
          <w:numId w:val="20"/>
        </w:numPr>
        <w:rPr>
          <w:rFonts w:ascii="Times New Roman" w:hAnsi="Times New Roman"/>
          <w:sz w:val="20"/>
          <w:szCs w:val="20"/>
        </w:rPr>
      </w:pPr>
      <w:r w:rsidRPr="002A02C5">
        <w:rPr>
          <w:rFonts w:ascii="Times New Roman" w:hAnsi="Times New Roman"/>
          <w:sz w:val="20"/>
          <w:szCs w:val="20"/>
          <w:lang w:val="en-US"/>
        </w:rPr>
        <w:t xml:space="preserve">the </w:t>
      </w:r>
      <w:proofErr w:type="spellStart"/>
      <w:r w:rsidRPr="002A02C5">
        <w:rPr>
          <w:rFonts w:ascii="Times New Roman" w:hAnsi="Times New Roman"/>
          <w:sz w:val="20"/>
          <w:szCs w:val="20"/>
          <w:lang w:val="en-US"/>
        </w:rPr>
        <w:t>gNB</w:t>
      </w:r>
      <w:proofErr w:type="spellEnd"/>
      <w:r w:rsidRPr="002A02C5">
        <w:rPr>
          <w:rFonts w:ascii="Times New Roman" w:hAnsi="Times New Roman"/>
          <w:sz w:val="20"/>
          <w:szCs w:val="20"/>
          <w:lang w:val="en-US"/>
        </w:rPr>
        <w:t xml:space="preserve">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w:t>
      </w:r>
      <w:proofErr w:type="spellStart"/>
      <w:r w:rsidRPr="002A02C5">
        <w:rPr>
          <w:rFonts w:ascii="Times New Roman" w:hAnsi="Times New Roman"/>
          <w:sz w:val="20"/>
          <w:szCs w:val="20"/>
          <w:lang w:val="en-US"/>
        </w:rPr>
        <w:t>neighbour</w:t>
      </w:r>
      <w:proofErr w:type="spellEnd"/>
      <w:r w:rsidRPr="002A02C5">
        <w:rPr>
          <w:rFonts w:ascii="Times New Roman" w:hAnsi="Times New Roman"/>
          <w:sz w:val="20"/>
          <w:szCs w:val="20"/>
          <w:lang w:val="en-US"/>
        </w:rPr>
        <w:t xml:space="preserve">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a7"/>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proofErr w:type="gramStart"/>
      <w:r w:rsidRPr="003F0BAC">
        <w:t>)</w:t>
      </w:r>
      <w:r>
        <w:t xml:space="preserve"> :</w:t>
      </w:r>
      <w:proofErr w:type="gramEnd"/>
      <w:r>
        <w:t xml:space="preserve">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9712A3"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9712A3"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9712A3"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 xml:space="preserve">Proposal 1: </w:t>
            </w:r>
            <w:proofErr w:type="spellStart"/>
            <w:r w:rsidRPr="00196992">
              <w:rPr>
                <w:lang w:val="en-US" w:eastAsia="fr-FR"/>
              </w:rPr>
              <w:t>gNB</w:t>
            </w:r>
            <w:proofErr w:type="spellEnd"/>
            <w:r w:rsidRPr="00196992">
              <w:rPr>
                <w:lang w:val="en-US" w:eastAsia="fr-FR"/>
              </w:rPr>
              <w:t xml:space="preserve">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9712A3"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9712A3"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w:t>
            </w:r>
            <w:proofErr w:type="spellStart"/>
            <w:r w:rsidRPr="00C74BBB">
              <w:rPr>
                <w:lang w:val="en-US" w:eastAsia="fr-FR"/>
              </w:rPr>
              <w:t>gNB</w:t>
            </w:r>
            <w:proofErr w:type="spellEnd"/>
            <w:r w:rsidRPr="00C74BBB">
              <w:rPr>
                <w:lang w:val="en-US" w:eastAsia="fr-FR"/>
              </w:rPr>
              <w:t xml:space="preserve"> can distribute and share the UE’s credit status according the maintained verification result for the UE to </w:t>
            </w:r>
            <w:proofErr w:type="spellStart"/>
            <w:r w:rsidRPr="00C74BBB">
              <w:rPr>
                <w:lang w:val="en-US" w:eastAsia="fr-FR"/>
              </w:rPr>
              <w:t>neighbour</w:t>
            </w:r>
            <w:proofErr w:type="spellEnd"/>
            <w:r w:rsidRPr="00C74BBB">
              <w:rPr>
                <w:lang w:val="en-US" w:eastAsia="fr-FR"/>
              </w:rPr>
              <w:t xml:space="preserve">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r w:rsidR="00F26260" w:rsidRPr="006C2E80" w14:paraId="6EF622F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FC815E1" w14:textId="6E7DA971" w:rsidR="00F26260" w:rsidRDefault="00F26260" w:rsidP="00700450">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9FC3820" w14:textId="088A1338" w:rsidR="00F26260" w:rsidRDefault="006D5F0E" w:rsidP="00700450">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01DFDD" w14:textId="77777777" w:rsidR="00F26260" w:rsidRPr="00F309C9" w:rsidRDefault="00F26260" w:rsidP="00700450">
            <w:pPr>
              <w:pStyle w:val="TAL"/>
            </w:pPr>
          </w:p>
        </w:tc>
      </w:tr>
      <w:tr w:rsidR="00650945" w:rsidRPr="006C2E80" w14:paraId="1951440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C45CCC" w14:textId="378ADEA3" w:rsidR="00650945" w:rsidRDefault="00650945" w:rsidP="00700450">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D28E834" w14:textId="6FC0DC94" w:rsidR="00650945" w:rsidRDefault="00650945" w:rsidP="00700450">
            <w:pPr>
              <w:pStyle w:val="TAL"/>
              <w:rPr>
                <w:lang w:eastAsia="zh-CN"/>
              </w:rPr>
            </w:pPr>
            <w:r>
              <w:rPr>
                <w:lang w:eastAsia="zh-CN"/>
              </w:rPr>
              <w:t>Agree</w:t>
            </w:r>
            <w:r w:rsidR="007A63E8">
              <w:rPr>
                <w:lang w:eastAsia="zh-CN"/>
              </w:rPr>
              <w:t>, with comments</w:t>
            </w:r>
          </w:p>
        </w:tc>
        <w:tc>
          <w:tcPr>
            <w:tcW w:w="5681" w:type="dxa"/>
            <w:tcBorders>
              <w:top w:val="single" w:sz="4" w:space="0" w:color="auto"/>
              <w:left w:val="single" w:sz="4" w:space="0" w:color="auto"/>
              <w:bottom w:val="single" w:sz="4" w:space="0" w:color="auto"/>
              <w:right w:val="single" w:sz="4" w:space="0" w:color="auto"/>
            </w:tcBorders>
          </w:tcPr>
          <w:p w14:paraId="25611AE3" w14:textId="400C69C7" w:rsidR="00650945" w:rsidRPr="00F309C9" w:rsidRDefault="007A63E8" w:rsidP="00700450">
            <w:pPr>
              <w:pStyle w:val="TAL"/>
            </w:pPr>
            <w:r>
              <w:t xml:space="preserve">Depending on the final chosen methods and </w:t>
            </w:r>
            <w:r w:rsidR="00865EC9">
              <w:t>only if CN remains in the process of final verification</w:t>
            </w:r>
          </w:p>
        </w:tc>
      </w:tr>
      <w:tr w:rsidR="005D30AD" w:rsidRPr="006C2E80" w14:paraId="5E053ECC"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4769440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648416" w14:textId="77777777" w:rsidR="005D30AD" w:rsidRDefault="005D30AD" w:rsidP="00D96F97">
            <w:pPr>
              <w:pStyle w:val="TAL"/>
              <w:rPr>
                <w:lang w:eastAsia="zh-CN"/>
              </w:rPr>
            </w:pPr>
            <w:r w:rsidRPr="00F309C9">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272BFFE8" w14:textId="38AE0BFB" w:rsidR="005D30AD" w:rsidRPr="00F309C9" w:rsidRDefault="005D30AD" w:rsidP="00D96F97">
            <w:pPr>
              <w:pStyle w:val="TAL"/>
            </w:pPr>
            <w:r>
              <w:rPr>
                <w:rFonts w:hint="eastAsia"/>
              </w:rPr>
              <w:t>R</w:t>
            </w:r>
            <w:r>
              <w:t>AN2 may need some enhancement on positioning method after RAN1 finally determine the positioning used for verification procedure</w:t>
            </w:r>
            <w:r w:rsidRPr="00A302B1">
              <w:t>. That means, we need to wait for RAN1 conclusion first before discussing potential RAN2 impact.</w:t>
            </w: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At this point it seems sufficient that CN handles verification.</w:t>
            </w:r>
          </w:p>
        </w:tc>
      </w:tr>
      <w:tr w:rsidR="006D5F0E" w:rsidRPr="006C2E80" w14:paraId="4115AB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8348007" w14:textId="17756601" w:rsidR="006D5F0E" w:rsidRDefault="006D5F0E" w:rsidP="00945D12">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075AA" w14:textId="411C12C0" w:rsidR="006D5F0E" w:rsidRDefault="006D5F0E"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4EF4E5" w14:textId="5EB22842" w:rsidR="006D5F0E" w:rsidRDefault="006D5F0E" w:rsidP="00945D12">
            <w:pPr>
              <w:pStyle w:val="TAL"/>
              <w:rPr>
                <w:lang w:eastAsia="zh-CN"/>
              </w:rPr>
            </w:pPr>
            <w:r>
              <w:rPr>
                <w:lang w:eastAsia="zh-CN"/>
              </w:rPr>
              <w:t xml:space="preserve">So </w:t>
            </w:r>
            <w:proofErr w:type="gramStart"/>
            <w:r>
              <w:rPr>
                <w:lang w:eastAsia="zh-CN"/>
              </w:rPr>
              <w:t>far</w:t>
            </w:r>
            <w:proofErr w:type="gramEnd"/>
            <w:r>
              <w:rPr>
                <w:lang w:eastAsia="zh-CN"/>
              </w:rPr>
              <w:t xml:space="preserve"> we focus on CN triggering which has been agreed by RAN3.</w:t>
            </w:r>
          </w:p>
        </w:tc>
      </w:tr>
      <w:tr w:rsidR="007A389B" w:rsidRPr="006C2E80" w14:paraId="08E9CC1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4FDE7DA" w14:textId="78F4BFF6" w:rsidR="007A389B" w:rsidRDefault="007A389B" w:rsidP="00945D12">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BB4580E" w14:textId="69139B4C" w:rsidR="007A389B" w:rsidRDefault="007A389B" w:rsidP="00945D12">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0A30454" w14:textId="2966837C" w:rsidR="007A389B" w:rsidRDefault="00A7684C" w:rsidP="00945D12">
            <w:pPr>
              <w:pStyle w:val="TAL"/>
              <w:rPr>
                <w:lang w:eastAsia="zh-CN"/>
              </w:rPr>
            </w:pPr>
            <w:r>
              <w:rPr>
                <w:lang w:eastAsia="zh-CN"/>
              </w:rPr>
              <w:t>Open to e</w:t>
            </w:r>
            <w:r w:rsidR="00E77C59">
              <w:rPr>
                <w:lang w:eastAsia="zh-CN"/>
              </w:rPr>
              <w:t xml:space="preserve">vents </w:t>
            </w:r>
            <w:r>
              <w:rPr>
                <w:lang w:eastAsia="zh-CN"/>
              </w:rPr>
              <w:t>from</w:t>
            </w:r>
            <w:r w:rsidR="00E77C59">
              <w:rPr>
                <w:lang w:eastAsia="zh-CN"/>
              </w:rPr>
              <w:t xml:space="preserve"> NG-RAN</w:t>
            </w:r>
            <w:r>
              <w:rPr>
                <w:lang w:eastAsia="zh-CN"/>
              </w:rPr>
              <w:t xml:space="preserve"> that</w:t>
            </w:r>
            <w:r w:rsidR="00E77C59">
              <w:rPr>
                <w:lang w:eastAsia="zh-CN"/>
              </w:rPr>
              <w:t xml:space="preserve"> may trigger a </w:t>
            </w:r>
            <w:r>
              <w:rPr>
                <w:lang w:eastAsia="zh-CN"/>
              </w:rPr>
              <w:t xml:space="preserve">CN UE verification procedure, but as long as CN is in charge of the </w:t>
            </w:r>
            <w:r w:rsidR="004227B9">
              <w:rPr>
                <w:lang w:eastAsia="zh-CN"/>
              </w:rPr>
              <w:t>trigger and process. Agree with other partners that focus shall be placed in CN triggered events.</w:t>
            </w:r>
          </w:p>
        </w:tc>
      </w:tr>
      <w:tr w:rsidR="001B6E6F" w:rsidRPr="006C2E80" w14:paraId="6BD60629"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7E98761A"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9F7C66C"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183E430" w14:textId="5F95578C" w:rsidR="001B6E6F" w:rsidRDefault="001B6E6F" w:rsidP="00D96F97">
            <w:pPr>
              <w:pStyle w:val="TAL"/>
              <w:rPr>
                <w:lang w:eastAsia="zh-CN"/>
              </w:rPr>
            </w:pPr>
            <w:r>
              <w:rPr>
                <w:lang w:eastAsia="zh-CN"/>
              </w:rPr>
              <w:t>We do not see the use case that RAN needs to initiate verification procedure. Moreover, R17 NTN has supported that CN initiates verificati</w:t>
            </w:r>
            <w:r w:rsidRPr="00A302B1">
              <w:rPr>
                <w:lang w:eastAsia="zh-CN"/>
              </w:rPr>
              <w:t>on procedure/do verification, and RAN3 has agreed that CN do verification for R18 NTN. Hence, it is up to CN to trigger the verification procedure. We don’t clear big motivation to deviate from existing framework and RAN3 agreements already there.</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w:t>
      </w:r>
      <w:proofErr w:type="gramStart"/>
      <w:r w:rsidR="00D91D86" w:rsidRPr="003F0BAC">
        <w:t>e][</w:t>
      </w:r>
      <w:proofErr w:type="gramEnd"/>
      <w:r w:rsidR="00D91D86" w:rsidRPr="003F0BAC">
        <w:t>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9712A3"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9712A3"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9712A3"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r w:rsidR="000458C9" w:rsidRPr="006C2E80" w14:paraId="176F74E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544D75" w14:textId="1ECD8827" w:rsidR="000458C9" w:rsidRDefault="000458C9" w:rsidP="00F51B9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12C4578" w14:textId="751C3271" w:rsidR="000458C9" w:rsidRDefault="000458C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71B668" w14:textId="77777777" w:rsidR="000458C9" w:rsidRPr="00EB1AB5" w:rsidRDefault="000458C9" w:rsidP="00F51B91">
            <w:pPr>
              <w:pStyle w:val="TAL"/>
            </w:pPr>
          </w:p>
        </w:tc>
      </w:tr>
      <w:tr w:rsidR="004227B9" w:rsidRPr="006C2E80" w14:paraId="187412BE"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2A997CA" w14:textId="72C9519A" w:rsidR="004227B9" w:rsidRDefault="004227B9" w:rsidP="00F51B9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F31260D" w14:textId="65C1F13B" w:rsidR="004227B9" w:rsidRDefault="004227B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8DC2B9" w14:textId="532D78E1" w:rsidR="004227B9" w:rsidRPr="00EB1AB5" w:rsidRDefault="004227B9" w:rsidP="00F51B91">
            <w:pPr>
              <w:pStyle w:val="TAL"/>
            </w:pPr>
            <w:r>
              <w:t>Agree with Lenovo about confirming with SA2</w:t>
            </w:r>
          </w:p>
        </w:tc>
      </w:tr>
      <w:tr w:rsidR="001B6E6F" w:rsidRPr="006C2E80" w14:paraId="158CAA21"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9F88286"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DB446CB"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80C93BD" w14:textId="77777777" w:rsidR="001B6E6F" w:rsidRPr="00EB1AB5" w:rsidRDefault="001B6E6F" w:rsidP="00D96F97">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2"/>
      </w:pPr>
      <w:r>
        <w:t>3.</w:t>
      </w:r>
      <w:r w:rsidR="00501D04">
        <w:t>5</w:t>
      </w:r>
      <w:r>
        <w:tab/>
      </w:r>
      <w:r w:rsidR="00A363C3">
        <w:t>Scenarios</w:t>
      </w:r>
    </w:p>
    <w:p w14:paraId="70CF87BA" w14:textId="3BAC367B" w:rsidR="00BD3DE3" w:rsidRDefault="00BD3DE3" w:rsidP="00BD3DE3">
      <w:pPr>
        <w:pStyle w:val="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9712A3"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 xml:space="preserve">whether processing needs to be done before exchange and mention as well that the AMF/LMF is in control and can request information of the </w:t>
            </w:r>
            <w:proofErr w:type="spellStart"/>
            <w:r w:rsidRPr="00D72F8C">
              <w:rPr>
                <w:lang w:eastAsia="zh-CN"/>
              </w:rPr>
              <w:t>gNB</w:t>
            </w:r>
            <w:proofErr w:type="spellEnd"/>
            <w:r w:rsidRPr="00D72F8C">
              <w:rPr>
                <w:lang w:eastAsia="zh-CN"/>
              </w:rPr>
              <w:t xml:space="preserve">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However, given NG-RAN is not LCS client and we agreed to use the LCS framework, it is clear NG-RAN would need to provide some assistance 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r w:rsidR="000458C9" w:rsidRPr="006C2E80" w14:paraId="3E79BF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3C5A16" w14:textId="46586903" w:rsidR="000458C9" w:rsidRDefault="000458C9" w:rsidP="006B742E">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E58B750" w14:textId="14FE4E4D" w:rsidR="000458C9" w:rsidRDefault="000458C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0C7D502F" w14:textId="38626806" w:rsidR="000458C9" w:rsidRDefault="000458C9" w:rsidP="006B742E">
            <w:pPr>
              <w:pStyle w:val="TAL"/>
              <w:rPr>
                <w:lang w:eastAsia="zh-CN"/>
              </w:rPr>
            </w:pPr>
            <w:r>
              <w:rPr>
                <w:lang w:eastAsia="zh-CN"/>
              </w:rPr>
              <w:t>It’s too early to consider this before we have clear views on the positioning methods.</w:t>
            </w:r>
          </w:p>
        </w:tc>
      </w:tr>
      <w:tr w:rsidR="004227B9" w:rsidRPr="006C2E80" w14:paraId="4C1FF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7B2374" w14:textId="60EF9320" w:rsidR="004227B9" w:rsidRDefault="006D0808" w:rsidP="006B742E">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50BFE60" w14:textId="77777777" w:rsidR="004227B9" w:rsidRDefault="004227B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382A5C34" w14:textId="78BE4436" w:rsidR="004227B9" w:rsidRDefault="00CA7139" w:rsidP="006B742E">
            <w:pPr>
              <w:pStyle w:val="TAL"/>
              <w:rPr>
                <w:lang w:eastAsia="zh-CN"/>
              </w:rPr>
            </w:pPr>
            <w:r>
              <w:rPr>
                <w:lang w:eastAsia="zh-CN"/>
              </w:rPr>
              <w:t xml:space="preserve">Wait for RAN1 agreements to </w:t>
            </w:r>
            <w:r w:rsidR="00576B1B">
              <w:rPr>
                <w:lang w:eastAsia="zh-CN"/>
              </w:rPr>
              <w:t>start discussion</w:t>
            </w:r>
          </w:p>
        </w:tc>
      </w:tr>
      <w:tr w:rsidR="001B6E6F" w:rsidRPr="006C2E80" w14:paraId="6EA6EC3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D1647C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ACC210B"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41C599F" w14:textId="5E4D0F6C" w:rsidR="001B6E6F" w:rsidRDefault="001B6E6F" w:rsidP="00D96F97">
            <w:pPr>
              <w:pStyle w:val="TAL"/>
              <w:rPr>
                <w:lang w:eastAsia="zh-CN"/>
              </w:rPr>
            </w:pPr>
            <w:r>
              <w:rPr>
                <w:lang w:eastAsia="zh-CN"/>
              </w:rPr>
              <w:t>Any positioning enhancement should be postponed until RAN1 makes the final decision on the positioning method selected for NW verification purpose.</w:t>
            </w:r>
          </w:p>
        </w:tc>
      </w:tr>
    </w:tbl>
    <w:p w14:paraId="3DD95FC3" w14:textId="77777777" w:rsidR="00763475" w:rsidRPr="006E14A6" w:rsidRDefault="00763475" w:rsidP="00BD3DE3">
      <w:pPr>
        <w:rPr>
          <w:b/>
          <w:bCs/>
        </w:rPr>
      </w:pPr>
    </w:p>
    <w:p w14:paraId="52B8075B" w14:textId="178BA85D" w:rsidR="00A51DFD" w:rsidRDefault="00A51DFD" w:rsidP="00A51DFD">
      <w:pPr>
        <w:pStyle w:val="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w:t>
      </w:r>
      <w:proofErr w:type="gramStart"/>
      <w:r w:rsidRPr="003F0BAC">
        <w:t>e][</w:t>
      </w:r>
      <w:proofErr w:type="gramEnd"/>
      <w:r w:rsidRPr="003F0BAC">
        <w:t>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9712A3"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9712A3"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 xml:space="preserve">We agree priority is to work on single satellite scenario which we assume RAN1 is well aware of. </w:t>
            </w:r>
            <w:proofErr w:type="gramStart"/>
            <w:r>
              <w:t>So</w:t>
            </w:r>
            <w:proofErr w:type="gramEnd"/>
            <w:r>
              <w:t xml:space="preserve">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r w:rsidR="000458C9" w:rsidRPr="006C2E80" w14:paraId="549AA0F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39B7B4E" w14:textId="0E194E9C" w:rsidR="000458C9" w:rsidRDefault="000458C9" w:rsidP="00481B1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D62997" w14:textId="4D789D72" w:rsidR="000458C9" w:rsidRDefault="000458C9"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65FEC" w14:textId="77777777" w:rsidR="000458C9" w:rsidRDefault="000458C9" w:rsidP="00481B1D">
            <w:pPr>
              <w:pStyle w:val="TAL"/>
            </w:pPr>
          </w:p>
        </w:tc>
      </w:tr>
      <w:tr w:rsidR="00576B1B" w:rsidRPr="006C2E80" w14:paraId="3A40C1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D99E1" w14:textId="3593C234" w:rsidR="00576B1B" w:rsidRDefault="00576B1B" w:rsidP="00481B1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3654A05" w14:textId="7379FF6B" w:rsidR="00576B1B" w:rsidRDefault="00576B1B"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FD57043" w14:textId="77777777" w:rsidR="00576B1B" w:rsidRDefault="00576B1B" w:rsidP="00481B1D">
            <w:pPr>
              <w:pStyle w:val="TAL"/>
            </w:pPr>
          </w:p>
        </w:tc>
      </w:tr>
      <w:tr w:rsidR="001B6E6F" w:rsidRPr="006C2E80" w14:paraId="180012D3"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FFAF2AD"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93CBA8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9CBBC34" w14:textId="77777777" w:rsidR="001B6E6F" w:rsidRDefault="001B6E6F" w:rsidP="00D96F97">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w:t>
      </w:r>
      <w:proofErr w:type="gramStart"/>
      <w:r w:rsidRPr="003F0BAC">
        <w:t>e][</w:t>
      </w:r>
      <w:proofErr w:type="gramEnd"/>
      <w:r w:rsidRPr="003F0BAC">
        <w:t>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9712A3"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r w:rsidR="000458C9" w:rsidRPr="006C2E80" w14:paraId="758EAA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664CF3" w14:textId="273AAD91" w:rsidR="000458C9" w:rsidRDefault="000458C9" w:rsidP="005768EA">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A2E01D" w14:textId="2A5AFF51" w:rsidR="000458C9" w:rsidRDefault="000458C9"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CB092" w14:textId="77777777" w:rsidR="000458C9" w:rsidRPr="007B411A" w:rsidRDefault="000458C9" w:rsidP="005768EA">
            <w:pPr>
              <w:pStyle w:val="TAL"/>
            </w:pPr>
          </w:p>
        </w:tc>
      </w:tr>
      <w:tr w:rsidR="00330475" w:rsidRPr="006C2E80" w14:paraId="0F287FC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B92F7" w14:textId="31FE8CE0" w:rsidR="00330475" w:rsidRDefault="00330475" w:rsidP="005768EA">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A91E971" w14:textId="558D92F7" w:rsidR="00330475" w:rsidRDefault="00330475"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B57A7B" w14:textId="77777777" w:rsidR="00330475" w:rsidRPr="007B411A" w:rsidRDefault="00330475" w:rsidP="005768EA">
            <w:pPr>
              <w:pStyle w:val="TAL"/>
            </w:pPr>
          </w:p>
        </w:tc>
      </w:tr>
      <w:tr w:rsidR="001B6E6F" w:rsidRPr="006C2E80" w14:paraId="20A423C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F33BF4B"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3E86AC"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C159EF" w14:textId="77777777" w:rsidR="001B6E6F" w:rsidRPr="007B411A" w:rsidRDefault="001B6E6F" w:rsidP="00D96F97">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2"/>
      </w:pPr>
      <w:r>
        <w:lastRenderedPageBreak/>
        <w:t>3.</w:t>
      </w:r>
      <w:r w:rsidR="00501D04">
        <w:t>6</w:t>
      </w:r>
      <w:r>
        <w:tab/>
      </w:r>
      <w:r w:rsidR="00B6700D">
        <w:t>Latency and reliability</w:t>
      </w:r>
      <w:r w:rsidR="00DC2EA2">
        <w:t xml:space="preserve"> issues</w:t>
      </w:r>
    </w:p>
    <w:p w14:paraId="2C5AB809" w14:textId="35013F4B" w:rsidR="00514333" w:rsidRDefault="00514333" w:rsidP="00514333">
      <w:pPr>
        <w:pStyle w:val="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w:t>
      </w:r>
      <w:proofErr w:type="gramStart"/>
      <w:r w:rsidRPr="003F0BAC">
        <w:t>e][</w:t>
      </w:r>
      <w:proofErr w:type="gramEnd"/>
      <w:r w:rsidRPr="003F0BAC">
        <w:t>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9712A3"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9712A3"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9712A3"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r w:rsidR="003F3A8E" w:rsidRPr="006C2E80" w14:paraId="628AD50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B704A0" w14:textId="568CB913" w:rsidR="003F3A8E" w:rsidRDefault="003F3A8E" w:rsidP="000F3C89">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3943B2" w14:textId="77777777" w:rsidR="003F3A8E" w:rsidRDefault="003F3A8E" w:rsidP="000F3C89">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AE6C7C6" w14:textId="0B41A6F8" w:rsidR="003F3A8E" w:rsidRDefault="00C4453A" w:rsidP="000F3C89">
            <w:pPr>
              <w:pStyle w:val="TAL"/>
              <w:rPr>
                <w:lang w:eastAsia="zh-CN"/>
              </w:rPr>
            </w:pPr>
            <w:r>
              <w:rPr>
                <w:rFonts w:hint="eastAsia"/>
                <w:lang w:eastAsia="zh-CN"/>
              </w:rPr>
              <w:t>A</w:t>
            </w:r>
            <w:r>
              <w:rPr>
                <w:lang w:eastAsia="zh-CN"/>
              </w:rPr>
              <w:t>gree with Nokia that latency should be up to RAN1 to discuss.</w:t>
            </w:r>
          </w:p>
        </w:tc>
      </w:tr>
      <w:tr w:rsidR="00052F4B" w:rsidRPr="006C2E80" w14:paraId="4C861A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4EA8C37" w14:textId="605EB74B" w:rsidR="00052F4B" w:rsidRDefault="00052F4B" w:rsidP="000F3C89">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11DF5D" w14:textId="0CFAC5E7" w:rsidR="00052F4B" w:rsidRDefault="00052F4B" w:rsidP="000F3C89">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B2D445" w14:textId="736D5725" w:rsidR="00052F4B" w:rsidRDefault="000A1434" w:rsidP="000F3C89">
            <w:pPr>
              <w:pStyle w:val="TAL"/>
              <w:rPr>
                <w:lang w:eastAsia="zh-CN"/>
              </w:rPr>
            </w:pPr>
            <w:r>
              <w:rPr>
                <w:lang w:eastAsia="zh-CN"/>
              </w:rPr>
              <w:t>Agree with asking about “service’s latency”, and also that verification latency is up to RAN1 depending on the need derived from the selected method</w:t>
            </w:r>
          </w:p>
        </w:tc>
      </w:tr>
      <w:tr w:rsidR="001B6E6F" w:rsidRPr="006C2E80" w14:paraId="6BD7604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4BA74DCF"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C60ED04"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D71A518" w14:textId="00D651E5" w:rsidR="001B6E6F" w:rsidRDefault="001B6E6F" w:rsidP="00D96F97">
            <w:pPr>
              <w:pStyle w:val="TAL"/>
              <w:rPr>
                <w:lang w:eastAsia="zh-CN"/>
              </w:rPr>
            </w:pPr>
            <w:r>
              <w:rPr>
                <w:lang w:eastAsia="zh-CN"/>
              </w:rPr>
              <w:t xml:space="preserve">Share same with Nokia. Moreover, RAN1 is discussing to send LS to SA WGs for latency issue. Thus, there is no need for RAN2 to send LS right away. </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3"/>
      </w:pPr>
      <w:r>
        <w:lastRenderedPageBreak/>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w:t>
      </w:r>
      <w:proofErr w:type="gramStart"/>
      <w:r w:rsidRPr="003F0BAC">
        <w:t>e][</w:t>
      </w:r>
      <w:proofErr w:type="gramEnd"/>
      <w:r w:rsidRPr="003F0BAC">
        <w:t>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9712A3"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9712A3"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9712A3"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9712A3"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9712A3"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w:t>
            </w:r>
            <w:proofErr w:type="gramStart"/>
            <w:r w:rsidRPr="00823060">
              <w:rPr>
                <w:rFonts w:ascii="Times New Roman" w:hAnsi="Times New Roman"/>
                <w:sz w:val="20"/>
              </w:rPr>
              <w:t>an</w:t>
            </w:r>
            <w:proofErr w:type="gramEnd"/>
            <w:r w:rsidRPr="00823060">
              <w:rPr>
                <w:rFonts w:ascii="Times New Roman" w:hAnsi="Times New Roman"/>
                <w:sz w:val="20"/>
              </w:rPr>
              <w:t xml:space="preserve">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9712A3"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w:t>
      </w:r>
      <w:proofErr w:type="gramStart"/>
      <w:r w:rsidRPr="00BF3918">
        <w:t>e][</w:t>
      </w:r>
      <w:proofErr w:type="gramEnd"/>
      <w:r w:rsidRPr="00BF3918">
        <w:t>108][R18 NR-NTN] NW verified UE location</w:t>
      </w:r>
      <w:r>
        <w:t xml:space="preserve"> and the previous TDOC list, </w:t>
      </w:r>
      <w:r w:rsidR="00270CF7">
        <w:t>the moderator proposes the following proposal :</w:t>
      </w:r>
    </w:p>
    <w:p w14:paraId="0CD47992" w14:textId="7D49F9C7"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w:t>
      </w:r>
      <w:proofErr w:type="gramStart"/>
      <w:r w:rsidRPr="00A137EE">
        <w:rPr>
          <w:b/>
          <w:bCs/>
          <w:color w:val="000000" w:themeColor="text1"/>
        </w:rPr>
        <w:t>an</w:t>
      </w:r>
      <w:proofErr w:type="gramEnd"/>
      <w:r w:rsidRPr="00A137EE">
        <w:rPr>
          <w:b/>
          <w:bCs/>
          <w:color w:val="000000" w:themeColor="text1"/>
        </w:rPr>
        <w:t xml:space="preserve">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2316B5">
        <w:rPr>
          <w:b/>
          <w:bCs/>
          <w:color w:val="000000" w:themeColor="text1"/>
        </w:rPr>
        <w:t>…</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r w:rsidR="002316B5" w:rsidRPr="006C2E80" w14:paraId="6A48DC9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EBC9073" w14:textId="4EA0F45B" w:rsidR="002316B5" w:rsidRDefault="002316B5" w:rsidP="005B765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FE4DDE" w14:textId="6D9559C8" w:rsidR="002316B5" w:rsidRDefault="002316B5" w:rsidP="005B765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FDF911" w14:textId="14289463" w:rsidR="002316B5" w:rsidRDefault="00D825C9" w:rsidP="005B765C">
            <w:pPr>
              <w:pStyle w:val="TAL"/>
              <w:rPr>
                <w:lang w:eastAsia="zh-CN"/>
              </w:rPr>
            </w:pPr>
            <w:r>
              <w:rPr>
                <w:lang w:eastAsia="zh-CN"/>
              </w:rPr>
              <w:t xml:space="preserve">As discussed in </w:t>
            </w:r>
            <w:r w:rsidRPr="00BF3918">
              <w:t>[POST119-e][108]</w:t>
            </w:r>
            <w:r>
              <w:t xml:space="preserve">, RAN1 is discussing positioning methods and anything to check with SA3 on the </w:t>
            </w:r>
            <w:proofErr w:type="spellStart"/>
            <w:r>
              <w:t>reliablility</w:t>
            </w:r>
            <w:proofErr w:type="spellEnd"/>
            <w:r>
              <w:t xml:space="preserve"> of reported information should be triggered by RAN1 instead of RAN2.</w:t>
            </w:r>
          </w:p>
        </w:tc>
      </w:tr>
      <w:tr w:rsidR="006A0157" w:rsidRPr="006C2E80" w14:paraId="60F4637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0A4345A" w14:textId="71270BC2" w:rsidR="006A0157" w:rsidRDefault="005E1EEB" w:rsidP="005B765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67914D0" w14:textId="7AB9DE55" w:rsidR="006A0157" w:rsidRDefault="005E1EEB" w:rsidP="005B765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6E201C8E" w14:textId="4C068312" w:rsidR="006A0157" w:rsidRDefault="00370C81" w:rsidP="005B765C">
            <w:pPr>
              <w:pStyle w:val="TAL"/>
              <w:rPr>
                <w:lang w:eastAsia="zh-CN"/>
              </w:rPr>
            </w:pPr>
            <w:r>
              <w:rPr>
                <w:lang w:eastAsia="zh-CN"/>
              </w:rPr>
              <w:t xml:space="preserve">GNSS independent methods should be prioritized, focusing on the HW/SW components defined by 3GPP </w:t>
            </w:r>
          </w:p>
        </w:tc>
      </w:tr>
      <w:tr w:rsidR="001B6E6F" w:rsidRPr="006C2E80" w14:paraId="7BB7766D"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3C5831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B42A4A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6B292D3" w14:textId="77777777" w:rsidR="001B6E6F" w:rsidRDefault="001B6E6F" w:rsidP="00D96F97">
            <w:pPr>
              <w:pStyle w:val="TAL"/>
              <w:rPr>
                <w:lang w:eastAsia="zh-CN"/>
              </w:rPr>
            </w:pP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w:t>
      </w:r>
      <w:proofErr w:type="gramStart"/>
      <w:r w:rsidRPr="00BF3918">
        <w:t>e][</w:t>
      </w:r>
      <w:proofErr w:type="gramEnd"/>
      <w:r w:rsidRPr="00BF3918">
        <w:t>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9712A3"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9712A3"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r w:rsidR="007B419B" w:rsidRPr="006C2E80" w14:paraId="563AAD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680066" w14:textId="4D8672F1" w:rsidR="007B419B" w:rsidRPr="00D13074" w:rsidRDefault="007B419B" w:rsidP="000C097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CE42F54" w14:textId="552545D6" w:rsidR="007B419B" w:rsidRPr="00D13074" w:rsidRDefault="007B419B"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8F8A765" w14:textId="14CA7B14" w:rsidR="007B419B" w:rsidRPr="00D13074" w:rsidRDefault="007B419B" w:rsidP="000C097D">
            <w:pPr>
              <w:pStyle w:val="TAL"/>
              <w:rPr>
                <w:lang w:eastAsia="zh-CN"/>
              </w:rPr>
            </w:pPr>
            <w:r>
              <w:rPr>
                <w:lang w:eastAsia="zh-CN"/>
              </w:rPr>
              <w:t>As discussed earlier, let’s focus on generic positioning methods that do not rely on TN coverage.</w:t>
            </w:r>
          </w:p>
        </w:tc>
      </w:tr>
      <w:tr w:rsidR="00370C81" w:rsidRPr="006C2E80" w14:paraId="552A817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3168E1D" w14:textId="7F852704" w:rsidR="00370C81" w:rsidRDefault="00370C81" w:rsidP="000C097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356B9D8" w14:textId="4D8C92E7" w:rsidR="00370C81" w:rsidRDefault="0038281C"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2435A3" w14:textId="0B84C555" w:rsidR="00370C81" w:rsidRDefault="0038281C" w:rsidP="000C097D">
            <w:pPr>
              <w:pStyle w:val="TAL"/>
              <w:rPr>
                <w:lang w:eastAsia="zh-CN"/>
              </w:rPr>
            </w:pPr>
            <w:r>
              <w:rPr>
                <w:lang w:eastAsia="zh-CN"/>
              </w:rPr>
              <w:t>Only NTN coverage is to be considered, it was already clarified</w:t>
            </w:r>
            <w:r w:rsidR="00397D80">
              <w:rPr>
                <w:lang w:eastAsia="zh-CN"/>
              </w:rPr>
              <w:t xml:space="preserve"> and agreed</w:t>
            </w:r>
          </w:p>
        </w:tc>
      </w:tr>
      <w:tr w:rsidR="001B6E6F" w:rsidRPr="006C2E80" w14:paraId="7A3E4E85"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4B487EB" w14:textId="77777777" w:rsidR="001B6E6F" w:rsidRPr="00D13074" w:rsidRDefault="001B6E6F" w:rsidP="00D96F97">
            <w:pPr>
              <w:pStyle w:val="TAL"/>
              <w:rPr>
                <w:lang w:eastAsia="zh-CN"/>
              </w:rPr>
            </w:pPr>
            <w:bookmarkStart w:id="0" w:name="_GoBack"/>
            <w:r>
              <w:rPr>
                <w:rFonts w:hint="eastAsia"/>
                <w:lang w:eastAsia="zh-CN"/>
              </w:rPr>
              <w:t>v</w:t>
            </w:r>
            <w:r>
              <w:rPr>
                <w:lang w:eastAsia="zh-CN"/>
              </w:rPr>
              <w:t>ivo</w:t>
            </w:r>
            <w:bookmarkEnd w:id="0"/>
          </w:p>
        </w:tc>
        <w:tc>
          <w:tcPr>
            <w:tcW w:w="2268" w:type="dxa"/>
            <w:tcBorders>
              <w:top w:val="single" w:sz="4" w:space="0" w:color="auto"/>
              <w:left w:val="single" w:sz="4" w:space="0" w:color="auto"/>
              <w:bottom w:val="single" w:sz="4" w:space="0" w:color="auto"/>
              <w:right w:val="single" w:sz="4" w:space="0" w:color="auto"/>
            </w:tcBorders>
          </w:tcPr>
          <w:p w14:paraId="2CCF308E" w14:textId="77777777" w:rsidR="001B6E6F" w:rsidRPr="00D13074"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3868237" w14:textId="77777777" w:rsidR="001B6E6F" w:rsidRPr="00D13074" w:rsidRDefault="001B6E6F" w:rsidP="00D96F97">
            <w:pPr>
              <w:pStyle w:val="TAL"/>
              <w:rPr>
                <w:lang w:eastAsia="zh-CN"/>
              </w:rPr>
            </w:pPr>
            <w:r>
              <w:rPr>
                <w:lang w:eastAsia="zh-CN"/>
              </w:rPr>
              <w:t xml:space="preserve">We tend to specify </w:t>
            </w:r>
            <w:proofErr w:type="gramStart"/>
            <w:r>
              <w:rPr>
                <w:lang w:eastAsia="zh-CN"/>
              </w:rPr>
              <w:t>an</w:t>
            </w:r>
            <w:proofErr w:type="gramEnd"/>
            <w:r>
              <w:rPr>
                <w:lang w:eastAsia="zh-CN"/>
              </w:rPr>
              <w:t xml:space="preserve"> common solution for verification procedure. As the proposed solution in Q3 only be applied to limited scenario, which is not preferable to us.</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1"/>
      </w:pPr>
      <w:r>
        <w:t>4</w:t>
      </w:r>
      <w:r>
        <w:tab/>
        <w:t>References</w:t>
      </w:r>
    </w:p>
    <w:p w14:paraId="3C3BABB0" w14:textId="077F1512" w:rsidR="00D76320" w:rsidRPr="00A83787" w:rsidRDefault="00D76320" w:rsidP="00D76320">
      <w:pPr>
        <w:pStyle w:val="a3"/>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a3"/>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w:t>
      </w:r>
      <w:proofErr w:type="gramStart"/>
      <w:r w:rsidRPr="003B280C">
        <w:rPr>
          <w:lang w:val="en-GB" w:eastAsia="en-GB"/>
        </w:rPr>
        <w:t>amp;D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a3"/>
        <w:numPr>
          <w:ilvl w:val="0"/>
          <w:numId w:val="13"/>
        </w:numPr>
        <w:overflowPunct/>
        <w:autoSpaceDE/>
        <w:autoSpaceDN/>
        <w:adjustRightInd/>
        <w:spacing w:after="120"/>
        <w:jc w:val="both"/>
        <w:textAlignment w:val="auto"/>
        <w:rPr>
          <w:lang w:val="de-DE" w:eastAsia="en-GB"/>
        </w:rPr>
      </w:pPr>
      <w:r w:rsidRPr="00FB3B13">
        <w:rPr>
          <w:lang w:val="de-DE" w:eastAsia="en-GB"/>
        </w:rPr>
        <w:t xml:space="preserve">R2-2210709 UE location verification in NTN, Deutsche Telekom, Huawei, HiSilicon, RAN2#119e-bis, Electronic, </w:t>
      </w:r>
      <w:r w:rsidRPr="00FB3B13">
        <w:rPr>
          <w:lang w:val="de-DE" w:eastAsia="en-GB"/>
        </w:rPr>
        <w:lastRenderedPageBreak/>
        <w:t>October 2022</w:t>
      </w:r>
    </w:p>
    <w:p w14:paraId="61E47E5A" w14:textId="7A77E266" w:rsid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1"/>
      </w:pPr>
      <w:r>
        <w:t>5</w:t>
      </w:r>
      <w:r>
        <w:tab/>
        <w:t>Annex</w:t>
      </w:r>
    </w:p>
    <w:p w14:paraId="6E980667" w14:textId="40057D31" w:rsidR="00C12147" w:rsidRPr="00B140E6" w:rsidRDefault="00C12147" w:rsidP="00C12147">
      <w:pPr>
        <w:pStyle w:val="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af"/>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af"/>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af"/>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af"/>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 xml:space="preserve">Number of </w:t>
            </w:r>
            <w:proofErr w:type="gramStart"/>
            <w:r>
              <w:rPr>
                <w:rStyle w:val="af"/>
                <w:rFonts w:cs="Times New Roman"/>
                <w:sz w:val="20"/>
                <w:szCs w:val="20"/>
                <w:lang w:val="en-US"/>
              </w:rPr>
              <w:t>satellite</w:t>
            </w:r>
            <w:proofErr w:type="gramEnd"/>
            <w:r>
              <w:rPr>
                <w:rStyle w:val="af"/>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rsidRPr="00457837"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Pr="00457837" w:rsidRDefault="00874D96" w:rsidP="00874D96">
            <w:pPr>
              <w:pStyle w:val="TAL"/>
              <w:jc w:val="center"/>
              <w:rPr>
                <w:lang w:val="es-ES"/>
              </w:rPr>
            </w:pPr>
            <w:r w:rsidRPr="00457837">
              <w:rPr>
                <w:lang w:val="es-ES"/>
              </w:rPr>
              <w:t>Quentin Baradat (quentin.baradat@thalesaleniaspace.com)</w:t>
            </w:r>
          </w:p>
        </w:tc>
      </w:tr>
      <w:tr w:rsidR="00874D96" w:rsidRPr="00457837"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Pr="00457837" w:rsidRDefault="00B647FA" w:rsidP="00874D96">
            <w:pPr>
              <w:pStyle w:val="TAL"/>
              <w:jc w:val="center"/>
              <w:rPr>
                <w:lang w:val="es-ES"/>
              </w:rPr>
            </w:pPr>
            <w:r w:rsidRPr="00457837">
              <w:rPr>
                <w:lang w:val="es-ES"/>
              </w:rP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2F19E8A6" w:rsidR="00874D96" w:rsidRDefault="008E5D04" w:rsidP="00874D96">
            <w:pPr>
              <w:pStyle w:val="TAL"/>
              <w:jc w:val="center"/>
              <w:rPr>
                <w:lang w:eastAsia="zh-CN"/>
              </w:rPr>
            </w:pPr>
            <w:r>
              <w:rPr>
                <w:lang w:eastAsia="zh-CN"/>
              </w:rPr>
              <w:t>OPPO</w:t>
            </w:r>
          </w:p>
        </w:tc>
        <w:tc>
          <w:tcPr>
            <w:tcW w:w="6237" w:type="dxa"/>
          </w:tcPr>
          <w:p w14:paraId="24F36820" w14:textId="095789BB" w:rsidR="00874D96" w:rsidRDefault="008E5D04" w:rsidP="00874D96">
            <w:pPr>
              <w:pStyle w:val="TAL"/>
              <w:jc w:val="center"/>
              <w:rPr>
                <w:lang w:eastAsia="zh-CN"/>
              </w:rPr>
            </w:pPr>
            <w:r>
              <w:rPr>
                <w:lang w:eastAsia="zh-CN"/>
              </w:rPr>
              <w:t>lihaitao@oppo.com</w:t>
            </w:r>
          </w:p>
        </w:tc>
      </w:tr>
      <w:tr w:rsidR="0038281C" w14:paraId="01352878" w14:textId="77777777" w:rsidTr="00874D96">
        <w:trPr>
          <w:cantSplit/>
          <w:jc w:val="center"/>
        </w:trPr>
        <w:tc>
          <w:tcPr>
            <w:tcW w:w="2547" w:type="dxa"/>
            <w:shd w:val="clear" w:color="auto" w:fill="auto"/>
          </w:tcPr>
          <w:p w14:paraId="3F19292B" w14:textId="6D841699" w:rsidR="0038281C" w:rsidRDefault="0038281C" w:rsidP="00874D96">
            <w:pPr>
              <w:pStyle w:val="TAL"/>
              <w:jc w:val="center"/>
              <w:rPr>
                <w:lang w:eastAsia="zh-CN"/>
              </w:rPr>
            </w:pPr>
            <w:r>
              <w:rPr>
                <w:lang w:eastAsia="zh-CN"/>
              </w:rPr>
              <w:t>Hispasat</w:t>
            </w:r>
          </w:p>
        </w:tc>
        <w:tc>
          <w:tcPr>
            <w:tcW w:w="6237" w:type="dxa"/>
          </w:tcPr>
          <w:p w14:paraId="434D2299" w14:textId="65AD7DD0" w:rsidR="0038281C" w:rsidRDefault="0038281C" w:rsidP="00874D96">
            <w:pPr>
              <w:pStyle w:val="TAL"/>
              <w:jc w:val="center"/>
              <w:rPr>
                <w:lang w:eastAsia="zh-CN"/>
              </w:rPr>
            </w:pPr>
            <w:r>
              <w:rPr>
                <w:lang w:eastAsia="zh-CN"/>
              </w:rPr>
              <w:t>jgarcia@hispasat.es</w:t>
            </w: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F4C7" w14:textId="77777777" w:rsidR="009712A3" w:rsidRDefault="009712A3">
      <w:r>
        <w:separator/>
      </w:r>
    </w:p>
  </w:endnote>
  <w:endnote w:type="continuationSeparator" w:id="0">
    <w:p w14:paraId="05469AAD" w14:textId="77777777" w:rsidR="009712A3" w:rsidRDefault="0097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4860" w14:textId="77777777" w:rsidR="009712A3" w:rsidRDefault="009712A3">
      <w:r>
        <w:separator/>
      </w:r>
    </w:p>
  </w:footnote>
  <w:footnote w:type="continuationSeparator" w:id="0">
    <w:p w14:paraId="4437F376" w14:textId="77777777" w:rsidR="009712A3" w:rsidRDefault="0097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7E2D"/>
    <w:rsid w:val="00E52824"/>
    <w:rsid w:val="00E52C57"/>
    <w:rsid w:val="00E57E7D"/>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
    <w:semiHidden/>
    <w:rsid w:val="006C2E80"/>
    <w:pPr>
      <w:ind w:left="1985" w:hanging="1985"/>
    </w:pPr>
  </w:style>
  <w:style w:type="paragraph" w:styleId="TOC7">
    <w:name w:val="toc 7"/>
    <w:basedOn w:val="TOC6"/>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7">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8">
    <w:name w:val="annotation reference"/>
    <w:basedOn w:val="a0"/>
    <w:rsid w:val="00874D96"/>
    <w:rPr>
      <w:sz w:val="16"/>
      <w:szCs w:val="16"/>
    </w:rPr>
  </w:style>
  <w:style w:type="paragraph" w:styleId="a9">
    <w:name w:val="annotation text"/>
    <w:basedOn w:val="a"/>
    <w:link w:val="aa"/>
    <w:rsid w:val="00874D96"/>
  </w:style>
  <w:style w:type="character" w:customStyle="1" w:styleId="aa">
    <w:name w:val="批注文字 字符"/>
    <w:basedOn w:val="a0"/>
    <w:link w:val="a9"/>
    <w:rsid w:val="00874D96"/>
    <w:rPr>
      <w:color w:val="000000"/>
      <w:lang w:eastAsia="ja-JP"/>
    </w:rPr>
  </w:style>
  <w:style w:type="paragraph" w:styleId="ab">
    <w:name w:val="annotation subject"/>
    <w:basedOn w:val="a9"/>
    <w:next w:val="a9"/>
    <w:link w:val="ac"/>
    <w:rsid w:val="00874D96"/>
    <w:rPr>
      <w:b/>
      <w:bCs/>
    </w:rPr>
  </w:style>
  <w:style w:type="character" w:customStyle="1" w:styleId="ac">
    <w:name w:val="批注主题 字符"/>
    <w:basedOn w:val="aa"/>
    <w:link w:val="ab"/>
    <w:rsid w:val="00874D96"/>
    <w:rPr>
      <w:b/>
      <w:bCs/>
      <w:color w:val="000000"/>
      <w:lang w:eastAsia="ja-JP"/>
    </w:rPr>
  </w:style>
  <w:style w:type="paragraph" w:styleId="ad">
    <w:name w:val="Balloon Text"/>
    <w:basedOn w:val="a"/>
    <w:link w:val="ae"/>
    <w:rsid w:val="00874D96"/>
    <w:pPr>
      <w:spacing w:after="0"/>
    </w:pPr>
    <w:rPr>
      <w:rFonts w:ascii="Segoe UI" w:hAnsi="Segoe UI" w:cs="Segoe UI"/>
      <w:sz w:val="18"/>
      <w:szCs w:val="18"/>
    </w:rPr>
  </w:style>
  <w:style w:type="character" w:customStyle="1" w:styleId="ae">
    <w:name w:val="批注框文本 字符"/>
    <w:basedOn w:val="a0"/>
    <w:link w:val="ad"/>
    <w:rsid w:val="00874D96"/>
    <w:rPr>
      <w:rFonts w:ascii="Segoe UI" w:hAnsi="Segoe UI" w:cs="Segoe UI"/>
      <w:color w:val="000000"/>
      <w:sz w:val="18"/>
      <w:szCs w:val="18"/>
      <w:lang w:eastAsia="ja-JP"/>
    </w:rPr>
  </w:style>
  <w:style w:type="character" w:styleId="af">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f0">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f1">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72F8C"/>
  </w:style>
  <w:style w:type="character" w:customStyle="1" w:styleId="eop">
    <w:name w:val="eop"/>
    <w:basedOn w:val="a0"/>
    <w:rsid w:val="00D72F8C"/>
  </w:style>
  <w:style w:type="paragraph" w:customStyle="1" w:styleId="paragraph">
    <w:name w:val="paragraph"/>
    <w:basedOn w:val="a"/>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D951F-4E9C-4F49-89D3-4903A36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9204</Words>
  <Characters>52463</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61544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vivo (Xiao)</cp:lastModifiedBy>
  <cp:revision>5</cp:revision>
  <cp:lastPrinted>2000-02-29T11:31:00Z</cp:lastPrinted>
  <dcterms:created xsi:type="dcterms:W3CDTF">2022-10-12T03:51:00Z</dcterms:created>
  <dcterms:modified xsi:type="dcterms:W3CDTF">2022-10-12T04:33:00Z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