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w:t>
      </w:r>
      <w:proofErr w:type="gramStart"/>
      <w:r>
        <w:rPr>
          <w:rFonts w:ascii="Arial" w:eastAsia="MS Mincho" w:hAnsi="Arial" w:cs="Arial"/>
          <w:b/>
        </w:rPr>
        <w:t>021][</w:t>
      </w:r>
      <w:proofErr w:type="spellStart"/>
      <w:proofErr w:type="gramEnd"/>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Apple also think this indication is useful, </w:t>
      </w:r>
      <w:proofErr w:type="gramStart"/>
      <w:r>
        <w:rPr>
          <w:rFonts w:ascii="Arial" w:eastAsia="MS Mincho" w:hAnsi="Arial" w:cs="Arial"/>
        </w:rPr>
        <w:t>e.g.</w:t>
      </w:r>
      <w:proofErr w:type="gramEnd"/>
      <w:r>
        <w:rPr>
          <w:rFonts w:ascii="Arial" w:eastAsia="MS Mincho" w:hAnsi="Arial" w:cs="Arial"/>
        </w:rPr>
        <w:t xml:space="preserve">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w:t>
      </w:r>
      <w:proofErr w:type="gramStart"/>
      <w:r>
        <w:rPr>
          <w:rFonts w:ascii="Arial" w:eastAsia="MS Mincho" w:hAnsi="Arial" w:cs="Arial"/>
        </w:rPr>
        <w:t>a number of</w:t>
      </w:r>
      <w:proofErr w:type="gramEnd"/>
      <w:r>
        <w:rPr>
          <w:rFonts w:ascii="Arial" w:eastAsia="MS Mincho" w:hAnsi="Arial" w:cs="Arial"/>
        </w:rPr>
        <w:t xml:space="preserve">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MS Mincho" w:hAnsi="Arial" w:cs="Arial"/>
        </w:rPr>
        <w:t>also</w:t>
      </w:r>
      <w:proofErr w:type="gramEnd"/>
      <w:r>
        <w:rPr>
          <w:rFonts w:ascii="Arial" w:eastAsia="MS Mincho" w:hAnsi="Arial" w:cs="Arial"/>
        </w:rPr>
        <w:t xml:space="preserve">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w:t>
      </w:r>
      <w:proofErr w:type="gramStart"/>
      <w:r>
        <w:rPr>
          <w:rFonts w:ascii="Arial" w:eastAsia="MS Mincho" w:hAnsi="Arial" w:cs="Arial"/>
        </w:rPr>
        <w:t>a number of</w:t>
      </w:r>
      <w:proofErr w:type="gramEnd"/>
      <w:r>
        <w:rPr>
          <w:rFonts w:ascii="Arial" w:eastAsia="MS Mincho" w:hAnsi="Arial" w:cs="Arial"/>
        </w:rPr>
        <w:t xml:space="preserve"> diverging opinions. </w:t>
      </w:r>
      <w:proofErr w:type="gramStart"/>
      <w:r>
        <w:rPr>
          <w:rFonts w:ascii="Arial" w:eastAsia="MS Mincho" w:hAnsi="Arial" w:cs="Arial"/>
        </w:rPr>
        <w:t>In order to</w:t>
      </w:r>
      <w:proofErr w:type="gramEnd"/>
      <w:r>
        <w:rPr>
          <w:rFonts w:ascii="Arial" w:eastAsia="MS Mincho" w:hAnsi="Arial" w:cs="Arial"/>
        </w:rPr>
        <w:t xml:space="preserve">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hint="eastAsia"/>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hint="eastAsia"/>
                <w:lang w:eastAsia="zh-CN"/>
              </w:rPr>
            </w:pPr>
            <w:r>
              <w:rPr>
                <w:rFonts w:ascii="Times New Roman" w:hAnsi="Times New Roman"/>
              </w:rPr>
              <w:t>Ziyi (ziyi.li@intel.com)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lastRenderedPageBreak/>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w:t>
      </w:r>
      <w:proofErr w:type="gramStart"/>
      <w:r>
        <w:rPr>
          <w:rFonts w:ascii="Times New Roman" w:eastAsia="SimSun" w:hAnsi="Times New Roman"/>
        </w:rPr>
        <w:t>i.e.</w:t>
      </w:r>
      <w:proofErr w:type="gramEnd"/>
      <w:r>
        <w:rPr>
          <w:rFonts w:ascii="Times New Roman" w:eastAsia="SimSun" w:hAnsi="Times New Roman"/>
        </w:rPr>
        <w:t xml:space="preserv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2201D152"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hint="eastAsia"/>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hint="eastAsia"/>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bl>
    <w:p w14:paraId="0715EA4C" w14:textId="77777777" w:rsidR="003B23F1" w:rsidRDefault="003B23F1">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p>
    <w:p w14:paraId="2B93A39D"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p>
    <w:p w14:paraId="3015677D" w14:textId="77777777" w:rsidR="003B23F1" w:rsidRDefault="00521BBE">
      <w:pPr>
        <w:pStyle w:val="ListParagraph"/>
        <w:numPr>
          <w:ilvl w:val="1"/>
          <w:numId w:val="17"/>
        </w:numPr>
        <w:spacing w:beforeLines="50" w:before="120" w:afterLines="50" w:after="120"/>
        <w:rPr>
          <w:rFonts w:ascii="Times New Roman" w:eastAsia="SimSun" w:hAnsi="Times New Roman"/>
        </w:rPr>
      </w:pPr>
      <w:commentRangeStart w:id="7"/>
      <w:r>
        <w:rPr>
          <w:rFonts w:ascii="Times New Roman" w:eastAsia="SimSun" w:hAnsi="Times New Roman"/>
        </w:rPr>
        <w:t>QC P1</w:t>
      </w:r>
      <w:commentRangeEnd w:id="7"/>
      <w:r>
        <w:rPr>
          <w:rStyle w:val="CommentReference"/>
          <w:rFonts w:asciiTheme="minorHAnsi" w:hAnsiTheme="minorHAnsi"/>
        </w:rPr>
        <w:commentReference w:id="7"/>
      </w:r>
      <w:r>
        <w:rPr>
          <w:rFonts w:ascii="Times New Roman" w:eastAsia="SimSun" w:hAnsi="Times New Roman"/>
        </w:rPr>
        <w:t xml:space="preserve">, 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w:t>
      </w:r>
      <w:proofErr w:type="gramStart"/>
      <w:r>
        <w:rPr>
          <w:rFonts w:ascii="Times New Roman" w:eastAsia="SimSun" w:hAnsi="Times New Roman"/>
        </w:rPr>
        <w:t>e.g.</w:t>
      </w:r>
      <w:proofErr w:type="gramEnd"/>
      <w:r>
        <w:rPr>
          <w:rFonts w:ascii="Times New Roman" w:eastAsia="SimSun" w:hAnsi="Times New Roman"/>
        </w:rPr>
        <w:t xml:space="preserve">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5ABA7365" w14:textId="77777777" w:rsidR="003B23F1"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it is on-board of mobile IAB cell</w:t>
            </w:r>
            <w:r w:rsidR="008631C2">
              <w:rPr>
                <w:rFonts w:ascii="Times New Roman" w:eastAsia="DengXian" w:hAnsi="Times New Roman"/>
              </w:rPr>
              <w:t>”</w:t>
            </w:r>
            <w:r>
              <w:rPr>
                <w:rFonts w:ascii="Times New Roman" w:eastAsia="DengXian" w:hAnsi="Times New Roman"/>
              </w:rPr>
              <w:t xml:space="preserve"> (as Rapporteur mentioned).</w:t>
            </w:r>
          </w:p>
          <w:p w14:paraId="6957DDA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lastRenderedPageBreak/>
              <w:t xml:space="preserve">2) Help UE to differentiate the type/status of candidate target cells (at least stationary cell or mobile node) during cell reselection     </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perform cell reselection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Both they</w:t>
            </w:r>
            <w:proofErr w:type="gramEnd"/>
            <w:r>
              <w:rPr>
                <w:rFonts w:ascii="Times New Roman" w:eastAsia="MS Mincho" w:hAnsi="Times New Roman"/>
              </w:rPr>
              <w:t xml:space="preserve"> may be used for different scopes. The indication of mobile-IAB cell can be used by the UE to improve the cell (re)selection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gree </w:t>
            </w:r>
            <w:proofErr w:type="gramStart"/>
            <w:r>
              <w:rPr>
                <w:rFonts w:ascii="Times New Roman" w:hAnsi="Times New Roman"/>
              </w:rPr>
              <w:t>with</w:t>
            </w:r>
            <w:r>
              <w:rPr>
                <w:rFonts w:ascii="Times New Roman" w:hAnsi="Times New Roman" w:hint="eastAsia"/>
              </w:rPr>
              <w:t>“</w:t>
            </w:r>
            <w:proofErr w:type="gramEnd"/>
            <w:r>
              <w:rPr>
                <w:rFonts w:ascii="Times New Roman" w:hAnsi="Times New Roman"/>
              </w:rPr>
              <w:t xml:space="preserve">Mobile IAB cell broadcasting info” is to assist the UE’s cell (re)selection. But the </w:t>
            </w:r>
            <w:r>
              <w:rPr>
                <w:rFonts w:ascii="Times New Roman" w:hAnsi="Times New Roman" w:hint="eastAsia"/>
              </w:rPr>
              <w:t>“</w:t>
            </w:r>
            <w:r>
              <w:rPr>
                <w:rFonts w:ascii="Times New Roman" w:hAnsi="Times New Roman"/>
              </w:rPr>
              <w:t>Mobile IAB cell broadcasting info” is not necessary for UE to determine “it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The broadcast indication will help optimize cell reselection for moving cell, but it is not clear if and how it helps UE determine “on-board”.</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Agree just to consider assist info to allow UE cell (re)selection.</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hint="eastAsia"/>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hint="eastAsia"/>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help UE’s cell (re)selection. However, it is unrelated to the onboard status of a UE.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As listed above, it is unrelated to the onboard status of a UE,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w:t>
            </w:r>
            <w:proofErr w:type="gramStart"/>
            <w:r>
              <w:rPr>
                <w:rFonts w:ascii="Times New Roman" w:eastAsia="MS Mincho" w:hAnsi="Times New Roman"/>
              </w:rPr>
              <w:t>i.e.</w:t>
            </w:r>
            <w:proofErr w:type="gramEnd"/>
            <w:r>
              <w:rPr>
                <w:rFonts w:ascii="Times New Roman" w:eastAsia="MS Mincho" w:hAnsi="Times New Roman"/>
              </w:rPr>
              <w:t xml:space="preserv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The main difference between two alternatives is the granularity of mobility information, </w:t>
            </w:r>
            <w:proofErr w:type="gramStart"/>
            <w:r>
              <w:rPr>
                <w:rFonts w:ascii="Times New Roman" w:eastAsia="MS Mincho" w:hAnsi="Times New Roman"/>
              </w:rPr>
              <w:t>i.e.</w:t>
            </w:r>
            <w:proofErr w:type="gramEnd"/>
            <w:r>
              <w:rPr>
                <w:rFonts w:ascii="Times New Roman" w:eastAsia="MS Mincho" w:hAnsi="Times New Roman"/>
              </w:rPr>
              <w:t xml:space="preserve"> whether it is an accurate value or a rough state (e.g. high mobility state, low mobility state, </w:t>
            </w:r>
            <w:proofErr w:type="spellStart"/>
            <w:r>
              <w:rPr>
                <w:rFonts w:ascii="Times New Roman" w:eastAsia="MS Mincho" w:hAnsi="Times New Roman"/>
              </w:rPr>
              <w:t>etc</w:t>
            </w:r>
            <w:proofErr w:type="spellEnd"/>
            <w:r>
              <w:rPr>
                <w:rFonts w:ascii="Times New Roman" w:eastAsia="MS Mincho" w:hAnsi="Times New Roman"/>
              </w:rPr>
              <w:t xml:space="preserve">).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2425C9" w:rsidRDefault="00053B7F" w:rsidP="00053B7F">
            <w:pPr>
              <w:pStyle w:val="ListParagraph"/>
              <w:numPr>
                <w:ilvl w:val="0"/>
                <w:numId w:val="17"/>
              </w:num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 FFS on the granularity, </w:t>
            </w:r>
            <w:proofErr w:type="gramStart"/>
            <w:r w:rsidRPr="002425C9">
              <w:rPr>
                <w:rFonts w:ascii="Times New Roman" w:eastAsia="SimSun" w:hAnsi="Times New Roman"/>
                <w:b/>
                <w:bCs/>
              </w:rPr>
              <w:t>e.g.</w:t>
            </w:r>
            <w:proofErr w:type="gramEnd"/>
            <w:r w:rsidRPr="002425C9">
              <w:rPr>
                <w:rFonts w:ascii="Times New Roman" w:eastAsia="SimSun" w:hAnsi="Times New Roman"/>
                <w:b/>
                <w:bCs/>
              </w:rPr>
              <w:t xml:space="preserve">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2425C9">
              <w:rPr>
                <w:rFonts w:ascii="Times New Roman" w:eastAsia="MS Mincho" w:hAnsi="Times New Roman"/>
                <w:b/>
                <w:bCs/>
              </w:rPr>
              <w:t xml:space="preserve">Alt.3: </w:t>
            </w:r>
            <w:r w:rsidR="00B4582C" w:rsidRPr="002425C9">
              <w:rPr>
                <w:rFonts w:ascii="Times New Roman" w:eastAsia="MS Mincho" w:hAnsi="Times New Roman"/>
                <w:b/>
                <w:bCs/>
              </w:rPr>
              <w:t>O</w:t>
            </w:r>
            <w:r w:rsidRPr="002425C9">
              <w:rPr>
                <w:rFonts w:ascii="Times New Roman" w:eastAsia="MS Mincho" w:hAnsi="Times New Roman"/>
                <w:b/>
                <w:bCs/>
              </w:rPr>
              <w:t xml:space="preserve">ther </w:t>
            </w:r>
            <w:r w:rsidRPr="002425C9">
              <w:rPr>
                <w:rFonts w:ascii="Times New Roman" w:eastAsia="SimSun" w:hAnsi="Times New Roman"/>
                <w:b/>
                <w:bCs/>
              </w:rPr>
              <w:t>Mobility state info (</w:t>
            </w:r>
            <w:proofErr w:type="gramStart"/>
            <w:r w:rsidRPr="002425C9">
              <w:rPr>
                <w:rFonts w:ascii="Times New Roman" w:eastAsia="SimSun" w:hAnsi="Times New Roman"/>
                <w:b/>
                <w:bCs/>
              </w:rPr>
              <w:t>e.g.</w:t>
            </w:r>
            <w:proofErr w:type="gramEnd"/>
            <w:r w:rsidRPr="002425C9">
              <w:rPr>
                <w:rFonts w:ascii="Times New Roman" w:eastAsia="SimSun" w:hAnsi="Times New Roman"/>
                <w:b/>
                <w:bCs/>
              </w:rPr>
              <w:t xml:space="preserve"> location, direction, trajectory)</w:t>
            </w:r>
          </w:p>
        </w:tc>
      </w:tr>
    </w:tbl>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 xml:space="preserve">Please clarify how should UE uses this </w:t>
      </w:r>
      <w:proofErr w:type="gramStart"/>
      <w:r>
        <w:rPr>
          <w:rFonts w:ascii="Times New Roman" w:hAnsi="Times New Roman"/>
        </w:rPr>
        <w:t>info;</w:t>
      </w:r>
      <w:proofErr w:type="gramEnd"/>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w:t>
      </w:r>
      <w:proofErr w:type="gramStart"/>
      <w:r>
        <w:rPr>
          <w:rFonts w:ascii="Times New Roman" w:eastAsia="SimSun" w:hAnsi="Times New Roman"/>
        </w:rPr>
        <w:t>3;</w:t>
      </w:r>
      <w:proofErr w:type="gramEnd"/>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For Alt-3, we disagree to introduce </w:t>
            </w:r>
            <w:r>
              <w:rPr>
                <w:rFonts w:ascii="Times New Roman" w:hAnsi="Times New Roman"/>
              </w:rPr>
              <w:t xml:space="preserve">location/direction/trajectory because of security concern raised by Rapporteur.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because SIB update is slow,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think Alt 1 is the base line and </w:t>
            </w:r>
            <w:proofErr w:type="gramStart"/>
            <w:r>
              <w:rPr>
                <w:rFonts w:ascii="Times New Roman" w:eastAsia="SimSun" w:hAnsi="Times New Roman"/>
              </w:rPr>
              <w:t>Alt</w:t>
            </w:r>
            <w:proofErr w:type="gramEnd"/>
            <w:r>
              <w:rPr>
                <w:rFonts w:ascii="Times New Roman" w:eastAsia="SimSun" w:hAnsi="Times New Roman"/>
              </w:rPr>
              <w:t xml:space="preserve"> 2 and 3 are further </w:t>
            </w:r>
            <w:proofErr w:type="spellStart"/>
            <w:r>
              <w:rPr>
                <w:rFonts w:ascii="Times New Roman" w:eastAsia="SimSun" w:hAnsi="Times New Roman"/>
              </w:rPr>
              <w:t>optimisations</w:t>
            </w:r>
            <w:proofErr w:type="spellEnd"/>
            <w:r>
              <w:rPr>
                <w:rFonts w:ascii="Times New Roman" w:eastAsia="SimSun" w:hAnsi="Times New Roman"/>
              </w:rPr>
              <w:t xml:space="preserve">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justify the </w:t>
            </w:r>
            <w:proofErr w:type="gramStart"/>
            <w:r>
              <w:rPr>
                <w:rFonts w:ascii="Times New Roman" w:eastAsia="Malgun Gothic" w:hAnsi="Times New Roman" w:hint="eastAsia"/>
              </w:rPr>
              <w:t>problem,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Pr>
                <w:rFonts w:ascii="Times New Roman" w:eastAsia="SimSun" w:hAnsi="Times New Roman"/>
              </w:rPr>
              <w:t>FFS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lastRenderedPageBreak/>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determine “it is on-board”.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hint="eastAsia"/>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hint="eastAsia"/>
              </w:rPr>
            </w:pPr>
            <w:r>
              <w:rPr>
                <w:rFonts w:ascii="Times New Roman" w:eastAsia="MS Mincho" w:hAnsi="Times New Roman"/>
              </w:rPr>
              <w:t>Alt.2 and 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However, if we only have alt 1, in our understanding of alt 1, the UE </w:t>
            </w:r>
            <w:proofErr w:type="spellStart"/>
            <w:r>
              <w:rPr>
                <w:rFonts w:ascii="Times New Roman" w:eastAsia="MS Mincho" w:hAnsi="Times New Roman"/>
              </w:rPr>
              <w:t>behaviour</w:t>
            </w:r>
            <w:proofErr w:type="spellEnd"/>
            <w:r>
              <w:rPr>
                <w:rFonts w:ascii="Times New Roman" w:eastAsia="MS Mincho" w:hAnsi="Times New Roman"/>
              </w:rPr>
              <w:t xml:space="preserve"> will need to be left to UE implementation.  We think we should have a specified and testable UE </w:t>
            </w:r>
            <w:proofErr w:type="spellStart"/>
            <w:r>
              <w:rPr>
                <w:rFonts w:ascii="Times New Roman" w:eastAsia="MS Mincho" w:hAnsi="Times New Roman"/>
              </w:rPr>
              <w:t>behaviour</w:t>
            </w:r>
            <w:proofErr w:type="spellEnd"/>
            <w:r>
              <w:rPr>
                <w:rFonts w:ascii="Times New Roman" w:eastAsia="MS Mincho" w:hAnsi="Times New Roman"/>
              </w:rPr>
              <w:t xml:space="preserve">.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a UE get on a vehicle should not select a moving mobile IAB-cell.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As mentioned in above question, the granularity of mobility state can be further discussed, </w:t>
            </w:r>
            <w:proofErr w:type="gramStart"/>
            <w:r>
              <w:rPr>
                <w:rFonts w:ascii="Times New Roman" w:eastAsia="MS Mincho" w:hAnsi="Times New Roman"/>
              </w:rPr>
              <w:t>i.e.</w:t>
            </w:r>
            <w:proofErr w:type="gramEnd"/>
            <w:r>
              <w:rPr>
                <w:rFonts w:ascii="Times New Roman" w:eastAsia="MS Mincho" w:hAnsi="Times New Roman"/>
              </w:rPr>
              <w:t xml:space="preserv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SIB update, the mobile IAB-node does not need to always broadcast the real-time velocity if the speed doesn’t change a lot. The mobile IAB-node may only consider </w:t>
            </w:r>
            <w:proofErr w:type="gramStart"/>
            <w:r>
              <w:rPr>
                <w:rFonts w:ascii="Times New Roman" w:eastAsia="MS Mincho" w:hAnsi="Times New Roman"/>
              </w:rPr>
              <w:t>to update</w:t>
            </w:r>
            <w:proofErr w:type="gramEnd"/>
            <w:r>
              <w:rPr>
                <w:rFonts w:ascii="Times New Roman" w:eastAsia="MS Mincho" w:hAnsi="Times New Roman"/>
              </w:rPr>
              <w:t xml:space="preserve"> its mobility information in SIB if there’s a significant change or depending on the granularity of speed (e.g., with a binary indication, it doesn’t change often). The SIB update frequency can then be reduced. </w:t>
            </w:r>
          </w:p>
        </w:tc>
      </w:tr>
    </w:tbl>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 xml:space="preserve">Yes, </w:t>
      </w:r>
      <w:proofErr w:type="gramStart"/>
      <w:r>
        <w:rPr>
          <w:rFonts w:ascii="Times New Roman" w:eastAsia="SimSun" w:hAnsi="Times New Roman"/>
        </w:rPr>
        <w:t>e.g.</w:t>
      </w:r>
      <w:proofErr w:type="gramEnd"/>
      <w:r>
        <w:rPr>
          <w:rFonts w:ascii="Times New Roman" w:eastAsia="SimSun" w:hAnsi="Times New Roman"/>
        </w:rPr>
        <w:t xml:space="preserve">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lastRenderedPageBreak/>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0C716570" w14:textId="77777777" w:rsidR="003B23F1"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surrounding </w:t>
            </w:r>
            <w:proofErr w:type="spellStart"/>
            <w:r>
              <w:rPr>
                <w:rFonts w:ascii="Times New Roman" w:eastAsia="DengXian" w:hAnsi="Times New Roman"/>
              </w:rPr>
              <w:t>Ues</w:t>
            </w:r>
            <w:proofErr w:type="spellEnd"/>
            <w:r>
              <w:rPr>
                <w:rFonts w:ascii="Times New Roman" w:eastAsia="DengXian" w:hAnsi="Times New Roman"/>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1A874F80" w14:textId="77777777" w:rsidR="003B23F1" w:rsidRDefault="00521BBE">
            <w:pPr>
              <w:spacing w:beforeLines="50" w:before="120" w:afterLines="50" w:after="120"/>
              <w:rPr>
                <w:rFonts w:ascii="Times New Roman" w:hAnsi="Times New Roman" w:cs="Times New Roman"/>
              </w:rPr>
            </w:pPr>
            <w:proofErr w:type="gramStart"/>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w:t>
            </w:r>
            <w:proofErr w:type="gramStart"/>
            <w:r>
              <w:rPr>
                <w:rFonts w:ascii="Times New Roman" w:hAnsi="Times New Roman" w:cs="Times New Roman"/>
              </w:rPr>
              <w:t>actually surrounding</w:t>
            </w:r>
            <w:proofErr w:type="gramEnd"/>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proofErr w:type="gramStart"/>
            <w:r>
              <w:rPr>
                <w:rFonts w:cs="Times New Roman"/>
              </w:rPr>
              <w:t xml:space="preserve">exactly </w:t>
            </w:r>
            <w:r>
              <w:rPr>
                <w:rFonts w:ascii="Times New Roman" w:hAnsi="Times New Roman" w:cs="Times New Roman"/>
              </w:rPr>
              <w:t>the same</w:t>
            </w:r>
            <w:proofErr w:type="gramEnd"/>
            <w:r>
              <w:rPr>
                <w:rFonts w:ascii="Times New Roman" w:hAnsi="Times New Roman" w:cs="Times New Roman"/>
              </w:rPr>
              <w:t>.”</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stops access for </w:t>
            </w:r>
            <w:proofErr w:type="spellStart"/>
            <w:r>
              <w:rPr>
                <w:rFonts w:ascii="Times New Roman" w:eastAsia="SimSun" w:hAnsi="Times New Roman"/>
              </w:rPr>
              <w:t>Ues</w:t>
            </w:r>
            <w:proofErr w:type="spellEnd"/>
            <w:r>
              <w:rPr>
                <w:rFonts w:ascii="Times New Roman" w:eastAsia="SimSun" w:hAnsi="Times New Roman"/>
              </w:rPr>
              <w:t xml:space="preserve"> that use this slice/CAG.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in the same manner as every legacy </w:t>
            </w:r>
            <w:proofErr w:type="spellStart"/>
            <w:r>
              <w:rPr>
                <w:rFonts w:ascii="Times New Roman" w:eastAsia="SimSun" w:hAnsi="Times New Roman"/>
              </w:rPr>
              <w:t>gNB</w:t>
            </w:r>
            <w:proofErr w:type="spellEnd"/>
            <w:r>
              <w:rPr>
                <w:rFonts w:ascii="Times New Roman" w:eastAsia="SimSun" w:hAnsi="Times New Roman"/>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Therefore, we should not rule this out </w:t>
            </w:r>
            <w:proofErr w:type="gramStart"/>
            <w:r>
              <w:rPr>
                <w:rFonts w:ascii="Times New Roman" w:eastAsia="MS Mincho" w:hAnsi="Times New Roman"/>
              </w:rPr>
              <w:t>at the moment</w:t>
            </w:r>
            <w:proofErr w:type="gramEnd"/>
            <w:r>
              <w:rPr>
                <w:rFonts w:ascii="Times New Roman" w:eastAsia="MS Mincho" w:hAnsi="Times New Roman"/>
              </w:rPr>
              <w: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w:t>
            </w:r>
            <w:proofErr w:type="gramStart"/>
            <w:r>
              <w:rPr>
                <w:rFonts w:ascii="Times New Roman" w:eastAsia="MS Mincho" w:hAnsi="Times New Roman"/>
              </w:rPr>
              <w:t>handover</w:t>
            </w:r>
            <w:proofErr w:type="gramEnd"/>
            <w:r>
              <w:rPr>
                <w:rFonts w:ascii="Times New Roman" w:eastAsia="MS Mincho" w:hAnsi="Times New Roman"/>
              </w:rPr>
              <w:t xml:space="preserve">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w:t>
            </w:r>
            <w:proofErr w:type="spellStart"/>
            <w:r>
              <w:rPr>
                <w:rFonts w:ascii="Times New Roman" w:eastAsia="MS Mincho" w:hAnsi="Times New Roman"/>
              </w:rPr>
              <w:t>Ues</w:t>
            </w:r>
            <w:proofErr w:type="spellEnd"/>
            <w:r>
              <w:rPr>
                <w:rFonts w:ascii="Times New Roman" w:eastAsia="MS Mincho" w:hAnsi="Times New Roman"/>
              </w:rPr>
              <w:t xml:space="preserve"> to connect the mobile IAB.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recommendation.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not mandatory.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proofErr w:type="gramStart"/>
            <w:r>
              <w:rPr>
                <w:rFonts w:ascii="Times New Roman" w:eastAsia="SimSun" w:hAnsi="Times New Roman" w:cs="Times New Roman"/>
                <w:szCs w:val="21"/>
              </w:rPr>
              <w:t>With regard to</w:t>
            </w:r>
            <w:proofErr w:type="gramEnd"/>
            <w:r>
              <w:rPr>
                <w:rFonts w:ascii="Times New Roman" w:eastAsia="SimSun" w:hAnsi="Times New Roman" w:cs="Times New Roman"/>
                <w:szCs w:val="21"/>
              </w:rPr>
              <w:t xml:space="preserve">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hint="eastAsia"/>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hint="eastAsia"/>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bl>
    <w:p w14:paraId="15F7794A" w14:textId="77777777" w:rsidR="003B23F1" w:rsidRDefault="003B23F1">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lastRenderedPageBreak/>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Rapporteur</w:t>
      </w:r>
      <w:proofErr w:type="gramEnd"/>
      <w:r>
        <w:rPr>
          <w:rFonts w:ascii="Times New Roman" w:eastAsia="SimSun"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Pr>
                <w:rFonts w:ascii="Times New Roman" w:eastAsia="DengXian" w:hAnsi="Times New Roman"/>
              </w:rPr>
              <w:t>Embms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w:t>
            </w:r>
            <w:r>
              <w:rPr>
                <w:rFonts w:ascii="Times New Roman" w:hAnsi="Times New Roman" w:cs="Times New Roman"/>
                <w:szCs w:val="21"/>
              </w:rPr>
              <w:lastRenderedPageBreak/>
              <w:t>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It can be left to 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hint="eastAsia"/>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hint="eastAsia"/>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w:t>
            </w:r>
            <w:proofErr w:type="gramStart"/>
            <w:r>
              <w:rPr>
                <w:rFonts w:ascii="Times New Roman" w:eastAsia="MS Mincho" w:hAnsi="Times New Roman"/>
              </w:rPr>
              <w:t>to prioritize</w:t>
            </w:r>
            <w:proofErr w:type="gramEnd"/>
            <w:r>
              <w:rPr>
                <w:rFonts w:ascii="Times New Roman" w:eastAsia="MS Mincho" w:hAnsi="Times New Roman"/>
              </w:rPr>
              <w:t xml:space="preserve"> cell (re)selection to a mobile IAB-cell. However, we think the 2</w:t>
            </w:r>
            <w:r w:rsidRPr="00E51675">
              <w:rPr>
                <w:rFonts w:ascii="Times New Roman" w:eastAsia="MS Mincho" w:hAnsi="Times New Roman"/>
                <w:vertAlign w:val="superscript"/>
              </w:rPr>
              <w:t>nd</w:t>
            </w:r>
            <w:r>
              <w:rPr>
                <w:rFonts w:ascii="Times New Roman" w:eastAsia="MS Mincho" w:hAnsi="Times New Roman"/>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-cell, but also towards stationary cells when 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R18 UEs may/can prioritize the cell (re)selection to a mobile IAB </w:t>
            </w:r>
            <w:proofErr w:type="gramStart"/>
            <w:r w:rsidRPr="002425C9">
              <w:rPr>
                <w:rFonts w:ascii="Times New Roman" w:eastAsia="MS Mincho" w:hAnsi="Times New Roman"/>
                <w:b/>
                <w:bCs/>
              </w:rPr>
              <w:t>cell, if</w:t>
            </w:r>
            <w:proofErr w:type="gramEnd"/>
            <w:r w:rsidRPr="002425C9">
              <w:rPr>
                <w:rFonts w:ascii="Times New Roman" w:eastAsia="MS Mincho" w:hAnsi="Times New Roman"/>
                <w:b/>
                <w:bCs/>
              </w:rPr>
              <w:t xml:space="preserve"> the UE determines itself is going to be on-board of a mobile IAB-cell or moving together with a mobile IAB-cell. Otherwise, the R18 UEs may prioritize stationary cells during cell (re)selection or perform legacy cell reselection.</w:t>
            </w:r>
          </w:p>
        </w:tc>
      </w:tr>
    </w:tbl>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51AB02FF" w14:textId="77777777" w:rsidR="003B23F1" w:rsidRDefault="00521BBE">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lastRenderedPageBreak/>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proofErr w:type="gramStart"/>
            <w:r>
              <w:rPr>
                <w:rFonts w:ascii="Times New Roman" w:eastAsia="DengXian" w:hAnsi="Times New Roman"/>
              </w:rPr>
              <w:t>It is clear that some</w:t>
            </w:r>
            <w:proofErr w:type="gramEnd"/>
            <w:r>
              <w:rPr>
                <w:rFonts w:ascii="Times New Roman" w:eastAsia="DengXian"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DengXian" w:hAnsi="Times New Roman"/>
              </w:rPr>
              <w:t>solution</w:t>
            </w:r>
            <w:proofErr w:type="gramEnd"/>
            <w:r>
              <w:rPr>
                <w:rFonts w:ascii="Times New Roman" w:eastAsia="DengXian" w:hAnsi="Times New Roman"/>
              </w:rPr>
              <w:t xml:space="preserve">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we don’t agree this proposal.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ased on the indication in Q3, UE may determine whether it’s on-board using the approach observed in online session. But it’s not accuracy enough in this way in case of motionless vehicle or in crowed downtown area. 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 xml:space="preserve">Based slicing/CAG on which UE is camping, UE </w:t>
            </w:r>
            <w:proofErr w:type="gramStart"/>
            <w:r>
              <w:rPr>
                <w:rFonts w:ascii="Times New Roman" w:hAnsi="Times New Roman"/>
              </w:rPr>
              <w:t>is able to</w:t>
            </w:r>
            <w:proofErr w:type="gramEnd"/>
            <w:r>
              <w:rPr>
                <w:rFonts w:ascii="Times New Roman" w:hAnsi="Times New Roman"/>
              </w:rPr>
              <w:t xml:space="preserve">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hint="eastAsia"/>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hint="eastAsia"/>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it is connected to a mobile IAB-cell, while it can either be on-board or in the </w:t>
            </w:r>
            <w:proofErr w:type="spellStart"/>
            <w:r>
              <w:rPr>
                <w:rFonts w:ascii="Times New Roman" w:eastAsia="MS Mincho" w:hAnsi="Times New Roman"/>
              </w:rPr>
              <w:t>neighbourhood</w:t>
            </w:r>
            <w:proofErr w:type="spellEnd"/>
            <w:r>
              <w:rPr>
                <w:rFonts w:ascii="Times New Roman" w:eastAsia="MS Mincho" w:hAnsi="Times New Roman"/>
              </w:rPr>
              <w:t xml:space="preserve">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On the other hand, we don’t see a 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We suggest </w:t>
            </w:r>
            <w:proofErr w:type="gramStart"/>
            <w:r>
              <w:rPr>
                <w:rFonts w:ascii="Times New Roman" w:eastAsia="MS Mincho" w:hAnsi="Times New Roman"/>
              </w:rPr>
              <w:t>to change</w:t>
            </w:r>
            <w:proofErr w:type="gramEnd"/>
            <w:r>
              <w:rPr>
                <w:rFonts w:ascii="Times New Roman" w:eastAsia="MS Mincho" w:hAnsi="Times New Roman"/>
              </w:rPr>
              <w:t xml:space="preserve"> into:</w:t>
            </w:r>
          </w:p>
          <w:p w14:paraId="0F84A342" w14:textId="364E414B" w:rsidR="00CA21D7" w:rsidRPr="002425C9" w:rsidRDefault="00CA21D7" w:rsidP="00CA21D7">
            <w:pPr>
              <w:spacing w:beforeLines="50" w:before="120" w:afterLines="50" w:after="120"/>
              <w:rPr>
                <w:rFonts w:ascii="Times New Roman" w:eastAsia="SimSun" w:hAnsi="Times New Roman" w:hint="eastAsia"/>
                <w:b/>
                <w:bCs/>
              </w:rPr>
            </w:pPr>
            <w:r w:rsidRPr="002425C9">
              <w:rPr>
                <w:rFonts w:ascii="Times New Roman" w:eastAsia="MS Mincho" w:hAnsi="Times New Roman"/>
                <w:b/>
                <w:bCs/>
              </w:rPr>
              <w:t xml:space="preserve">Based on the mobile IAB cell broadcasting info, agreed in Q3, R18 UE </w:t>
            </w:r>
            <w:proofErr w:type="gramStart"/>
            <w:r w:rsidRPr="002425C9">
              <w:rPr>
                <w:rFonts w:ascii="Times New Roman" w:eastAsia="MS Mincho" w:hAnsi="Times New Roman"/>
                <w:b/>
                <w:bCs/>
              </w:rPr>
              <w:t>is able to</w:t>
            </w:r>
            <w:proofErr w:type="gramEnd"/>
            <w:r w:rsidRPr="002425C9">
              <w:rPr>
                <w:rFonts w:ascii="Times New Roman" w:eastAsia="MS Mincho" w:hAnsi="Times New Roman"/>
                <w:b/>
                <w:bCs/>
              </w:rPr>
              <w:t xml:space="preserve"> determine whether it is connected to a mobile IAB cell. FFS if any spec impact or purely UE implementation.</w:t>
            </w:r>
          </w:p>
        </w:tc>
      </w:tr>
    </w:tbl>
    <w:p w14:paraId="6D46ABF8" w14:textId="77777777" w:rsidR="003B23F1" w:rsidRDefault="003B23F1">
      <w:pPr>
        <w:spacing w:beforeLines="50" w:before="120" w:afterLines="50" w:after="120"/>
        <w:rPr>
          <w:rFonts w:ascii="Times New Roman" w:hAnsi="Times New Roman"/>
          <w:b/>
        </w:rPr>
      </w:pPr>
    </w:p>
    <w:p w14:paraId="4B403B95" w14:textId="77777777"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8C9838E" w14:textId="77777777" w:rsidR="003B23F1" w:rsidRDefault="00521BBE">
      <w:pPr>
        <w:overflowPunct w:val="0"/>
        <w:adjustRightInd w:val="0"/>
        <w:spacing w:after="120"/>
        <w:textAlignment w:val="baseline"/>
        <w:rPr>
          <w:rFonts w:ascii="Times New Roman" w:eastAsia="DengXian" w:hAnsi="Times New Roman"/>
          <w:bCs/>
        </w:rPr>
      </w:pPr>
      <w:r>
        <w:rPr>
          <w:rFonts w:ascii="Times New Roman" w:eastAsia="DengXian" w:hAnsi="Times New Roman"/>
          <w:bCs/>
        </w:rPr>
        <w:t>TBC</w:t>
      </w: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lastRenderedPageBreak/>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22760D28" w14:textId="77777777" w:rsidR="003B23F1" w:rsidRDefault="00521BBE">
      <w:pPr>
        <w:pStyle w:val="CommentText"/>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60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60D28" w16cid:durableId="26F7B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272A" w14:textId="77777777" w:rsidR="00521BBE" w:rsidRDefault="00521BBE">
      <w:r>
        <w:separator/>
      </w:r>
    </w:p>
  </w:endnote>
  <w:endnote w:type="continuationSeparator" w:id="0">
    <w:p w14:paraId="11DB65AC" w14:textId="77777777" w:rsidR="00521BBE" w:rsidRDefault="0052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001"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77777777" w:rsidR="003B23F1" w:rsidRDefault="00521BB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16FE" w14:textId="77777777" w:rsidR="00521BBE" w:rsidRDefault="00521BBE">
      <w:r>
        <w:separator/>
      </w:r>
    </w:p>
  </w:footnote>
  <w:footnote w:type="continuationSeparator" w:id="0">
    <w:p w14:paraId="48943E8D" w14:textId="77777777" w:rsidR="00521BBE" w:rsidRDefault="0052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3B23F1" w:rsidRDefault="00521BBE">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0"/>
  </w:num>
  <w:num w:numId="4">
    <w:abstractNumId w:val="17"/>
  </w:num>
  <w:num w:numId="5">
    <w:abstractNumId w:val="5"/>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9"/>
  </w:num>
  <w:num w:numId="17">
    <w:abstractNumId w:val="16"/>
  </w:num>
  <w:num w:numId="18">
    <w:abstractNumId w:val="1"/>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250"/>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5962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6250"/>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6923093-CF83-B848-9DD5-FBAEC0561F54}">
  <ds:schemaRefs>
    <ds:schemaRef ds:uri="http://schemas.openxmlformats.org/officeDocument/2006/bibliography"/>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7033</Words>
  <Characters>36003</Characters>
  <Application>Microsoft Office Word</Application>
  <DocSecurity>0</DocSecurity>
  <Lines>300</Lines>
  <Paragraphs>85</Paragraphs>
  <ScaleCrop>false</ScaleCrop>
  <Company>Huawei Technologies Co.,Ltd.</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Intel-Ziyi1</cp:lastModifiedBy>
  <cp:revision>13</cp:revision>
  <cp:lastPrinted>2021-09-29T05:28:00Z</cp:lastPrinted>
  <dcterms:created xsi:type="dcterms:W3CDTF">2022-10-17T01:32:00Z</dcterms:created>
  <dcterms:modified xsi:type="dcterms:W3CDTF">2022-10-17T07:23:00Z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