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Footer"/>
        <w:ind w:rightChars="-212" w:right="-509"/>
        <w:jc w:val="both"/>
        <w:rPr>
          <w:rFonts w:ascii="Times New Roman" w:eastAsia="SimSun"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[AT119bis-e][011][NR17] Misc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Heading1"/>
        <w:numPr>
          <w:ilvl w:val="0"/>
          <w:numId w:val="10"/>
        </w:numPr>
        <w:rPr>
          <w:rFonts w:eastAsia="SimSun" w:cs="Arial"/>
          <w:lang w:eastAsia="zh-CN"/>
        </w:rPr>
      </w:pPr>
      <w:r>
        <w:rPr>
          <w:rFonts w:eastAsia="SimSun"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[AT119bis-e][011][NR17] Misc (Qualcomm)</w:t>
      </w:r>
    </w:p>
    <w:p w14:paraId="30686974" w14:textId="77777777" w:rsidR="00C14A04" w:rsidRDefault="00F20F90">
      <w:pPr>
        <w:pStyle w:val="EmailDiscussion2"/>
        <w:ind w:leftChars="229" w:left="913"/>
      </w:pPr>
      <w:r>
        <w:tab/>
        <w:t xml:space="preserve">Scope: Treat R2-2209620, R2-2209798, Determine agreeable parts, Based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Heading1"/>
        <w:numPr>
          <w:ilvl w:val="0"/>
          <w:numId w:val="10"/>
        </w:numPr>
        <w:rPr>
          <w:rFonts w:eastAsia="SimSun" w:cs="Arial"/>
          <w:lang w:eastAsia="zh-CN"/>
        </w:rPr>
      </w:pPr>
      <w:r>
        <w:rPr>
          <w:rFonts w:eastAsia="SimSun"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PoC</w:t>
            </w:r>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Masato Kitazoe</w:t>
            </w:r>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r>
              <w:rPr>
                <w:rFonts w:ascii="Arial" w:hAnsi="Arial" w:cs="Arial"/>
                <w:sz w:val="20"/>
                <w:szCs w:val="20"/>
              </w:rPr>
              <w:t>Fangli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552" w:type="dxa"/>
          </w:tcPr>
          <w:p w14:paraId="7D59FC6E"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Mengjie Zhang</w:t>
            </w:r>
          </w:p>
        </w:tc>
        <w:tc>
          <w:tcPr>
            <w:tcW w:w="4249" w:type="dxa"/>
          </w:tcPr>
          <w:p w14:paraId="00360180"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2552" w:type="dxa"/>
          </w:tcPr>
          <w:p w14:paraId="773F348A"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X</w:t>
            </w:r>
            <w:r>
              <w:rPr>
                <w:rFonts w:ascii="Arial" w:eastAsia="DengXian" w:hAnsi="Arial" w:cs="Arial"/>
                <w:sz w:val="20"/>
                <w:szCs w:val="20"/>
                <w:lang w:eastAsia="zh-CN"/>
              </w:rPr>
              <w:t>ubin</w:t>
            </w:r>
          </w:p>
        </w:tc>
        <w:tc>
          <w:tcPr>
            <w:tcW w:w="4249" w:type="dxa"/>
          </w:tcPr>
          <w:p w14:paraId="4ECF86CC" w14:textId="77777777" w:rsidR="007A3AA9" w:rsidRPr="00047136" w:rsidRDefault="007A3AA9" w:rsidP="007A3AA9">
            <w:pPr>
              <w:rPr>
                <w:rFonts w:ascii="Arial" w:eastAsia="DengXian" w:hAnsi="Arial" w:cs="Arial"/>
                <w:sz w:val="20"/>
                <w:szCs w:val="20"/>
                <w:lang w:eastAsia="zh-CN"/>
              </w:rPr>
            </w:pPr>
            <w:r>
              <w:rPr>
                <w:rFonts w:ascii="Arial" w:eastAsia="DengXian"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2552" w:type="dxa"/>
          </w:tcPr>
          <w:p w14:paraId="76560303"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 Henttonen</w:t>
            </w:r>
          </w:p>
        </w:tc>
        <w:tc>
          <w:tcPr>
            <w:tcW w:w="4249" w:type="dxa"/>
          </w:tcPr>
          <w:p w14:paraId="5CBE6F9E"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tero.henttonen@nokia.com</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B66941">
            <w:pPr>
              <w:rPr>
                <w:rFonts w:ascii="Arial" w:hAnsi="Arial" w:cs="Arial"/>
                <w:color w:val="0000FF"/>
                <w:sz w:val="20"/>
                <w:szCs w:val="20"/>
                <w:u w:val="single"/>
              </w:rPr>
            </w:pPr>
            <w:hyperlink r:id="rId9" w:history="1">
              <w:r w:rsidR="00F20F90">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77" w:hangingChars="620" w:hanging="1303"/>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lastRenderedPageBreak/>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536"/>
        <w:gridCol w:w="1383"/>
        <w:gridCol w:w="5712"/>
      </w:tblGrid>
      <w:tr w:rsidR="00C14A04" w14:paraId="6A9557BE" w14:textId="77777777">
        <w:tc>
          <w:tcPr>
            <w:tcW w:w="2689"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tc>
          <w:tcPr>
            <w:tcW w:w="2689"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tc>
          <w:tcPr>
            <w:tcW w:w="2689" w:type="dxa"/>
          </w:tcPr>
          <w:p w14:paraId="37B416D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tc>
          <w:tcPr>
            <w:tcW w:w="2689"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tc>
          <w:tcPr>
            <w:tcW w:w="2689" w:type="dxa"/>
          </w:tcPr>
          <w:p w14:paraId="2C2B6801"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841BC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tc>
          <w:tcPr>
            <w:tcW w:w="2689"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992" w:type="dxa"/>
          </w:tcPr>
          <w:p w14:paraId="3AEE3AD1"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Y</w:t>
            </w:r>
            <w:r>
              <w:rPr>
                <w:rFonts w:ascii="Arial" w:eastAsia="DengXian" w:hAnsi="Arial" w:cs="Arial"/>
                <w:sz w:val="20"/>
                <w:szCs w:val="20"/>
                <w:lang w:eastAsia="zh-CN"/>
              </w:rPr>
              <w:t>es</w:t>
            </w:r>
          </w:p>
        </w:tc>
        <w:tc>
          <w:tcPr>
            <w:tcW w:w="5950"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E05C19">
        <w:tc>
          <w:tcPr>
            <w:tcW w:w="2689" w:type="dxa"/>
          </w:tcPr>
          <w:p w14:paraId="1D3469A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992" w:type="dxa"/>
          </w:tcPr>
          <w:p w14:paraId="7EC58DC5" w14:textId="6F4A7E49"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Yes (with</w:t>
            </w:r>
            <w:r w:rsidR="00E650F0">
              <w:rPr>
                <w:rFonts w:ascii="Arial" w:eastAsia="SimSun" w:hAnsi="Arial" w:cs="Arial"/>
                <w:sz w:val="20"/>
                <w:szCs w:val="20"/>
                <w:lang w:eastAsia="zh-CN"/>
              </w:rPr>
              <w:t xml:space="preserve"> clarifications</w:t>
            </w:r>
            <w:r>
              <w:rPr>
                <w:rFonts w:ascii="Arial" w:eastAsia="SimSun" w:hAnsi="Arial" w:cs="Arial"/>
                <w:sz w:val="20"/>
                <w:szCs w:val="20"/>
                <w:lang w:eastAsia="zh-CN"/>
              </w:rPr>
              <w:t>)</w:t>
            </w:r>
          </w:p>
        </w:tc>
        <w:tc>
          <w:tcPr>
            <w:tcW w:w="5950"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RateMatchPatternLTE-CRS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w:t>
            </w:r>
            <w:r>
              <w:rPr>
                <w:rFonts w:ascii="Arial" w:eastAsia="Malgun Gothic" w:hAnsi="Arial" w:cs="Arial"/>
                <w:sz w:val="20"/>
                <w:szCs w:val="20"/>
                <w:lang w:eastAsia="ko-KR"/>
              </w:rPr>
              <w:lastRenderedPageBreak/>
              <w:t>LTE CRS pattern could make it easier, i.e.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r w:rsidRPr="004205DA">
              <w:rPr>
                <w:rFonts w:ascii="Arial" w:eastAsia="Batang" w:hAnsi="Arial"/>
                <w:i/>
                <w:iCs/>
                <w:sz w:val="18"/>
              </w:rPr>
              <w:t>RateMatchPatternLTE-CRS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could also tag this to the previous line which mentions the MBSFN configurations to explain the whole MBSFN case in one line, i.e.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r w:rsidRPr="004205DA">
              <w:rPr>
                <w:rFonts w:ascii="Arial" w:eastAsia="Batang" w:hAnsi="Arial"/>
                <w:i/>
                <w:iCs/>
                <w:sz w:val="18"/>
              </w:rPr>
              <w:t>RateMatchPatternLTE-CRS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r w:rsidRPr="006747EE">
              <w:rPr>
                <w:rFonts w:ascii="Arial" w:eastAsia="Batang" w:hAnsi="Arial"/>
                <w:i/>
                <w:iCs/>
                <w:sz w:val="18"/>
                <w:highlight w:val="yellow"/>
              </w:rPr>
              <w:t>RateMatchPatternLTE-CRS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B66941">
            <w:pPr>
              <w:rPr>
                <w:rFonts w:ascii="Arial" w:hAnsi="Arial" w:cs="Arial"/>
                <w:color w:val="0000FF"/>
                <w:sz w:val="20"/>
                <w:szCs w:val="20"/>
                <w:u w:val="single"/>
              </w:rPr>
            </w:pPr>
            <w:hyperlink r:id="rId10" w:history="1">
              <w:r w:rsidR="00F20F90">
                <w:rPr>
                  <w:rStyle w:val="Hyperlink"/>
                  <w:rFonts w:ascii="Arial" w:hAnsi="Arial" w:cs="Arial"/>
                  <w:sz w:val="20"/>
                  <w:szCs w:val="20"/>
                </w:rPr>
                <w:t>R2-220</w:t>
              </w:r>
              <w:r w:rsidR="00F20F90">
                <w:rPr>
                  <w:rStyle w:val="Hyperlink"/>
                  <w:rFonts w:ascii="Arial" w:hAnsi="Arial" w:cs="Arial"/>
                  <w:sz w:val="20"/>
                  <w:szCs w:val="20"/>
                </w:rPr>
                <w:t>9</w:t>
              </w:r>
              <w:r w:rsidR="00F20F90">
                <w:rPr>
                  <w:rStyle w:val="Hyperlink"/>
                  <w:rFonts w:ascii="Arial" w:hAnsi="Arial" w:cs="Arial"/>
                  <w:sz w:val="20"/>
                  <w:szCs w:val="20"/>
                </w:rPr>
                <w:t>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77" w:hangingChars="580" w:hanging="1277"/>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B74787B"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992" w:type="dxa"/>
          </w:tcPr>
          <w:p w14:paraId="7EB11567" w14:textId="77777777" w:rsidR="007A3AA9" w:rsidRPr="004F39E4" w:rsidRDefault="007A3AA9" w:rsidP="007A3AA9">
            <w:pPr>
              <w:rPr>
                <w:rFonts w:ascii="Arial" w:eastAsia="DengXian" w:hAnsi="Arial" w:cs="Arial"/>
                <w:sz w:val="20"/>
                <w:szCs w:val="20"/>
                <w:lang w:eastAsia="zh-CN"/>
              </w:rPr>
            </w:pPr>
            <w:r>
              <w:rPr>
                <w:rFonts w:ascii="Arial" w:eastAsia="DengXian" w:hAnsi="Arial" w:cs="Arial"/>
                <w:sz w:val="20"/>
                <w:szCs w:val="20"/>
                <w:lang w:eastAsia="zh-CN"/>
              </w:rPr>
              <w:t>Ok for the 1</w:t>
            </w:r>
            <w:r w:rsidRPr="004F39E4">
              <w:rPr>
                <w:rFonts w:ascii="Arial" w:eastAsia="DengXian" w:hAnsi="Arial" w:cs="Arial"/>
                <w:sz w:val="20"/>
                <w:szCs w:val="20"/>
                <w:vertAlign w:val="superscript"/>
                <w:lang w:eastAsia="zh-CN"/>
              </w:rPr>
              <w:t>st</w:t>
            </w:r>
            <w:r>
              <w:rPr>
                <w:rFonts w:ascii="Arial" w:eastAsia="DengXian" w:hAnsi="Arial" w:cs="Arial"/>
                <w:sz w:val="20"/>
                <w:szCs w:val="20"/>
                <w:lang w:eastAsia="zh-CN"/>
              </w:rPr>
              <w:t xml:space="preserve"> change</w:t>
            </w:r>
          </w:p>
        </w:tc>
        <w:tc>
          <w:tcPr>
            <w:tcW w:w="5950" w:type="dxa"/>
          </w:tcPr>
          <w:p w14:paraId="6A8F0A79" w14:textId="77777777" w:rsidR="007A3AA9" w:rsidRPr="007A3AA9" w:rsidRDefault="007A3AA9" w:rsidP="007A3AA9">
            <w:pPr>
              <w:rPr>
                <w:rFonts w:ascii="Arial" w:eastAsia="DengXian" w:hAnsi="Arial" w:cs="Arial"/>
                <w:sz w:val="20"/>
                <w:szCs w:val="20"/>
                <w:lang w:eastAsia="zh-CN"/>
              </w:rPr>
            </w:pPr>
            <w:r w:rsidRPr="007A3AA9">
              <w:rPr>
                <w:rFonts w:ascii="Arial" w:eastAsia="DengXian" w:hAnsi="Arial" w:cs="Arial" w:hint="eastAsia"/>
                <w:sz w:val="20"/>
                <w:szCs w:val="20"/>
                <w:lang w:eastAsia="zh-CN"/>
              </w:rPr>
              <w:t>F</w:t>
            </w:r>
            <w:r w:rsidRPr="007A3AA9">
              <w:rPr>
                <w:rFonts w:ascii="Arial" w:eastAsia="DengXian" w:hAnsi="Arial" w:cs="Arial"/>
                <w:sz w:val="20"/>
                <w:szCs w:val="20"/>
                <w:lang w:eastAsia="zh-CN"/>
              </w:rPr>
              <w:t>or 2nd and 3rd changes, we understand that the original sentence “this parameter only applies to Scell (or SpCell)” means this parameter can be optional if included in Scell (or S</w:t>
            </w:r>
            <w:r w:rsidRPr="007A3AA9">
              <w:rPr>
                <w:rFonts w:ascii="Arial" w:eastAsia="DengXian" w:hAnsi="Arial" w:cs="Arial" w:hint="eastAsia"/>
                <w:sz w:val="20"/>
                <w:szCs w:val="20"/>
                <w:lang w:eastAsia="zh-CN"/>
              </w:rPr>
              <w:t>p</w:t>
            </w:r>
            <w:r w:rsidRPr="007A3AA9">
              <w:rPr>
                <w:rFonts w:ascii="Arial" w:eastAsia="DengXian" w:hAnsi="Arial" w:cs="Arial"/>
                <w:sz w:val="20"/>
                <w:szCs w:val="20"/>
                <w:lang w:eastAsia="zh-CN"/>
              </w:rPr>
              <w:t>Cell) configurations, otherwise it should be absent. So the current spec should be clear.</w:t>
            </w:r>
          </w:p>
          <w:p w14:paraId="0C91C01E" w14:textId="77777777" w:rsidR="007A3AA9" w:rsidRDefault="007A3AA9" w:rsidP="007A3AA9">
            <w:pPr>
              <w:rPr>
                <w:rFonts w:ascii="Arial" w:eastAsia="Malgun Gothic" w:hAnsi="Arial" w:cs="Arial"/>
                <w:sz w:val="20"/>
                <w:szCs w:val="20"/>
                <w:lang w:eastAsia="ko-KR"/>
              </w:rPr>
            </w:pPr>
          </w:p>
          <w:p w14:paraId="4E83F18D" w14:textId="77777777" w:rsidR="007A3AA9"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I</w:t>
            </w:r>
            <w:r>
              <w:rPr>
                <w:rFonts w:ascii="Arial" w:eastAsia="DengXian" w:hAnsi="Arial" w:cs="Arial"/>
                <w:sz w:val="20"/>
                <w:szCs w:val="20"/>
                <w:lang w:eastAsia="zh-CN"/>
              </w:rPr>
              <w:t>n addition, we have some further comments on the cover page:</w:t>
            </w:r>
          </w:p>
          <w:p w14:paraId="36D67FF8" w14:textId="77777777" w:rsidR="007A3AA9"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The template version should be v12.2</w:t>
            </w:r>
          </w:p>
          <w:p w14:paraId="5DF82D73" w14:textId="77777777" w:rsidR="007A3AA9" w:rsidRPr="004F39E4"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Clauses affected should be 6.3.2</w:t>
            </w:r>
          </w:p>
          <w:p w14:paraId="14F4853F" w14:textId="77777777" w:rsidR="007A3AA9" w:rsidRPr="00B94A11" w:rsidRDefault="007A3AA9" w:rsidP="007A3AA9">
            <w:pPr>
              <w:rPr>
                <w:rFonts w:ascii="Arial" w:eastAsia="Malgun Gothic" w:hAnsi="Arial" w:cs="Arial"/>
                <w:sz w:val="20"/>
                <w:szCs w:val="20"/>
                <w:lang w:eastAsia="ko-KR"/>
              </w:rPr>
            </w:pPr>
          </w:p>
        </w:tc>
      </w:tr>
      <w:tr w:rsidR="00E05C19" w14:paraId="04A95283" w14:textId="77777777" w:rsidTr="00C87B60">
        <w:tc>
          <w:tcPr>
            <w:tcW w:w="2689" w:type="dxa"/>
          </w:tcPr>
          <w:p w14:paraId="67ABBD2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992" w:type="dxa"/>
          </w:tcPr>
          <w:p w14:paraId="42843192" w14:textId="6F2F5348"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w:t>
            </w:r>
            <w:r>
              <w:rPr>
                <w:rFonts w:ascii="Arial" w:eastAsia="Malgun Gothic" w:hAnsi="Arial" w:cs="Arial"/>
                <w:sz w:val="20"/>
                <w:szCs w:val="20"/>
                <w:lang w:eastAsia="ko-KR"/>
              </w:rPr>
              <w:t xml:space="preserve">how </w:t>
            </w:r>
            <w:r>
              <w:rPr>
                <w:rFonts w:ascii="Arial" w:eastAsia="Malgun Gothic" w:hAnsi="Arial" w:cs="Arial"/>
                <w:sz w:val="20"/>
                <w:szCs w:val="20"/>
                <w:lang w:eastAsia="ko-KR"/>
              </w:rPr>
              <w:t xml:space="preserve">the existing text </w:t>
            </w:r>
            <w:r>
              <w:rPr>
                <w:rFonts w:ascii="Arial" w:eastAsia="Malgun Gothic" w:hAnsi="Arial" w:cs="Arial"/>
                <w:sz w:val="20"/>
                <w:szCs w:val="20"/>
                <w:lang w:eastAsia="ko-KR"/>
              </w:rPr>
              <w:t>can be read incorrectly: The requirements are per carrier, and the text indicates they apply for the SpCell</w:t>
            </w:r>
            <w:r>
              <w:rPr>
                <w:rFonts w:ascii="Arial" w:eastAsia="Malgun Gothic" w:hAnsi="Arial" w:cs="Arial"/>
                <w:sz w:val="20"/>
                <w:szCs w:val="20"/>
                <w:lang w:eastAsia="ko-KR"/>
              </w:rPr>
              <w:t>, and we agree that should be for the SpCell carrier, not only the SpCell</w:t>
            </w:r>
            <w:r>
              <w:rPr>
                <w:rFonts w:ascii="Arial" w:eastAsia="Malgun Gothic" w:hAnsi="Arial" w:cs="Arial"/>
                <w:sz w:val="20"/>
                <w:szCs w:val="20"/>
                <w:lang w:eastAsia="ko-KR"/>
              </w:rPr>
              <w:t xml:space="preserve">. </w:t>
            </w:r>
          </w:p>
          <w:p w14:paraId="0153BDE9" w14:textId="132311FD"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lastRenderedPageBreak/>
              <w:t>We assume that the intent is that some UEs might think the requirements only apply to SpCell but not all the other cells in the carrier – is that correct understanding?</w:t>
            </w:r>
          </w:p>
        </w:tc>
      </w:tr>
      <w:tr w:rsidR="00E05C19" w14:paraId="52BABC19" w14:textId="77777777">
        <w:tc>
          <w:tcPr>
            <w:tcW w:w="2689" w:type="dxa"/>
          </w:tcPr>
          <w:p w14:paraId="7CFD50BE" w14:textId="77777777" w:rsidR="00E05C19" w:rsidRDefault="00E05C19" w:rsidP="007A3AA9">
            <w:pPr>
              <w:rPr>
                <w:rFonts w:ascii="Arial" w:eastAsia="DengXian" w:hAnsi="Arial" w:cs="Arial" w:hint="eastAsia"/>
                <w:sz w:val="20"/>
                <w:szCs w:val="20"/>
                <w:lang w:eastAsia="zh-CN"/>
              </w:rPr>
            </w:pPr>
          </w:p>
        </w:tc>
        <w:tc>
          <w:tcPr>
            <w:tcW w:w="992" w:type="dxa"/>
          </w:tcPr>
          <w:p w14:paraId="1D0F8F86" w14:textId="77777777" w:rsidR="00E05C19" w:rsidRDefault="00E05C19" w:rsidP="007A3AA9">
            <w:pPr>
              <w:rPr>
                <w:rFonts w:ascii="Arial" w:eastAsia="DengXian" w:hAnsi="Arial" w:cs="Arial"/>
                <w:sz w:val="20"/>
                <w:szCs w:val="20"/>
                <w:lang w:eastAsia="zh-CN"/>
              </w:rPr>
            </w:pPr>
          </w:p>
        </w:tc>
        <w:tc>
          <w:tcPr>
            <w:tcW w:w="5950" w:type="dxa"/>
          </w:tcPr>
          <w:p w14:paraId="7901BCF3" w14:textId="77777777" w:rsidR="00E05C19" w:rsidRPr="007A3AA9" w:rsidRDefault="00E05C19" w:rsidP="007A3AA9">
            <w:pPr>
              <w:rPr>
                <w:rFonts w:ascii="Arial" w:eastAsia="DengXian" w:hAnsi="Arial" w:cs="Arial" w:hint="eastAsia"/>
                <w:sz w:val="20"/>
                <w:szCs w:val="20"/>
                <w:lang w:eastAsia="zh-CN"/>
              </w:rPr>
            </w:pPr>
          </w:p>
        </w:tc>
      </w:tr>
    </w:tbl>
    <w:p w14:paraId="745CF7E8" w14:textId="77777777" w:rsidR="00C14A04" w:rsidRDefault="00F20F90">
      <w:pPr>
        <w:pStyle w:val="Heading1"/>
        <w:numPr>
          <w:ilvl w:val="0"/>
          <w:numId w:val="10"/>
        </w:numPr>
        <w:rPr>
          <w:rFonts w:eastAsia="SimSun" w:cs="Arial"/>
          <w:lang w:eastAsia="zh-CN"/>
        </w:rPr>
      </w:pPr>
      <w:r>
        <w:rPr>
          <w:rFonts w:eastAsia="SimSun" w:cs="Arial"/>
          <w:lang w:eastAsia="zh-CN"/>
        </w:rPr>
        <w:t>Conclusion</w:t>
      </w:r>
    </w:p>
    <w:p w14:paraId="2D9F71EC" w14:textId="77777777" w:rsidR="00C14A04" w:rsidRDefault="00C14A04">
      <w:pPr>
        <w:rPr>
          <w:rFonts w:eastAsia="DengXian"/>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0815" w14:textId="77777777" w:rsidR="00B66941" w:rsidRDefault="00B66941" w:rsidP="007A3AA9">
      <w:r>
        <w:separator/>
      </w:r>
    </w:p>
  </w:endnote>
  <w:endnote w:type="continuationSeparator" w:id="0">
    <w:p w14:paraId="1EAD1044" w14:textId="77777777" w:rsidR="00B66941" w:rsidRDefault="00B66941"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HGGothicE"/>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E26E" w14:textId="77777777" w:rsidR="00B66941" w:rsidRDefault="00B66941" w:rsidP="007A3AA9">
      <w:r>
        <w:separator/>
      </w:r>
    </w:p>
  </w:footnote>
  <w:footnote w:type="continuationSeparator" w:id="0">
    <w:p w14:paraId="6ECB79A6" w14:textId="77777777" w:rsidR="00B66941" w:rsidRDefault="00B66941"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D54DB"/>
  <w15:docId w15:val="{CE6E9F40-17FF-4FC2-B97F-642F294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PGothic" w:eastAsia="MS PGothic" w:hAnsi="MS PGothic" w:cs="MS PGothic"/>
      <w:sz w:val="24"/>
      <w:szCs w:val="24"/>
      <w:lang w:eastAsia="ja-JP"/>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spacing w:after="180"/>
      <w:ind w:left="704" w:hanging="420"/>
    </w:pPr>
    <w:rPr>
      <w:rFonts w:ascii="Times New Roman" w:eastAsia="SimSun" w:hAnsi="Times New Roman" w:cs="Times New Roman"/>
      <w:sz w:val="20"/>
      <w:szCs w:val="20"/>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spacing w:after="180"/>
      <w:ind w:left="1543"/>
    </w:pPr>
    <w:rPr>
      <w:rFonts w:ascii="Times New Roman" w:eastAsia="SimSun" w:hAnsi="Times New Roman" w:cs="Times New Roman"/>
      <w:sz w:val="20"/>
      <w:szCs w:val="20"/>
      <w:lang w:val="en-GB" w:eastAsia="en-US"/>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spacing w:after="180"/>
    </w:pPr>
    <w:rPr>
      <w:rFonts w:ascii="Tahoma" w:eastAsia="SimSun" w:hAnsi="Tahoma" w:cs="Tahoma"/>
      <w:sz w:val="20"/>
      <w:szCs w:val="20"/>
      <w:lang w:val="en-GB" w:eastAsia="en-US"/>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ascii="Times New Roman" w:eastAsia="MS Mincho" w:hAnsi="Times New Roman" w:cs="Times New Roman"/>
      <w:sz w:val="20"/>
      <w:lang w:eastAsia="en-US"/>
    </w:rPr>
  </w:style>
  <w:style w:type="paragraph" w:styleId="PlainText">
    <w:name w:val="Plain Text"/>
    <w:basedOn w:val="Normal"/>
    <w:link w:val="PlainTextChar"/>
    <w:uiPriority w:val="99"/>
    <w:unhideWhenUsed/>
    <w:qFormat/>
    <w:rPr>
      <w:rFonts w:ascii="Calibri" w:eastAsia="SimSun" w:hAnsi="Calibri" w:cs="Times New Roman"/>
      <w:sz w:val="22"/>
      <w:szCs w:val="21"/>
      <w:lang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lang w:val="sv-SE" w:eastAsia="sv-SE"/>
    </w:rPr>
  </w:style>
  <w:style w:type="paragraph" w:styleId="Index1">
    <w:name w:val="index 1"/>
    <w:basedOn w:val="Normal"/>
    <w:next w:val="Normal"/>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spacing w:after="180"/>
      <w:ind w:left="704" w:hanging="420"/>
    </w:pPr>
    <w:rPr>
      <w:rFonts w:ascii="Times New Roman" w:eastAsia="SimSun" w:hAnsi="Times New Roman" w:cs="Times New Roman"/>
      <w:sz w:val="20"/>
      <w:szCs w:val="20"/>
      <w:lang w:val="en-GB"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sz w:val="20"/>
      <w:szCs w:val="20"/>
      <w:lang w:val="en-GB" w:eastAsia="en-US"/>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jc w:val="both"/>
    </w:pPr>
    <w:rPr>
      <w:rFonts w:ascii="Arial" w:eastAsia="SimSun" w:hAnsi="Arial" w:cs="Arial"/>
      <w:kern w:val="2"/>
      <w:sz w:val="21"/>
      <w:lang w:eastAsia="zh-CN"/>
    </w:rPr>
  </w:style>
  <w:style w:type="paragraph" w:customStyle="1" w:styleId="MTDisplayEquation">
    <w:name w:val="MTDisplayEquation"/>
    <w:basedOn w:val="Normal"/>
    <w:qFormat/>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sz w:val="20"/>
      <w:szCs w:val="20"/>
      <w:lang w:eastAsia="zh-CN"/>
    </w:rPr>
  </w:style>
  <w:style w:type="paragraph" w:customStyle="1" w:styleId="memoheader">
    <w:name w:val="memo header"/>
    <w:basedOn w:val="Normal"/>
    <w:qFormat/>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spacing w:after="180"/>
    </w:pPr>
    <w:rPr>
      <w:rFonts w:ascii="Times New Roman" w:eastAsia="SimSun" w:hAnsi="Times New Roman" w:cs="Times New Roman"/>
      <w:sz w:val="20"/>
      <w:szCs w:val="20"/>
      <w:lang w:val="en-GB" w:eastAsia="en-US"/>
    </w:rPr>
  </w:style>
  <w:style w:type="paragraph" w:customStyle="1" w:styleId="a4">
    <w:name w:val="插图题注"/>
    <w:basedOn w:val="Normal"/>
    <w:qFormat/>
    <w:pPr>
      <w:numPr>
        <w:ilvl w:val="7"/>
        <w:numId w:val="1"/>
      </w:numPr>
      <w:spacing w:after="180"/>
    </w:pPr>
    <w:rPr>
      <w:rFonts w:ascii="Times New Roman" w:eastAsia="SimSun" w:hAnsi="Times New Roman" w:cs="Times New Roman"/>
      <w:sz w:val="20"/>
      <w:szCs w:val="20"/>
      <w:lang w:val="en-GB" w:eastAsia="en-US"/>
    </w:rPr>
  </w:style>
  <w:style w:type="paragraph" w:customStyle="1" w:styleId="a">
    <w:name w:val="表格题注"/>
    <w:basedOn w:val="Normal"/>
    <w:pPr>
      <w:numPr>
        <w:ilvl w:val="8"/>
        <w:numId w:val="1"/>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pPr>
      <w:spacing w:after="180"/>
    </w:pPr>
    <w:rPr>
      <w:rFonts w:ascii="Times New Roman" w:eastAsia="SimSun" w:hAnsi="Times New Roman" w:cs="Times New Roman"/>
      <w:sz w:val="20"/>
      <w:szCs w:val="20"/>
      <w:lang w:val="en-GB" w:eastAsia="en-US"/>
    </w:rPr>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pPr>
      <w:spacing w:after="180"/>
    </w:pPr>
    <w:rPr>
      <w:rFonts w:ascii="Times New Roman" w:eastAsia="SimSun"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pPr>
      <w:spacing w:after="160" w:line="256" w:lineRule="auto"/>
      <w:ind w:left="720"/>
      <w:contextualSpacing/>
    </w:pPr>
    <w:rPr>
      <w:rFonts w:ascii="Malgun Gothic" w:eastAsia="MS Mincho"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pPr>
      <w:numPr>
        <w:numId w:val="9"/>
      </w:numPr>
      <w:spacing w:before="60"/>
    </w:pPr>
    <w:rPr>
      <w:rFonts w:ascii="Arial" w:eastAsia="MS Mincho" w:hAnsi="Arial" w:cs="Times New Roman"/>
      <w:b/>
      <w:sz w:val="20"/>
      <w:lang w:val="en-GB"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6A6668-90A2-4326-83EF-AA86C4A457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900</Words>
  <Characters>5134</Characters>
  <Application>Microsoft Office Word</Application>
  <DocSecurity>0</DocSecurity>
  <Lines>42</Lines>
  <Paragraphs>12</Paragraphs>
  <ScaleCrop>false</ScaleCrop>
  <Company>Huawei Technologies Co.,Ltd.</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Henttonen, Tero (Nokia - FI/Espoo)</cp:lastModifiedBy>
  <cp:revision>6</cp:revision>
  <cp:lastPrinted>2009-04-22T00:01:00Z</cp:lastPrinted>
  <dcterms:created xsi:type="dcterms:W3CDTF">2022-10-13T08:35:00Z</dcterms:created>
  <dcterms:modified xsi:type="dcterms:W3CDTF">2022-10-13T08:45:00Z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(2)7DcAvYRh5WwKBntPDr4sF/fgJrmgKjfZFUm+/oroyWwL2TcCpE5gFjHwIkZPE/njTnbsjV7+
XSIJ2LU5HlRSs/EqXoGmJTVhMKfCMV8bGdl3X8cSvqDW4oo5NpIulE/Ou3F7gvBGHALK9dzB
FneAGaWrt0otxZ3JJNBbaQXB/rl9dYKbH2HhoaXH4gvJweV8+1CphQAIsYZ+PY4NnMldcIK3
7yK8U07kJ8QfLUu/X7</vt:lpwstr>
  </property>
  <property fmtid="{D5CDD505-2E9C-101B-9397-08002B2CF9AE}" pid="12" name="_2015_ms_pID_7253431">
    <vt:lpwstr>76Nz99ZwaQRMoA6M866yzSIFNQi+USP0sNrWPVrFG5kE1DtEFpDOoZ
sYv991guvlMSkX8d93fcH/e3g7n7HW5YXFsIMfk90k/7EXAiWq49WDBsbzE5MZ9dWVPzkMYF
mw2E3cp8kcZml1FZvcMIR+jQxIKzAqWvonvKaFbfCBucWzhqtw3Z0oBXrAObE68Muy68f2rq
6DvDZOoYP+UQeY/u</vt:lpwstr>
  </property>
</Properties>
</file>