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00</w:t>
      </w:r>
      <w:r w:rsidR="00961740">
        <w:rPr>
          <w:rFonts w:ascii="Arial" w:hAnsi="Arial" w:cs="Arial"/>
          <w:b/>
          <w:sz w:val="22"/>
        </w:rPr>
        <w:t>9</w:t>
      </w:r>
      <w:r w:rsidR="00B371F0" w:rsidRPr="00B371F0">
        <w:rPr>
          <w:rFonts w:ascii="Arial" w:hAnsi="Arial" w:cs="Arial"/>
          <w:b/>
          <w:sz w:val="22"/>
        </w:rPr>
        <w:t>][</w:t>
      </w:r>
      <w:proofErr w:type="gramEnd"/>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w:t>
      </w:r>
      <w:proofErr w:type="gramStart"/>
      <w:r>
        <w:t>009][</w:t>
      </w:r>
      <w:proofErr w:type="gramEnd"/>
      <w:r>
        <w:t>NR17] DC Location Reporting (Apple)</w:t>
      </w:r>
    </w:p>
    <w:p w14:paraId="0802D018" w14:textId="77777777" w:rsidR="009C0D53" w:rsidRDefault="009C0D53" w:rsidP="009C0D53">
      <w:pPr>
        <w:pStyle w:val="EmailDiscussion2"/>
      </w:pPr>
      <w:r>
        <w:tab/>
        <w:t xml:space="preserve">Scope: Treat R2-2209334, R2-2210693, R2-2210694, R2-2210240, R2-2210778. Determine agreeable parts, </w:t>
      </w:r>
      <w:proofErr w:type="gramStart"/>
      <w:r>
        <w:t>Based</w:t>
      </w:r>
      <w:proofErr w:type="gramEnd"/>
      <w:r>
        <w:t xml:space="preserve">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6885A5BD" w:rsidR="00117C42" w:rsidRPr="00117C42" w:rsidRDefault="00117C42" w:rsidP="00117C42">
            <w:pPr>
              <w:rPr>
                <w:rFonts w:eastAsiaTheme="minorEastAsia"/>
                <w:lang w:eastAsia="ja-JP"/>
              </w:rPr>
            </w:pPr>
          </w:p>
        </w:tc>
        <w:tc>
          <w:tcPr>
            <w:tcW w:w="2552" w:type="dxa"/>
          </w:tcPr>
          <w:p w14:paraId="06333989" w14:textId="6A343C11" w:rsidR="00117C42" w:rsidRPr="00117C42" w:rsidRDefault="00117C42" w:rsidP="00117C42">
            <w:pPr>
              <w:rPr>
                <w:rFonts w:eastAsiaTheme="minorEastAsia"/>
                <w:lang w:eastAsia="ja-JP"/>
              </w:rPr>
            </w:pPr>
          </w:p>
        </w:tc>
        <w:tc>
          <w:tcPr>
            <w:tcW w:w="4249" w:type="dxa"/>
          </w:tcPr>
          <w:p w14:paraId="7FAC7059" w14:textId="70F15467" w:rsidR="00117C42" w:rsidRPr="00117C42" w:rsidRDefault="00117C42" w:rsidP="00117C42">
            <w:pPr>
              <w:rPr>
                <w:rFonts w:eastAsiaTheme="minorEastAsia"/>
                <w:lang w:eastAsia="ja-JP"/>
              </w:rPr>
            </w:pP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47F3CE99" w:rsidR="00117C42" w:rsidRDefault="00117C42" w:rsidP="00117C42"/>
    <w:p w14:paraId="7811B3EB" w14:textId="2FB34FF2" w:rsidR="00E6592F" w:rsidRPr="00B70975" w:rsidRDefault="00E6592F" w:rsidP="00E6592F">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lastRenderedPageBreak/>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168"/>
        <w:gridCol w:w="950"/>
        <w:gridCol w:w="938"/>
        <w:gridCol w:w="1120"/>
        <w:gridCol w:w="4455"/>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795"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985"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743"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7E721C" w14:paraId="20FA6EC2" w14:textId="77777777" w:rsidTr="00874DF7">
        <w:tc>
          <w:tcPr>
            <w:tcW w:w="2313" w:type="dxa"/>
          </w:tcPr>
          <w:p w14:paraId="14C94935" w14:textId="77777777" w:rsidR="00874DF7" w:rsidRDefault="00874DF7" w:rsidP="007A3DEE">
            <w:pPr>
              <w:rPr>
                <w:rFonts w:eastAsia="Malgun Gothic"/>
                <w:sz w:val="22"/>
                <w:szCs w:val="22"/>
                <w:lang w:eastAsia="ko-KR"/>
              </w:rPr>
            </w:pPr>
          </w:p>
        </w:tc>
        <w:tc>
          <w:tcPr>
            <w:tcW w:w="795" w:type="dxa"/>
          </w:tcPr>
          <w:p w14:paraId="077A90DD" w14:textId="77777777" w:rsidR="00874DF7" w:rsidRDefault="00874DF7" w:rsidP="007A3DEE">
            <w:pPr>
              <w:rPr>
                <w:rFonts w:eastAsia="Malgun Gothic"/>
                <w:sz w:val="22"/>
                <w:szCs w:val="22"/>
                <w:lang w:eastAsia="ko-KR"/>
              </w:rPr>
            </w:pP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77777777" w:rsidR="00874DF7" w:rsidRDefault="00874DF7" w:rsidP="007A3DEE">
            <w:pPr>
              <w:rPr>
                <w:rFonts w:eastAsia="Malgun Gothic"/>
                <w:sz w:val="22"/>
                <w:szCs w:val="22"/>
                <w:lang w:eastAsia="ko-KR"/>
              </w:rPr>
            </w:pPr>
          </w:p>
        </w:tc>
      </w:tr>
      <w:tr w:rsidR="007E721C" w14:paraId="11D07739" w14:textId="77777777" w:rsidTr="00874DF7">
        <w:tc>
          <w:tcPr>
            <w:tcW w:w="2313" w:type="dxa"/>
          </w:tcPr>
          <w:p w14:paraId="4277CDA3" w14:textId="77777777" w:rsidR="00874DF7" w:rsidRDefault="00874DF7" w:rsidP="007A3DEE">
            <w:pPr>
              <w:rPr>
                <w:rFonts w:eastAsia="Malgun Gothic"/>
                <w:sz w:val="22"/>
                <w:szCs w:val="22"/>
                <w:lang w:eastAsia="ko-KR"/>
              </w:rPr>
            </w:pPr>
          </w:p>
        </w:tc>
        <w:tc>
          <w:tcPr>
            <w:tcW w:w="795" w:type="dxa"/>
          </w:tcPr>
          <w:p w14:paraId="11FE776C" w14:textId="77777777" w:rsidR="00874DF7" w:rsidRDefault="00874DF7" w:rsidP="007A3DEE">
            <w:pPr>
              <w:rPr>
                <w:rFonts w:eastAsia="Malgun Gothic"/>
                <w:sz w:val="22"/>
                <w:szCs w:val="22"/>
                <w:lang w:eastAsia="ko-KR"/>
              </w:rPr>
            </w:pP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77777777" w:rsidR="00874DF7" w:rsidRDefault="00874DF7" w:rsidP="007A3DEE">
            <w:pPr>
              <w:rPr>
                <w:rFonts w:eastAsia="Malgun Gothic"/>
                <w:sz w:val="22"/>
                <w:szCs w:val="22"/>
                <w:lang w:eastAsia="ko-KR"/>
              </w:rPr>
            </w:pPr>
          </w:p>
        </w:tc>
      </w:tr>
      <w:tr w:rsidR="007E721C" w14:paraId="01364E47" w14:textId="77777777" w:rsidTr="00874DF7">
        <w:tc>
          <w:tcPr>
            <w:tcW w:w="2313" w:type="dxa"/>
          </w:tcPr>
          <w:p w14:paraId="057A77FD" w14:textId="77777777" w:rsidR="00874DF7" w:rsidRDefault="00874DF7" w:rsidP="007A3DEE">
            <w:pPr>
              <w:rPr>
                <w:rFonts w:eastAsia="Malgun Gothic"/>
                <w:sz w:val="22"/>
                <w:szCs w:val="22"/>
                <w:lang w:eastAsia="ko-KR"/>
              </w:rPr>
            </w:pPr>
          </w:p>
        </w:tc>
        <w:tc>
          <w:tcPr>
            <w:tcW w:w="795" w:type="dxa"/>
          </w:tcPr>
          <w:p w14:paraId="0700B379" w14:textId="77777777" w:rsidR="00874DF7" w:rsidRDefault="00874DF7" w:rsidP="007A3DEE">
            <w:pPr>
              <w:rPr>
                <w:rFonts w:eastAsia="Malgun Gothic"/>
                <w:sz w:val="22"/>
                <w:szCs w:val="22"/>
                <w:lang w:eastAsia="ko-KR"/>
              </w:rPr>
            </w:pP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1" w:name="OLE_LINK70"/>
      <w:proofErr w:type="spellStart"/>
      <w:r>
        <w:rPr>
          <w:rFonts w:hint="eastAsia"/>
          <w:i/>
          <w:iCs/>
          <w:lang w:val="en-US" w:eastAsia="zh-CN"/>
        </w:rPr>
        <w:t>defaultDCLocationOption</w:t>
      </w:r>
      <w:bookmarkEnd w:id="1"/>
      <w:proofErr w:type="spellEnd"/>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BodyText"/>
              <w:rPr>
                <w:rFonts w:ascii="Times New Roman" w:eastAsia="SimSun" w:hAnsi="Times New Roman"/>
              </w:rPr>
            </w:pPr>
            <w:bookmarkStart w:id="2" w:name="OLE_LINK2"/>
            <w:r>
              <w:rPr>
                <w:rFonts w:ascii="Times New Roman" w:eastAsia="SimSun" w:hAnsi="Times New Roman" w:hint="eastAsia"/>
                <w:lang w:eastAsia="zh-CN"/>
              </w:rPr>
              <w:t xml:space="preserve">In the description of </w:t>
            </w:r>
            <w:proofErr w:type="spellStart"/>
            <w:r>
              <w:rPr>
                <w:rFonts w:ascii="Times New Roman" w:eastAsia="SimSun" w:hAnsi="Times New Roman" w:hint="eastAsia"/>
                <w:i/>
                <w:iCs/>
                <w:lang w:eastAsia="zh-CN"/>
              </w:rPr>
              <w:t>defaultDCLocationOption</w:t>
            </w:r>
            <w:proofErr w:type="spellEnd"/>
            <w:r>
              <w:rPr>
                <w:rFonts w:ascii="Times New Roman" w:eastAsia="SimSun" w:hAnsi="Times New Roman" w:hint="eastAsia"/>
                <w:lang w:eastAsia="zh-CN"/>
              </w:rPr>
              <w:t>, it is stated that</w:t>
            </w:r>
            <w:bookmarkEnd w:id="2"/>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3" w:name="OLE_LINK14"/>
            <w:r>
              <w:rPr>
                <w:rFonts w:ascii="Times New Roman" w:eastAsia="SimSun" w:hAnsi="Times New Roman"/>
                <w:lang w:eastAsia="zh-CN"/>
              </w:rPr>
              <w:t>default Tx Direct Current</w:t>
            </w:r>
            <w:bookmarkEnd w:id="3"/>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4"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4"/>
            <w:r>
              <w:rPr>
                <w:rFonts w:ascii="Times New Roman" w:eastAsia="SimSun" w:hAnsi="Times New Roman"/>
                <w:lang w:eastAsia="zh-CN"/>
              </w:rPr>
              <w:t xml:space="preserve">’. </w:t>
            </w:r>
          </w:p>
          <w:p w14:paraId="65B8C08F" w14:textId="77777777" w:rsidR="00316BA0" w:rsidRDefault="00316BA0" w:rsidP="00316BA0">
            <w:pPr>
              <w:pStyle w:val="BodyText"/>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proofErr w:type="gramStart"/>
            <w:r>
              <w:rPr>
                <w:rFonts w:ascii="Times New Roman" w:eastAsia="SimSun" w:hAnsi="Times New Roman" w:hint="eastAsia"/>
                <w:bCs/>
                <w:lang w:eastAsia="zh-CN"/>
              </w:rPr>
              <w:t>So</w:t>
            </w:r>
            <w:proofErr w:type="gramEnd"/>
            <w:r>
              <w:rPr>
                <w:rFonts w:ascii="Times New Roman" w:eastAsia="SimSun" w:hAnsi="Times New Roman" w:hint="eastAsia"/>
                <w:bCs/>
                <w:lang w:eastAsia="zh-CN"/>
              </w:rPr>
              <w:t xml:space="preserve"> we give the following three modification options about this sentence:</w:t>
            </w:r>
          </w:p>
          <w:p w14:paraId="7BC01BB7" w14:textId="77777777" w:rsidR="00316BA0" w:rsidRDefault="00316BA0" w:rsidP="00316BA0">
            <w:pPr>
              <w:pStyle w:val="BodyText"/>
              <w:rPr>
                <w:rFonts w:ascii="Times New Roman" w:eastAsia="SimSun" w:hAnsi="Times New Roman"/>
                <w:bCs/>
              </w:rPr>
            </w:pPr>
            <w:bookmarkStart w:id="5"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BodyText"/>
              <w:rPr>
                <w:rFonts w:ascii="Times New Roman" w:eastAsia="SimSun" w:hAnsi="Times New Roman"/>
                <w:bCs/>
              </w:rPr>
            </w:pPr>
            <w:r>
              <w:rPr>
                <w:rFonts w:ascii="Times New Roman" w:eastAsia="SimSun" w:hAnsi="Times New Roman" w:hint="eastAsia"/>
                <w:bCs/>
                <w:lang w:eastAsia="zh-CN"/>
              </w:rPr>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BodyText"/>
              <w:rPr>
                <w:rFonts w:ascii="Times New Roman" w:eastAsia="SimSun" w:hAnsi="Times New Roman"/>
              </w:rPr>
            </w:pPr>
            <w:bookmarkStart w:id="6" w:name="OLE_LINK19"/>
            <w:r>
              <w:rPr>
                <w:rFonts w:ascii="Times New Roman" w:eastAsia="SimSun" w:hAnsi="Times New Roman" w:hint="eastAsia"/>
                <w:lang w:eastAsia="zh-CN"/>
              </w:rPr>
              <w:t xml:space="preserve">Option 3: Others. </w:t>
            </w:r>
          </w:p>
          <w:bookmarkEnd w:id="5"/>
          <w:bookmarkEnd w:id="6"/>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lastRenderedPageBreak/>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0E142E98" w14:textId="77777777" w:rsidR="00316BA0" w:rsidRDefault="00316BA0" w:rsidP="00316BA0">
      <w:pPr>
        <w:pStyle w:val="BodyText"/>
        <w:rPr>
          <w:rFonts w:eastAsia="SimSun"/>
          <w:bCs/>
        </w:rPr>
      </w:pPr>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BodyText"/>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188"/>
        <w:gridCol w:w="877"/>
        <w:gridCol w:w="877"/>
        <w:gridCol w:w="1194"/>
        <w:gridCol w:w="4495"/>
      </w:tblGrid>
      <w:tr w:rsidR="00316BA0" w14:paraId="7D422F5A" w14:textId="77777777" w:rsidTr="004E7140">
        <w:tc>
          <w:tcPr>
            <w:tcW w:w="231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316BA0" w14:paraId="6960F427" w14:textId="77777777" w:rsidTr="004E7140">
        <w:tc>
          <w:tcPr>
            <w:tcW w:w="2313" w:type="dxa"/>
          </w:tcPr>
          <w:p w14:paraId="6F1F8A20" w14:textId="77777777" w:rsidR="00316BA0" w:rsidRDefault="00316BA0" w:rsidP="004E7140">
            <w:pPr>
              <w:rPr>
                <w:rFonts w:eastAsia="Malgun Gothic"/>
                <w:sz w:val="22"/>
                <w:szCs w:val="22"/>
                <w:lang w:eastAsia="ko-KR"/>
              </w:rPr>
            </w:pPr>
          </w:p>
        </w:tc>
        <w:tc>
          <w:tcPr>
            <w:tcW w:w="795" w:type="dxa"/>
          </w:tcPr>
          <w:p w14:paraId="2802E656" w14:textId="77777777" w:rsidR="00316BA0" w:rsidRDefault="00316BA0" w:rsidP="004E7140">
            <w:pPr>
              <w:rPr>
                <w:rFonts w:eastAsia="Malgun Gothic"/>
                <w:sz w:val="22"/>
                <w:szCs w:val="22"/>
                <w:lang w:eastAsia="ko-KR"/>
              </w:rPr>
            </w:pPr>
          </w:p>
        </w:tc>
        <w:tc>
          <w:tcPr>
            <w:tcW w:w="795" w:type="dxa"/>
          </w:tcPr>
          <w:p w14:paraId="124B3CB3" w14:textId="77777777" w:rsidR="00316BA0" w:rsidRDefault="00316BA0" w:rsidP="004E7140">
            <w:pPr>
              <w:rPr>
                <w:rFonts w:eastAsia="Malgun Gothic"/>
                <w:sz w:val="22"/>
                <w:szCs w:val="22"/>
                <w:lang w:eastAsia="ko-KR"/>
              </w:rPr>
            </w:pPr>
          </w:p>
        </w:tc>
        <w:tc>
          <w:tcPr>
            <w:tcW w:w="985" w:type="dxa"/>
          </w:tcPr>
          <w:p w14:paraId="6B644F21" w14:textId="77777777" w:rsidR="00316BA0" w:rsidRDefault="00316BA0" w:rsidP="004E7140">
            <w:pPr>
              <w:rPr>
                <w:rFonts w:eastAsia="Malgun Gothic"/>
                <w:sz w:val="22"/>
                <w:szCs w:val="22"/>
                <w:lang w:eastAsia="ko-KR"/>
              </w:rPr>
            </w:pPr>
          </w:p>
        </w:tc>
        <w:tc>
          <w:tcPr>
            <w:tcW w:w="4743" w:type="dxa"/>
          </w:tcPr>
          <w:p w14:paraId="023C965C" w14:textId="77777777" w:rsidR="00316BA0" w:rsidRDefault="00316BA0" w:rsidP="004E7140">
            <w:pPr>
              <w:rPr>
                <w:rFonts w:eastAsia="Malgun Gothic"/>
                <w:sz w:val="22"/>
                <w:szCs w:val="22"/>
                <w:lang w:eastAsia="ko-KR"/>
              </w:rPr>
            </w:pPr>
          </w:p>
        </w:tc>
      </w:tr>
      <w:tr w:rsidR="00316BA0" w14:paraId="113B212A" w14:textId="77777777" w:rsidTr="004E7140">
        <w:tc>
          <w:tcPr>
            <w:tcW w:w="2313" w:type="dxa"/>
          </w:tcPr>
          <w:p w14:paraId="478366DE" w14:textId="77777777" w:rsidR="00316BA0" w:rsidRDefault="00316BA0" w:rsidP="004E7140">
            <w:pPr>
              <w:rPr>
                <w:rFonts w:eastAsia="Malgun Gothic"/>
                <w:sz w:val="22"/>
                <w:szCs w:val="22"/>
                <w:lang w:eastAsia="ko-KR"/>
              </w:rPr>
            </w:pPr>
          </w:p>
        </w:tc>
        <w:tc>
          <w:tcPr>
            <w:tcW w:w="795" w:type="dxa"/>
          </w:tcPr>
          <w:p w14:paraId="170E364E" w14:textId="77777777" w:rsidR="00316BA0" w:rsidRDefault="00316BA0" w:rsidP="004E7140">
            <w:pPr>
              <w:rPr>
                <w:rFonts w:eastAsia="Malgun Gothic"/>
                <w:sz w:val="22"/>
                <w:szCs w:val="22"/>
                <w:lang w:eastAsia="ko-KR"/>
              </w:rPr>
            </w:pPr>
          </w:p>
        </w:tc>
        <w:tc>
          <w:tcPr>
            <w:tcW w:w="795" w:type="dxa"/>
          </w:tcPr>
          <w:p w14:paraId="17461825" w14:textId="77777777" w:rsidR="00316BA0" w:rsidRDefault="00316BA0" w:rsidP="004E7140">
            <w:pPr>
              <w:rPr>
                <w:rFonts w:eastAsia="Malgun Gothic"/>
                <w:sz w:val="22"/>
                <w:szCs w:val="22"/>
                <w:lang w:eastAsia="ko-KR"/>
              </w:rPr>
            </w:pPr>
          </w:p>
        </w:tc>
        <w:tc>
          <w:tcPr>
            <w:tcW w:w="985" w:type="dxa"/>
          </w:tcPr>
          <w:p w14:paraId="7718F3B1" w14:textId="77777777" w:rsidR="00316BA0" w:rsidRDefault="00316BA0" w:rsidP="004E7140">
            <w:pPr>
              <w:rPr>
                <w:rFonts w:eastAsia="Malgun Gothic"/>
                <w:sz w:val="22"/>
                <w:szCs w:val="22"/>
                <w:lang w:eastAsia="ko-KR"/>
              </w:rPr>
            </w:pPr>
          </w:p>
        </w:tc>
        <w:tc>
          <w:tcPr>
            <w:tcW w:w="4743" w:type="dxa"/>
          </w:tcPr>
          <w:p w14:paraId="1349CC9B" w14:textId="77777777" w:rsidR="00316BA0" w:rsidRDefault="00316BA0" w:rsidP="004E7140">
            <w:pPr>
              <w:rPr>
                <w:rFonts w:eastAsia="Malgun Gothic"/>
                <w:sz w:val="22"/>
                <w:szCs w:val="22"/>
                <w:lang w:eastAsia="ko-KR"/>
              </w:rPr>
            </w:pPr>
          </w:p>
        </w:tc>
      </w:tr>
      <w:tr w:rsidR="00316BA0" w14:paraId="15417D38" w14:textId="77777777" w:rsidTr="004E7140">
        <w:tc>
          <w:tcPr>
            <w:tcW w:w="2313" w:type="dxa"/>
          </w:tcPr>
          <w:p w14:paraId="24740D58" w14:textId="77777777" w:rsidR="00316BA0" w:rsidRDefault="00316BA0" w:rsidP="004E7140">
            <w:pPr>
              <w:rPr>
                <w:rFonts w:eastAsia="Malgun Gothic"/>
                <w:sz w:val="22"/>
                <w:szCs w:val="22"/>
                <w:lang w:eastAsia="ko-KR"/>
              </w:rPr>
            </w:pPr>
          </w:p>
        </w:tc>
        <w:tc>
          <w:tcPr>
            <w:tcW w:w="795" w:type="dxa"/>
          </w:tcPr>
          <w:p w14:paraId="1330AE95" w14:textId="77777777" w:rsidR="00316BA0" w:rsidRDefault="00316BA0" w:rsidP="004E7140">
            <w:pPr>
              <w:rPr>
                <w:rFonts w:eastAsia="Malgun Gothic"/>
                <w:sz w:val="22"/>
                <w:szCs w:val="22"/>
                <w:lang w:eastAsia="ko-KR"/>
              </w:rPr>
            </w:pPr>
          </w:p>
        </w:tc>
        <w:tc>
          <w:tcPr>
            <w:tcW w:w="795" w:type="dxa"/>
          </w:tcPr>
          <w:p w14:paraId="4DA633CA" w14:textId="77777777" w:rsidR="00316BA0" w:rsidRDefault="00316BA0" w:rsidP="004E7140">
            <w:pPr>
              <w:rPr>
                <w:rFonts w:eastAsia="Malgun Gothic"/>
                <w:sz w:val="22"/>
                <w:szCs w:val="22"/>
                <w:lang w:eastAsia="ko-KR"/>
              </w:rPr>
            </w:pPr>
          </w:p>
        </w:tc>
        <w:tc>
          <w:tcPr>
            <w:tcW w:w="985" w:type="dxa"/>
          </w:tcPr>
          <w:p w14:paraId="7C1DA5EB" w14:textId="77777777" w:rsidR="00316BA0" w:rsidRDefault="00316BA0" w:rsidP="004E7140">
            <w:pPr>
              <w:rPr>
                <w:rFonts w:eastAsia="Malgun Gothic"/>
                <w:sz w:val="22"/>
                <w:szCs w:val="22"/>
                <w:lang w:eastAsia="ko-KR"/>
              </w:rPr>
            </w:pPr>
          </w:p>
        </w:tc>
        <w:tc>
          <w:tcPr>
            <w:tcW w:w="4743" w:type="dxa"/>
          </w:tcPr>
          <w:p w14:paraId="18732AE6" w14:textId="77777777" w:rsidR="00316BA0" w:rsidRDefault="00316BA0" w:rsidP="004E7140">
            <w:pPr>
              <w:rPr>
                <w:rFonts w:eastAsia="Malgun Gothic"/>
                <w:sz w:val="22"/>
                <w:szCs w:val="22"/>
                <w:lang w:eastAsia="ko-KR"/>
              </w:rPr>
            </w:pPr>
          </w:p>
        </w:tc>
      </w:tr>
      <w:tr w:rsidR="00316BA0" w14:paraId="46774F64" w14:textId="77777777" w:rsidTr="004E7140">
        <w:tc>
          <w:tcPr>
            <w:tcW w:w="2313" w:type="dxa"/>
          </w:tcPr>
          <w:p w14:paraId="0C6D81A6" w14:textId="77777777" w:rsidR="00316BA0" w:rsidRDefault="00316BA0" w:rsidP="004E7140">
            <w:pPr>
              <w:rPr>
                <w:rFonts w:eastAsia="Malgun Gothic"/>
                <w:sz w:val="22"/>
                <w:szCs w:val="22"/>
                <w:lang w:eastAsia="ko-KR"/>
              </w:rPr>
            </w:pPr>
          </w:p>
        </w:tc>
        <w:tc>
          <w:tcPr>
            <w:tcW w:w="795" w:type="dxa"/>
          </w:tcPr>
          <w:p w14:paraId="60136889" w14:textId="77777777" w:rsidR="00316BA0" w:rsidRDefault="00316BA0" w:rsidP="004E7140">
            <w:pPr>
              <w:rPr>
                <w:rFonts w:eastAsia="Malgun Gothic"/>
                <w:sz w:val="22"/>
                <w:szCs w:val="22"/>
                <w:lang w:eastAsia="ko-KR"/>
              </w:rPr>
            </w:pPr>
          </w:p>
        </w:tc>
        <w:tc>
          <w:tcPr>
            <w:tcW w:w="795" w:type="dxa"/>
          </w:tcPr>
          <w:p w14:paraId="639E488D" w14:textId="77777777" w:rsidR="00316BA0" w:rsidRDefault="00316BA0" w:rsidP="004E7140">
            <w:pPr>
              <w:rPr>
                <w:rFonts w:eastAsia="Malgun Gothic"/>
                <w:sz w:val="22"/>
                <w:szCs w:val="22"/>
                <w:lang w:eastAsia="ko-KR"/>
              </w:rPr>
            </w:pPr>
          </w:p>
        </w:tc>
        <w:tc>
          <w:tcPr>
            <w:tcW w:w="985" w:type="dxa"/>
          </w:tcPr>
          <w:p w14:paraId="4A5241EF" w14:textId="77777777" w:rsidR="00316BA0" w:rsidRDefault="00316BA0" w:rsidP="004E7140">
            <w:pPr>
              <w:rPr>
                <w:rFonts w:eastAsia="Malgun Gothic"/>
                <w:sz w:val="22"/>
                <w:szCs w:val="22"/>
                <w:lang w:eastAsia="ko-KR"/>
              </w:rPr>
            </w:pPr>
          </w:p>
        </w:tc>
        <w:tc>
          <w:tcPr>
            <w:tcW w:w="4743" w:type="dxa"/>
          </w:tcPr>
          <w:p w14:paraId="50B83934" w14:textId="77777777" w:rsidR="00316BA0" w:rsidRDefault="00316BA0" w:rsidP="004E7140">
            <w:pPr>
              <w:rPr>
                <w:rFonts w:eastAsia="Malgun Gothic"/>
                <w:sz w:val="22"/>
                <w:szCs w:val="22"/>
                <w:lang w:eastAsia="ko-KR"/>
              </w:rPr>
            </w:pP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68663752" w14:textId="3973D528" w:rsidR="00AA68FC" w:rsidRDefault="00AA68FC" w:rsidP="00AA68FC">
      <w:pPr>
        <w:pStyle w:val="BodyText"/>
        <w:rPr>
          <w:rFonts w:eastAsia="SimSun"/>
          <w:bCs/>
        </w:rPr>
      </w:pPr>
      <w:bookmarkStart w:id="7" w:name="OLE_LINK17"/>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7"/>
    </w:p>
    <w:p w14:paraId="34653DFD" w14:textId="6BEAA4D5" w:rsidR="00AA68FC" w:rsidRDefault="00AA68FC" w:rsidP="00AA68FC">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188"/>
        <w:gridCol w:w="877"/>
        <w:gridCol w:w="877"/>
        <w:gridCol w:w="1194"/>
        <w:gridCol w:w="4495"/>
      </w:tblGrid>
      <w:tr w:rsidR="00AA68FC" w14:paraId="22641544" w14:textId="77777777" w:rsidTr="004E7140">
        <w:tc>
          <w:tcPr>
            <w:tcW w:w="231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A68FC" w14:paraId="56496024" w14:textId="77777777" w:rsidTr="004E7140">
        <w:tc>
          <w:tcPr>
            <w:tcW w:w="2313" w:type="dxa"/>
          </w:tcPr>
          <w:p w14:paraId="7490A266" w14:textId="77777777" w:rsidR="00AA68FC" w:rsidRDefault="00AA68FC" w:rsidP="004E7140">
            <w:pPr>
              <w:rPr>
                <w:rFonts w:eastAsia="Malgun Gothic"/>
                <w:sz w:val="22"/>
                <w:szCs w:val="22"/>
                <w:lang w:eastAsia="ko-KR"/>
              </w:rPr>
            </w:pPr>
          </w:p>
        </w:tc>
        <w:tc>
          <w:tcPr>
            <w:tcW w:w="795" w:type="dxa"/>
          </w:tcPr>
          <w:p w14:paraId="6BB314F1" w14:textId="77777777" w:rsidR="00AA68FC" w:rsidRDefault="00AA68FC" w:rsidP="004E7140">
            <w:pPr>
              <w:rPr>
                <w:rFonts w:eastAsia="Malgun Gothic"/>
                <w:sz w:val="22"/>
                <w:szCs w:val="22"/>
                <w:lang w:eastAsia="ko-KR"/>
              </w:rPr>
            </w:pPr>
          </w:p>
        </w:tc>
        <w:tc>
          <w:tcPr>
            <w:tcW w:w="795" w:type="dxa"/>
          </w:tcPr>
          <w:p w14:paraId="50376559" w14:textId="77777777" w:rsidR="00AA68FC" w:rsidRDefault="00AA68FC" w:rsidP="004E7140">
            <w:pPr>
              <w:rPr>
                <w:rFonts w:eastAsia="Malgun Gothic"/>
                <w:sz w:val="22"/>
                <w:szCs w:val="22"/>
                <w:lang w:eastAsia="ko-KR"/>
              </w:rPr>
            </w:pPr>
          </w:p>
        </w:tc>
        <w:tc>
          <w:tcPr>
            <w:tcW w:w="985" w:type="dxa"/>
          </w:tcPr>
          <w:p w14:paraId="7837F4A6" w14:textId="77777777" w:rsidR="00AA68FC" w:rsidRDefault="00AA68FC" w:rsidP="004E7140">
            <w:pPr>
              <w:rPr>
                <w:rFonts w:eastAsia="Malgun Gothic"/>
                <w:sz w:val="22"/>
                <w:szCs w:val="22"/>
                <w:lang w:eastAsia="ko-KR"/>
              </w:rPr>
            </w:pPr>
          </w:p>
        </w:tc>
        <w:tc>
          <w:tcPr>
            <w:tcW w:w="4743" w:type="dxa"/>
          </w:tcPr>
          <w:p w14:paraId="15B18509" w14:textId="77777777" w:rsidR="00AA68FC" w:rsidRDefault="00AA68FC" w:rsidP="004E7140">
            <w:pPr>
              <w:rPr>
                <w:rFonts w:eastAsia="Malgun Gothic"/>
                <w:sz w:val="22"/>
                <w:szCs w:val="22"/>
                <w:lang w:eastAsia="ko-KR"/>
              </w:rPr>
            </w:pPr>
          </w:p>
        </w:tc>
      </w:tr>
      <w:tr w:rsidR="00AA68FC" w14:paraId="7FFE44B5" w14:textId="77777777" w:rsidTr="004E7140">
        <w:tc>
          <w:tcPr>
            <w:tcW w:w="2313" w:type="dxa"/>
          </w:tcPr>
          <w:p w14:paraId="57FA35EB" w14:textId="77777777" w:rsidR="00AA68FC" w:rsidRDefault="00AA68FC" w:rsidP="004E7140">
            <w:pPr>
              <w:rPr>
                <w:rFonts w:eastAsia="Malgun Gothic"/>
                <w:sz w:val="22"/>
                <w:szCs w:val="22"/>
                <w:lang w:eastAsia="ko-KR"/>
              </w:rPr>
            </w:pPr>
          </w:p>
        </w:tc>
        <w:tc>
          <w:tcPr>
            <w:tcW w:w="795" w:type="dxa"/>
          </w:tcPr>
          <w:p w14:paraId="34F36757" w14:textId="77777777" w:rsidR="00AA68FC" w:rsidRDefault="00AA68FC" w:rsidP="004E7140">
            <w:pPr>
              <w:rPr>
                <w:rFonts w:eastAsia="Malgun Gothic"/>
                <w:sz w:val="22"/>
                <w:szCs w:val="22"/>
                <w:lang w:eastAsia="ko-KR"/>
              </w:rPr>
            </w:pPr>
          </w:p>
        </w:tc>
        <w:tc>
          <w:tcPr>
            <w:tcW w:w="795" w:type="dxa"/>
          </w:tcPr>
          <w:p w14:paraId="78D04ED1" w14:textId="77777777" w:rsidR="00AA68FC" w:rsidRDefault="00AA68FC" w:rsidP="004E7140">
            <w:pPr>
              <w:rPr>
                <w:rFonts w:eastAsia="Malgun Gothic"/>
                <w:sz w:val="22"/>
                <w:szCs w:val="22"/>
                <w:lang w:eastAsia="ko-KR"/>
              </w:rPr>
            </w:pPr>
          </w:p>
        </w:tc>
        <w:tc>
          <w:tcPr>
            <w:tcW w:w="985" w:type="dxa"/>
          </w:tcPr>
          <w:p w14:paraId="6A6C9C70" w14:textId="77777777" w:rsidR="00AA68FC" w:rsidRDefault="00AA68FC" w:rsidP="004E7140">
            <w:pPr>
              <w:rPr>
                <w:rFonts w:eastAsia="Malgun Gothic"/>
                <w:sz w:val="22"/>
                <w:szCs w:val="22"/>
                <w:lang w:eastAsia="ko-KR"/>
              </w:rPr>
            </w:pPr>
          </w:p>
        </w:tc>
        <w:tc>
          <w:tcPr>
            <w:tcW w:w="4743" w:type="dxa"/>
          </w:tcPr>
          <w:p w14:paraId="63BA5FE8" w14:textId="77777777" w:rsidR="00AA68FC" w:rsidRDefault="00AA68FC" w:rsidP="004E7140">
            <w:pPr>
              <w:rPr>
                <w:rFonts w:eastAsia="Malgun Gothic"/>
                <w:sz w:val="22"/>
                <w:szCs w:val="22"/>
                <w:lang w:eastAsia="ko-KR"/>
              </w:rPr>
            </w:pPr>
          </w:p>
        </w:tc>
      </w:tr>
      <w:tr w:rsidR="00AA68FC" w14:paraId="75C9D502" w14:textId="77777777" w:rsidTr="004E7140">
        <w:tc>
          <w:tcPr>
            <w:tcW w:w="2313" w:type="dxa"/>
          </w:tcPr>
          <w:p w14:paraId="589ED681" w14:textId="77777777" w:rsidR="00AA68FC" w:rsidRDefault="00AA68FC" w:rsidP="004E7140">
            <w:pPr>
              <w:rPr>
                <w:rFonts w:eastAsia="Malgun Gothic"/>
                <w:sz w:val="22"/>
                <w:szCs w:val="22"/>
                <w:lang w:eastAsia="ko-KR"/>
              </w:rPr>
            </w:pPr>
          </w:p>
        </w:tc>
        <w:tc>
          <w:tcPr>
            <w:tcW w:w="795" w:type="dxa"/>
          </w:tcPr>
          <w:p w14:paraId="6097EB5A" w14:textId="77777777" w:rsidR="00AA68FC" w:rsidRDefault="00AA68FC" w:rsidP="004E7140">
            <w:pPr>
              <w:rPr>
                <w:rFonts w:eastAsia="Malgun Gothic"/>
                <w:sz w:val="22"/>
                <w:szCs w:val="22"/>
                <w:lang w:eastAsia="ko-KR"/>
              </w:rPr>
            </w:pPr>
          </w:p>
        </w:tc>
        <w:tc>
          <w:tcPr>
            <w:tcW w:w="795" w:type="dxa"/>
          </w:tcPr>
          <w:p w14:paraId="3F2CC964" w14:textId="77777777" w:rsidR="00AA68FC" w:rsidRDefault="00AA68FC" w:rsidP="004E7140">
            <w:pPr>
              <w:rPr>
                <w:rFonts w:eastAsia="Malgun Gothic"/>
                <w:sz w:val="22"/>
                <w:szCs w:val="22"/>
                <w:lang w:eastAsia="ko-KR"/>
              </w:rPr>
            </w:pPr>
          </w:p>
        </w:tc>
        <w:tc>
          <w:tcPr>
            <w:tcW w:w="985" w:type="dxa"/>
          </w:tcPr>
          <w:p w14:paraId="3436D82C" w14:textId="77777777" w:rsidR="00AA68FC" w:rsidRDefault="00AA68FC" w:rsidP="004E7140">
            <w:pPr>
              <w:rPr>
                <w:rFonts w:eastAsia="Malgun Gothic"/>
                <w:sz w:val="22"/>
                <w:szCs w:val="22"/>
                <w:lang w:eastAsia="ko-KR"/>
              </w:rPr>
            </w:pPr>
          </w:p>
        </w:tc>
        <w:tc>
          <w:tcPr>
            <w:tcW w:w="4743" w:type="dxa"/>
          </w:tcPr>
          <w:p w14:paraId="370FD778" w14:textId="77777777" w:rsidR="00AA68FC" w:rsidRDefault="00AA68FC" w:rsidP="004E7140">
            <w:pPr>
              <w:rPr>
                <w:rFonts w:eastAsia="Malgun Gothic"/>
                <w:sz w:val="22"/>
                <w:szCs w:val="22"/>
                <w:lang w:eastAsia="ko-KR"/>
              </w:rPr>
            </w:pPr>
          </w:p>
        </w:tc>
      </w:tr>
      <w:tr w:rsidR="00AA68FC" w14:paraId="25E5FA8E" w14:textId="77777777" w:rsidTr="004E7140">
        <w:tc>
          <w:tcPr>
            <w:tcW w:w="2313" w:type="dxa"/>
          </w:tcPr>
          <w:p w14:paraId="5AFD9354" w14:textId="77777777" w:rsidR="00AA68FC" w:rsidRDefault="00AA68FC" w:rsidP="004E7140">
            <w:pPr>
              <w:rPr>
                <w:rFonts w:eastAsia="Malgun Gothic"/>
                <w:sz w:val="22"/>
                <w:szCs w:val="22"/>
                <w:lang w:eastAsia="ko-KR"/>
              </w:rPr>
            </w:pPr>
          </w:p>
        </w:tc>
        <w:tc>
          <w:tcPr>
            <w:tcW w:w="795" w:type="dxa"/>
          </w:tcPr>
          <w:p w14:paraId="4D09E30B" w14:textId="77777777" w:rsidR="00AA68FC" w:rsidRDefault="00AA68FC" w:rsidP="004E7140">
            <w:pPr>
              <w:rPr>
                <w:rFonts w:eastAsia="Malgun Gothic"/>
                <w:sz w:val="22"/>
                <w:szCs w:val="22"/>
                <w:lang w:eastAsia="ko-KR"/>
              </w:rPr>
            </w:pPr>
          </w:p>
        </w:tc>
        <w:tc>
          <w:tcPr>
            <w:tcW w:w="795" w:type="dxa"/>
          </w:tcPr>
          <w:p w14:paraId="0F57FB8F" w14:textId="77777777" w:rsidR="00AA68FC" w:rsidRDefault="00AA68FC" w:rsidP="004E7140">
            <w:pPr>
              <w:rPr>
                <w:rFonts w:eastAsia="Malgun Gothic"/>
                <w:sz w:val="22"/>
                <w:szCs w:val="22"/>
                <w:lang w:eastAsia="ko-KR"/>
              </w:rPr>
            </w:pPr>
          </w:p>
        </w:tc>
        <w:tc>
          <w:tcPr>
            <w:tcW w:w="985" w:type="dxa"/>
          </w:tcPr>
          <w:p w14:paraId="3D5A5944" w14:textId="77777777" w:rsidR="00AA68FC" w:rsidRDefault="00AA68FC" w:rsidP="004E7140">
            <w:pPr>
              <w:rPr>
                <w:rFonts w:eastAsia="Malgun Gothic"/>
                <w:sz w:val="22"/>
                <w:szCs w:val="22"/>
                <w:lang w:eastAsia="ko-KR"/>
              </w:rPr>
            </w:pPr>
          </w:p>
        </w:tc>
        <w:tc>
          <w:tcPr>
            <w:tcW w:w="4743" w:type="dxa"/>
          </w:tcPr>
          <w:p w14:paraId="4E1F6802" w14:textId="77777777" w:rsidR="00AA68FC" w:rsidRDefault="00AA68FC" w:rsidP="004E7140">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ListParagraph"/>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E07E6" w14:paraId="4A27B79D" w14:textId="77777777" w:rsidTr="008E07E6">
        <w:tc>
          <w:tcPr>
            <w:tcW w:w="2185" w:type="dxa"/>
          </w:tcPr>
          <w:p w14:paraId="56F794B4" w14:textId="77777777" w:rsidR="008E07E6" w:rsidRDefault="008E07E6" w:rsidP="004E7140">
            <w:pPr>
              <w:rPr>
                <w:rFonts w:eastAsia="Malgun Gothic"/>
                <w:sz w:val="22"/>
                <w:szCs w:val="22"/>
                <w:lang w:eastAsia="ko-KR"/>
              </w:rPr>
            </w:pPr>
          </w:p>
        </w:tc>
        <w:tc>
          <w:tcPr>
            <w:tcW w:w="1023" w:type="dxa"/>
          </w:tcPr>
          <w:p w14:paraId="731092E2" w14:textId="77777777" w:rsidR="008E07E6" w:rsidRDefault="008E07E6" w:rsidP="004E7140">
            <w:pPr>
              <w:rPr>
                <w:rFonts w:eastAsia="Malgun Gothic"/>
                <w:sz w:val="22"/>
                <w:szCs w:val="22"/>
                <w:lang w:eastAsia="ko-KR"/>
              </w:rPr>
            </w:pPr>
          </w:p>
        </w:tc>
        <w:tc>
          <w:tcPr>
            <w:tcW w:w="1011" w:type="dxa"/>
          </w:tcPr>
          <w:p w14:paraId="5DDFCB9B" w14:textId="77777777" w:rsidR="008E07E6" w:rsidRDefault="008E07E6" w:rsidP="004E7140">
            <w:pPr>
              <w:rPr>
                <w:rFonts w:eastAsia="Malgun Gothic"/>
                <w:sz w:val="22"/>
                <w:szCs w:val="22"/>
                <w:lang w:eastAsia="ko-KR"/>
              </w:rPr>
            </w:pPr>
          </w:p>
        </w:tc>
        <w:tc>
          <w:tcPr>
            <w:tcW w:w="4516" w:type="dxa"/>
          </w:tcPr>
          <w:p w14:paraId="35FD1BFE" w14:textId="77777777" w:rsidR="008E07E6" w:rsidRDefault="008E07E6" w:rsidP="004E7140">
            <w:pPr>
              <w:rPr>
                <w:rFonts w:eastAsia="Malgun Gothic"/>
                <w:sz w:val="22"/>
                <w:szCs w:val="22"/>
                <w:lang w:eastAsia="ko-KR"/>
              </w:rPr>
            </w:pPr>
          </w:p>
        </w:tc>
      </w:tr>
      <w:tr w:rsidR="008E07E6" w14:paraId="4C2342F4" w14:textId="77777777" w:rsidTr="008E07E6">
        <w:tc>
          <w:tcPr>
            <w:tcW w:w="2185" w:type="dxa"/>
          </w:tcPr>
          <w:p w14:paraId="70BBE1CA" w14:textId="77777777" w:rsidR="008E07E6" w:rsidRDefault="008E07E6" w:rsidP="004E7140">
            <w:pPr>
              <w:rPr>
                <w:rFonts w:eastAsia="Malgun Gothic"/>
                <w:sz w:val="22"/>
                <w:szCs w:val="22"/>
                <w:lang w:eastAsia="ko-KR"/>
              </w:rPr>
            </w:pPr>
          </w:p>
        </w:tc>
        <w:tc>
          <w:tcPr>
            <w:tcW w:w="1023" w:type="dxa"/>
          </w:tcPr>
          <w:p w14:paraId="72D207D4" w14:textId="77777777" w:rsidR="008E07E6" w:rsidRDefault="008E07E6" w:rsidP="004E7140">
            <w:pPr>
              <w:rPr>
                <w:rFonts w:eastAsia="Malgun Gothic"/>
                <w:sz w:val="22"/>
                <w:szCs w:val="22"/>
                <w:lang w:eastAsia="ko-KR"/>
              </w:rPr>
            </w:pPr>
          </w:p>
        </w:tc>
        <w:tc>
          <w:tcPr>
            <w:tcW w:w="1011" w:type="dxa"/>
          </w:tcPr>
          <w:p w14:paraId="7E833D2F" w14:textId="77777777" w:rsidR="008E07E6" w:rsidRDefault="008E07E6" w:rsidP="004E7140">
            <w:pPr>
              <w:rPr>
                <w:rFonts w:eastAsia="Malgun Gothic"/>
                <w:sz w:val="22"/>
                <w:szCs w:val="22"/>
                <w:lang w:eastAsia="ko-KR"/>
              </w:rPr>
            </w:pPr>
          </w:p>
        </w:tc>
        <w:tc>
          <w:tcPr>
            <w:tcW w:w="4516" w:type="dxa"/>
          </w:tcPr>
          <w:p w14:paraId="2515B090" w14:textId="77777777" w:rsidR="008E07E6" w:rsidRDefault="008E07E6" w:rsidP="004E7140">
            <w:pPr>
              <w:rPr>
                <w:rFonts w:eastAsia="Malgun Gothic"/>
                <w:sz w:val="22"/>
                <w:szCs w:val="22"/>
                <w:lang w:eastAsia="ko-KR"/>
              </w:rPr>
            </w:pPr>
          </w:p>
        </w:tc>
      </w:tr>
      <w:tr w:rsidR="008E07E6" w14:paraId="56361264" w14:textId="77777777" w:rsidTr="008E07E6">
        <w:tc>
          <w:tcPr>
            <w:tcW w:w="2185" w:type="dxa"/>
          </w:tcPr>
          <w:p w14:paraId="7FCC5EC8" w14:textId="77777777" w:rsidR="008E07E6" w:rsidRDefault="008E07E6" w:rsidP="004E7140">
            <w:pPr>
              <w:rPr>
                <w:rFonts w:eastAsia="Malgun Gothic"/>
                <w:sz w:val="22"/>
                <w:szCs w:val="22"/>
                <w:lang w:eastAsia="ko-KR"/>
              </w:rPr>
            </w:pPr>
          </w:p>
        </w:tc>
        <w:tc>
          <w:tcPr>
            <w:tcW w:w="1023" w:type="dxa"/>
          </w:tcPr>
          <w:p w14:paraId="5E5D1E2F" w14:textId="77777777" w:rsidR="008E07E6" w:rsidRDefault="008E07E6" w:rsidP="004E7140">
            <w:pPr>
              <w:rPr>
                <w:rFonts w:eastAsia="Malgun Gothic"/>
                <w:sz w:val="22"/>
                <w:szCs w:val="22"/>
                <w:lang w:eastAsia="ko-KR"/>
              </w:rPr>
            </w:pPr>
          </w:p>
        </w:tc>
        <w:tc>
          <w:tcPr>
            <w:tcW w:w="1011" w:type="dxa"/>
          </w:tcPr>
          <w:p w14:paraId="355BD0E9" w14:textId="77777777" w:rsidR="008E07E6" w:rsidRDefault="008E07E6" w:rsidP="004E7140">
            <w:pPr>
              <w:rPr>
                <w:rFonts w:eastAsia="Malgun Gothic"/>
                <w:sz w:val="22"/>
                <w:szCs w:val="22"/>
                <w:lang w:eastAsia="ko-KR"/>
              </w:rPr>
            </w:pPr>
          </w:p>
        </w:tc>
        <w:tc>
          <w:tcPr>
            <w:tcW w:w="4516" w:type="dxa"/>
          </w:tcPr>
          <w:p w14:paraId="6C4CB7DA" w14:textId="77777777" w:rsidR="008E07E6" w:rsidRDefault="008E07E6" w:rsidP="004E7140">
            <w:pPr>
              <w:rPr>
                <w:rFonts w:eastAsia="Malgun Gothic"/>
                <w:sz w:val="22"/>
                <w:szCs w:val="22"/>
                <w:lang w:eastAsia="ko-KR"/>
              </w:rPr>
            </w:pPr>
          </w:p>
        </w:tc>
      </w:tr>
      <w:tr w:rsidR="008E07E6" w14:paraId="7941DF72" w14:textId="77777777" w:rsidTr="008E07E6">
        <w:tc>
          <w:tcPr>
            <w:tcW w:w="2185" w:type="dxa"/>
          </w:tcPr>
          <w:p w14:paraId="736C6B41" w14:textId="77777777" w:rsidR="008E07E6" w:rsidRDefault="008E07E6" w:rsidP="004E7140">
            <w:pPr>
              <w:rPr>
                <w:rFonts w:eastAsia="Malgun Gothic"/>
                <w:sz w:val="22"/>
                <w:szCs w:val="22"/>
                <w:lang w:eastAsia="ko-KR"/>
              </w:rPr>
            </w:pPr>
          </w:p>
        </w:tc>
        <w:tc>
          <w:tcPr>
            <w:tcW w:w="1023" w:type="dxa"/>
          </w:tcPr>
          <w:p w14:paraId="215B9028" w14:textId="77777777" w:rsidR="008E07E6" w:rsidRDefault="008E07E6" w:rsidP="004E7140">
            <w:pPr>
              <w:rPr>
                <w:rFonts w:eastAsia="Malgun Gothic"/>
                <w:sz w:val="22"/>
                <w:szCs w:val="22"/>
                <w:lang w:eastAsia="ko-KR"/>
              </w:rPr>
            </w:pPr>
          </w:p>
        </w:tc>
        <w:tc>
          <w:tcPr>
            <w:tcW w:w="1011" w:type="dxa"/>
          </w:tcPr>
          <w:p w14:paraId="50B6059A" w14:textId="77777777" w:rsidR="008E07E6" w:rsidRDefault="008E07E6" w:rsidP="004E7140">
            <w:pPr>
              <w:rPr>
                <w:rFonts w:eastAsia="Malgun Gothic"/>
                <w:sz w:val="22"/>
                <w:szCs w:val="22"/>
                <w:lang w:eastAsia="ko-KR"/>
              </w:rPr>
            </w:pPr>
          </w:p>
        </w:tc>
        <w:tc>
          <w:tcPr>
            <w:tcW w:w="4516" w:type="dxa"/>
          </w:tcPr>
          <w:p w14:paraId="4AE97532" w14:textId="77777777" w:rsidR="008E07E6" w:rsidRDefault="008E07E6" w:rsidP="004E7140">
            <w:pPr>
              <w:rPr>
                <w:rFonts w:eastAsia="Malgun Gothic"/>
                <w:sz w:val="22"/>
                <w:szCs w:val="22"/>
                <w:lang w:eastAsia="ko-KR"/>
              </w:rPr>
            </w:pPr>
          </w:p>
        </w:tc>
      </w:tr>
    </w:tbl>
    <w:p w14:paraId="40F2E5CA" w14:textId="77777777" w:rsidR="00AA68FC" w:rsidRPr="00BC5626" w:rsidRDefault="00AA68FC"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8" w:name="OLE_LINK39"/>
      <w:r w:rsidR="00F65B22" w:rsidRPr="00254BB8">
        <w:t xml:space="preserve">on </w:t>
      </w:r>
      <w:bookmarkEnd w:id="8"/>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29CCFF25" w14:textId="02DD810B" w:rsidR="00624F4F" w:rsidRPr="00254BB8" w:rsidRDefault="00254BB8" w:rsidP="00254BB8">
      <w:pPr>
        <w:rPr>
          <w:rFonts w:eastAsiaTheme="minorEastAsia"/>
          <w:sz w:val="22"/>
          <w:szCs w:val="22"/>
          <w:lang w:eastAsia="ja-JP"/>
        </w:rPr>
        <w:sectPr w:rsidR="00624F4F" w:rsidRPr="00254BB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 xml:space="preserve">ZTE Corporation, </w:t>
      </w:r>
      <w:proofErr w:type="spellStart"/>
      <w:r>
        <w:t>Sanechips</w:t>
      </w:r>
      <w:proofErr w:type="spellEnd"/>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 xml:space="preserve">mathematical </w:t>
      </w:r>
      <w:proofErr w:type="spellStart"/>
      <w:r w:rsidRPr="00523F59">
        <w:rPr>
          <w:rFonts w:ascii="Arial" w:hAnsi="Arial" w:cs="Arial"/>
        </w:rPr>
        <w:t>center</w:t>
      </w:r>
      <w:proofErr w:type="spellEnd"/>
      <w:r w:rsidRPr="00523F59">
        <w:rPr>
          <w:rFonts w:ascii="Arial" w:hAnsi="Arial" w:cs="Arial"/>
        </w:rPr>
        <w:t xml:space="preserve">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w:t>
      </w:r>
      <w:proofErr w:type="spellStart"/>
      <w:r w:rsidRPr="00523F59">
        <w:rPr>
          <w:rFonts w:ascii="Arial" w:hAnsi="Arial" w:cs="Arial"/>
        </w:rPr>
        <w:t>center</w:t>
      </w:r>
      <w:proofErr w:type="spellEnd"/>
      <w:r w:rsidRPr="00523F59">
        <w:rPr>
          <w:rFonts w:ascii="Arial" w:hAnsi="Arial" w:cs="Arial"/>
        </w:rPr>
        <w:t xml:space="preserve">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DC0B0C"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75pt;height:155.05pt;mso-width-percent:0;mso-height-percent:0;mso-width-percent:0;mso-height-percent:0" o:ole="">
            <v:imagedata r:id="rId9" o:title=""/>
          </v:shape>
          <o:OLEObject Type="Embed" ProgID="Visio.Drawing.15" ShapeID="_x0000_i1025" DrawAspect="Content" ObjectID="_1726907192" r:id="rId10"/>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 xml:space="preserve">ambiguity between UE and </w:t>
      </w:r>
      <w:proofErr w:type="spellStart"/>
      <w:r>
        <w:rPr>
          <w:rFonts w:ascii="Arial" w:hAnsi="Arial" w:cs="Arial"/>
        </w:rPr>
        <w:t>gNB</w:t>
      </w:r>
      <w:proofErr w:type="spellEnd"/>
      <w:r>
        <w:rPr>
          <w:rFonts w:ascii="Arial" w:hAnsi="Arial" w:cs="Arial"/>
        </w:rPr>
        <w:t xml:space="preserve">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CAB0" w14:textId="77777777" w:rsidR="00DC0B0C" w:rsidRDefault="00DC0B0C">
      <w:r>
        <w:separator/>
      </w:r>
    </w:p>
  </w:endnote>
  <w:endnote w:type="continuationSeparator" w:id="0">
    <w:p w14:paraId="2DE362C3" w14:textId="77777777" w:rsidR="00DC0B0C" w:rsidRDefault="00DC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TimesNewRomanPSMT">
    <w:altName w:val="MS Mincho"/>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6BB4" w14:textId="77777777" w:rsidR="00DC0B0C" w:rsidRDefault="00DC0B0C">
      <w:r>
        <w:separator/>
      </w:r>
    </w:p>
  </w:footnote>
  <w:footnote w:type="continuationSeparator" w:id="0">
    <w:p w14:paraId="7F61BAFF" w14:textId="77777777" w:rsidR="00DC0B0C" w:rsidRDefault="00DC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06050141">
    <w:abstractNumId w:val="0"/>
  </w:num>
  <w:num w:numId="2" w16cid:durableId="529689070">
    <w:abstractNumId w:val="16"/>
  </w:num>
  <w:num w:numId="3" w16cid:durableId="1231118629">
    <w:abstractNumId w:val="24"/>
  </w:num>
  <w:num w:numId="4" w16cid:durableId="1499729120">
    <w:abstractNumId w:val="19"/>
  </w:num>
  <w:num w:numId="5" w16cid:durableId="13366122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7550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466060">
    <w:abstractNumId w:val="6"/>
  </w:num>
  <w:num w:numId="8" w16cid:durableId="1717654443">
    <w:abstractNumId w:val="5"/>
  </w:num>
  <w:num w:numId="9" w16cid:durableId="284429581">
    <w:abstractNumId w:val="4"/>
  </w:num>
  <w:num w:numId="10" w16cid:durableId="190800861">
    <w:abstractNumId w:val="11"/>
  </w:num>
  <w:num w:numId="11" w16cid:durableId="1667172547">
    <w:abstractNumId w:val="3"/>
  </w:num>
  <w:num w:numId="12" w16cid:durableId="781803756">
    <w:abstractNumId w:val="2"/>
  </w:num>
  <w:num w:numId="13" w16cid:durableId="1858351660">
    <w:abstractNumId w:val="1"/>
  </w:num>
  <w:num w:numId="14" w16cid:durableId="1554124346">
    <w:abstractNumId w:val="25"/>
  </w:num>
  <w:num w:numId="15" w16cid:durableId="500504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958591">
    <w:abstractNumId w:val="8"/>
  </w:num>
  <w:num w:numId="17" w16cid:durableId="299917339">
    <w:abstractNumId w:val="26"/>
  </w:num>
  <w:num w:numId="18" w16cid:durableId="737289206">
    <w:abstractNumId w:val="9"/>
  </w:num>
  <w:num w:numId="19" w16cid:durableId="1390611626">
    <w:abstractNumId w:val="28"/>
  </w:num>
  <w:num w:numId="20" w16cid:durableId="30959495">
    <w:abstractNumId w:val="12"/>
  </w:num>
  <w:num w:numId="21" w16cid:durableId="1063025667">
    <w:abstractNumId w:val="7"/>
  </w:num>
  <w:num w:numId="22" w16cid:durableId="208807981">
    <w:abstractNumId w:val="27"/>
  </w:num>
  <w:num w:numId="23" w16cid:durableId="853375548">
    <w:abstractNumId w:val="14"/>
  </w:num>
  <w:num w:numId="24" w16cid:durableId="2012097880">
    <w:abstractNumId w:val="17"/>
  </w:num>
  <w:num w:numId="25" w16cid:durableId="2027172482">
    <w:abstractNumId w:val="10"/>
  </w:num>
  <w:num w:numId="26" w16cid:durableId="451825379">
    <w:abstractNumId w:val="22"/>
  </w:num>
  <w:num w:numId="27" w16cid:durableId="1913850418">
    <w:abstractNumId w:val="18"/>
  </w:num>
  <w:num w:numId="28" w16cid:durableId="1667787602">
    <w:abstractNumId w:val="20"/>
  </w:num>
  <w:num w:numId="29" w16cid:durableId="830951006">
    <w:abstractNumId w:val="23"/>
  </w:num>
  <w:num w:numId="30" w16cid:durableId="81412681">
    <w:abstractNumId w:val="13"/>
  </w:num>
  <w:num w:numId="31" w16cid:durableId="603654052">
    <w:abstractNumId w:val="15"/>
  </w:num>
  <w:num w:numId="32" w16cid:durableId="82031649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Naveen Palle Venkata</cp:lastModifiedBy>
  <cp:revision>17</cp:revision>
  <cp:lastPrinted>2009-04-22T00:01:00Z</cp:lastPrinted>
  <dcterms:created xsi:type="dcterms:W3CDTF">2022-10-10T13:20:00Z</dcterms:created>
  <dcterms:modified xsi:type="dcterms:W3CDTF">2022-10-10T18:33:00Z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