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621" w:rsidRDefault="0090184C">
      <w:pPr>
        <w:pStyle w:val="af3"/>
        <w:tabs>
          <w:tab w:val="right" w:pos="9645"/>
        </w:tabs>
        <w:spacing w:before="0" w:beforeAutospacing="0" w:after="0" w:afterAutospacing="0" w:line="240" w:lineRule="auto"/>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9bis</w:t>
      </w:r>
      <w:r>
        <w:rPr>
          <w:rFonts w:eastAsia="宋体"/>
          <w:b/>
          <w:szCs w:val="22"/>
          <w:lang w:val="en-US" w:eastAsia="zh-CN" w:bidi="ar"/>
        </w:rPr>
        <w:t xml:space="preserve"> electronic</w:t>
      </w:r>
      <w:r>
        <w:rPr>
          <w:rFonts w:eastAsia="宋体"/>
          <w:b/>
          <w:szCs w:val="22"/>
          <w:lang w:val="en-US" w:eastAsia="zh-CN" w:bidi="ar"/>
        </w:rPr>
        <w:tab/>
        <w:t>R2-2</w:t>
      </w:r>
      <w:r>
        <w:rPr>
          <w:rFonts w:eastAsia="宋体" w:hint="eastAsia"/>
          <w:b/>
          <w:szCs w:val="22"/>
          <w:lang w:val="en-US" w:eastAsia="zh-CN" w:bidi="ar"/>
        </w:rPr>
        <w:t>210662</w:t>
      </w:r>
    </w:p>
    <w:p w:rsidR="004A0621" w:rsidRDefault="0090184C">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xml:space="preserve"> </w:t>
      </w:r>
      <w:r>
        <w:rPr>
          <w:rFonts w:eastAsia="宋体" w:hint="eastAsia"/>
          <w:b/>
          <w:szCs w:val="22"/>
          <w:lang w:val="en-US" w:eastAsia="zh-CN" w:bidi="ar"/>
        </w:rPr>
        <w:t>10</w:t>
      </w:r>
      <w:r>
        <w:rPr>
          <w:rFonts w:eastAsia="宋体"/>
          <w:b/>
          <w:szCs w:val="22"/>
          <w:lang w:val="de" w:eastAsia="zh-CN" w:bidi="ar"/>
        </w:rPr>
        <w:t xml:space="preserve">th – </w:t>
      </w:r>
      <w:r>
        <w:rPr>
          <w:rFonts w:eastAsia="宋体" w:hint="eastAsia"/>
          <w:b/>
          <w:szCs w:val="22"/>
          <w:lang w:val="en-US" w:eastAsia="zh-CN" w:bidi="ar"/>
        </w:rPr>
        <w:t>19</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rsidR="004A0621" w:rsidRDefault="004A0621">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A0621" w:rsidRDefault="0090184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A0621" w:rsidRDefault="0090184C">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FR2 Fallback Group 5</w:t>
      </w:r>
    </w:p>
    <w:p w:rsidR="004A0621" w:rsidRDefault="0090184C">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6.24.1</w:t>
      </w:r>
      <w:r>
        <w:rPr>
          <w:rFonts w:ascii="Arial" w:hAnsi="Arial" w:cs="Arial" w:hint="eastAsia"/>
          <w:b/>
          <w:bCs/>
          <w:snapToGrid w:val="0"/>
          <w:kern w:val="0"/>
          <w:sz w:val="24"/>
        </w:rPr>
        <w:tab/>
      </w:r>
    </w:p>
    <w:p w:rsidR="004A0621" w:rsidRDefault="0090184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A0621" w:rsidRDefault="0090184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A0621" w:rsidRDefault="0090184C">
      <w:r>
        <w:rPr>
          <w:rFonts w:hint="eastAsia"/>
        </w:rPr>
        <w:t>In the last</w:t>
      </w:r>
      <w:r>
        <w:rPr>
          <w:rFonts w:hint="eastAsia"/>
        </w:rPr>
        <w:t xml:space="preserve"> meeting, a LS</w:t>
      </w:r>
      <w:r>
        <w:rPr>
          <w:rFonts w:hint="eastAsia"/>
        </w:rPr>
        <w:t>[1]</w:t>
      </w:r>
      <w:r>
        <w:rPr>
          <w:rFonts w:hint="eastAsia"/>
        </w:rPr>
        <w:t xml:space="preserve"> was received</w:t>
      </w:r>
      <w:r>
        <w:t xml:space="preserve"> fr</w:t>
      </w:r>
      <w:r>
        <w:rPr>
          <w:rFonts w:hint="eastAsia"/>
        </w:rPr>
        <w:t>o</w:t>
      </w:r>
      <w:r>
        <w:t>m RAN</w:t>
      </w:r>
      <w:r>
        <w:rPr>
          <w:rFonts w:hint="eastAsia"/>
        </w:rPr>
        <w:t>4 about the newly added Fallback Group 5. In which, the Fallback Group 5 was defined as below:</w:t>
      </w:r>
    </w:p>
    <w:tbl>
      <w:tblPr>
        <w:tblW w:w="481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71"/>
        <w:gridCol w:w="3178"/>
        <w:gridCol w:w="2456"/>
        <w:gridCol w:w="1497"/>
      </w:tblGrid>
      <w:tr w:rsidR="004A0621">
        <w:trPr>
          <w:trHeight w:val="23"/>
          <w:jc w:val="center"/>
        </w:trPr>
        <w:tc>
          <w:tcPr>
            <w:tcW w:w="1208" w:type="pct"/>
            <w:tcMar>
              <w:top w:w="15" w:type="dxa"/>
              <w:left w:w="108" w:type="dxa"/>
              <w:bottom w:w="0" w:type="dxa"/>
              <w:right w:w="108" w:type="dxa"/>
            </w:tcMar>
          </w:tcPr>
          <w:p w:rsidR="004A0621" w:rsidRDefault="0090184C">
            <w:pPr>
              <w:pStyle w:val="TAH"/>
              <w:rPr>
                <w:rFonts w:ascii="Times New Roman" w:eastAsia="MS PGothic" w:hAnsi="Times New Roman" w:cs="Times New Roman"/>
              </w:rPr>
            </w:pPr>
            <w:r>
              <w:rPr>
                <w:rFonts w:ascii="Times New Roman" w:hAnsi="Times New Roman" w:cs="Times New Roman"/>
              </w:rPr>
              <w:t>NR CA bandwidth class</w:t>
            </w:r>
          </w:p>
        </w:tc>
        <w:tc>
          <w:tcPr>
            <w:tcW w:w="1689" w:type="pct"/>
            <w:tcMar>
              <w:top w:w="15" w:type="dxa"/>
              <w:left w:w="108" w:type="dxa"/>
              <w:bottom w:w="0" w:type="dxa"/>
              <w:right w:w="108" w:type="dxa"/>
            </w:tcMar>
          </w:tcPr>
          <w:p w:rsidR="004A0621" w:rsidRDefault="0090184C">
            <w:pPr>
              <w:pStyle w:val="TAH"/>
              <w:rPr>
                <w:rFonts w:ascii="Times New Roman" w:eastAsia="MS PGothic" w:hAnsi="Times New Roman" w:cs="Times New Roman"/>
              </w:rPr>
            </w:pPr>
            <w:r>
              <w:rPr>
                <w:rFonts w:ascii="Times New Roman" w:hAnsi="Times New Roman" w:cs="Times New Roman"/>
              </w:rPr>
              <w:t>Aggregated channel bandwidth</w:t>
            </w:r>
          </w:p>
        </w:tc>
        <w:tc>
          <w:tcPr>
            <w:tcW w:w="1305" w:type="pct"/>
            <w:tcMar>
              <w:top w:w="15" w:type="dxa"/>
              <w:left w:w="108" w:type="dxa"/>
              <w:bottom w:w="0" w:type="dxa"/>
              <w:right w:w="108" w:type="dxa"/>
            </w:tcMar>
          </w:tcPr>
          <w:p w:rsidR="004A0621" w:rsidRDefault="0090184C">
            <w:pPr>
              <w:pStyle w:val="TAH"/>
              <w:rPr>
                <w:rFonts w:ascii="Times New Roman" w:eastAsia="MS PGothic" w:hAnsi="Times New Roman" w:cs="Times New Roman"/>
              </w:rPr>
            </w:pPr>
            <w:r>
              <w:rPr>
                <w:rFonts w:ascii="Times New Roman" w:hAnsi="Times New Roman" w:cs="Times New Roman"/>
              </w:rPr>
              <w:t>Number of contiguous CC</w:t>
            </w:r>
          </w:p>
        </w:tc>
        <w:tc>
          <w:tcPr>
            <w:tcW w:w="796" w:type="pct"/>
            <w:tcMar>
              <w:top w:w="15" w:type="dxa"/>
              <w:left w:w="15" w:type="dxa"/>
              <w:bottom w:w="0" w:type="dxa"/>
              <w:right w:w="15" w:type="dxa"/>
            </w:tcMar>
          </w:tcPr>
          <w:p w:rsidR="004A0621" w:rsidRDefault="0090184C">
            <w:pPr>
              <w:pStyle w:val="TAH"/>
              <w:rPr>
                <w:rFonts w:ascii="Times New Roman" w:eastAsia="MS PGothic" w:hAnsi="Times New Roman" w:cs="Times New Roman"/>
              </w:rPr>
            </w:pPr>
            <w:r>
              <w:rPr>
                <w:rFonts w:ascii="Times New Roman" w:hAnsi="Times New Roman" w:cs="Times New Roman"/>
              </w:rPr>
              <w:t>Fallback group</w:t>
            </w: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R2</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200 MHz ≤ BW</w:t>
            </w:r>
            <w:r>
              <w:rPr>
                <w:rFonts w:ascii="Times New Roman" w:hAnsi="Times New Roman" w:cs="Times New Roman"/>
                <w:vertAlign w:val="subscript"/>
              </w:rPr>
              <w:t>Channel_CA</w:t>
            </w:r>
            <w:r>
              <w:rPr>
                <w:rFonts w:ascii="Times New Roman" w:hAnsi="Times New Roman" w:cs="Times New Roman"/>
              </w:rPr>
              <w:t xml:space="preserve"> ≤ 400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w:t>
            </w:r>
          </w:p>
        </w:tc>
        <w:tc>
          <w:tcPr>
            <w:tcW w:w="796" w:type="pct"/>
            <w:vMerge w:val="restart"/>
            <w:tcBorders>
              <w:top w:val="nil"/>
              <w:left w:val="single" w:sz="4" w:space="0" w:color="auto"/>
              <w:right w:val="single" w:sz="4" w:space="0" w:color="auto"/>
            </w:tcBorders>
          </w:tcPr>
          <w:p w:rsidR="004A0621" w:rsidRDefault="0090184C">
            <w:pPr>
              <w:pStyle w:val="TAC"/>
              <w:rPr>
                <w:rFonts w:ascii="Times New Roman" w:eastAsia="MS PGothic" w:hAnsi="Times New Roman" w:cs="Times New Roman"/>
                <w:szCs w:val="18"/>
              </w:rPr>
            </w:pPr>
            <w:r>
              <w:rPr>
                <w:rFonts w:ascii="Times New Roman" w:eastAsia="MS PGothic" w:hAnsi="Times New Roman" w:cs="Times New Roman"/>
                <w:szCs w:val="18"/>
              </w:rPr>
              <w:t>5</w:t>
            </w:r>
          </w:p>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R3</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300 MHz ≤ BW</w:t>
            </w:r>
            <w:r>
              <w:rPr>
                <w:rFonts w:ascii="Times New Roman" w:hAnsi="Times New Roman" w:cs="Times New Roman"/>
                <w:vertAlign w:val="subscript"/>
              </w:rPr>
              <w:t>Channel_CA</w:t>
            </w:r>
            <w:r>
              <w:rPr>
                <w:rFonts w:ascii="Times New Roman" w:hAnsi="Times New Roman" w:cs="Times New Roman"/>
              </w:rPr>
              <w:t xml:space="preserve"> ≤ 600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R4</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400 MHz ≤ BW</w:t>
            </w:r>
            <w:r>
              <w:rPr>
                <w:rFonts w:ascii="Times New Roman" w:hAnsi="Times New Roman" w:cs="Times New Roman"/>
                <w:vertAlign w:val="subscript"/>
              </w:rPr>
              <w:t>Channel_CA</w:t>
            </w:r>
            <w:r>
              <w:rPr>
                <w:rFonts w:ascii="Times New Roman" w:hAnsi="Times New Roman" w:cs="Times New Roman"/>
              </w:rPr>
              <w:t xml:space="preserve"> ≤ 800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4</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R5</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500 MHz ≤ BW</w:t>
            </w:r>
            <w:r>
              <w:rPr>
                <w:rFonts w:ascii="Times New Roman" w:hAnsi="Times New Roman" w:cs="Times New Roman"/>
                <w:vertAlign w:val="subscript"/>
              </w:rPr>
              <w:t>Channel_CA</w:t>
            </w:r>
            <w:r>
              <w:rPr>
                <w:rFonts w:ascii="Times New Roman" w:hAnsi="Times New Roman" w:cs="Times New Roman"/>
              </w:rPr>
              <w:t xml:space="preserve"> ≤ 1000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5</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R6</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600 MHz ≤ BW</w:t>
            </w:r>
            <w:r>
              <w:rPr>
                <w:rFonts w:ascii="Times New Roman" w:hAnsi="Times New Roman" w:cs="Times New Roman"/>
                <w:vertAlign w:val="subscript"/>
              </w:rPr>
              <w:t>Channel_CA</w:t>
            </w:r>
            <w:r>
              <w:rPr>
                <w:rFonts w:ascii="Times New Roman" w:hAnsi="Times New Roman" w:cs="Times New Roman"/>
              </w:rPr>
              <w:t xml:space="preserve"> ≤ 1200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6</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R7</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700 MHz ≤ BW</w:t>
            </w:r>
            <w:r>
              <w:rPr>
                <w:rFonts w:ascii="Times New Roman" w:hAnsi="Times New Roman" w:cs="Times New Roman"/>
                <w:vertAlign w:val="subscript"/>
              </w:rPr>
              <w:t>Channel_CA</w:t>
            </w:r>
            <w:r>
              <w:rPr>
                <w:rFonts w:ascii="Times New Roman" w:hAnsi="Times New Roman" w:cs="Times New Roman"/>
              </w:rPr>
              <w:t xml:space="preserve"> ≤ 1400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7</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R8</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800 MHz ≤ BW</w:t>
            </w:r>
            <w:r>
              <w:rPr>
                <w:rFonts w:ascii="Times New Roman" w:hAnsi="Times New Roman" w:cs="Times New Roman"/>
                <w:vertAlign w:val="subscript"/>
              </w:rPr>
              <w:t>Channel_CA</w:t>
            </w:r>
            <w:r>
              <w:rPr>
                <w:rFonts w:ascii="Times New Roman" w:hAnsi="Times New Roman" w:cs="Times New Roman"/>
              </w:rPr>
              <w:t xml:space="preserve"> ≤ 1600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8</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R9</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900 MHz ≤ BW</w:t>
            </w:r>
            <w:r>
              <w:rPr>
                <w:rFonts w:ascii="Times New Roman" w:hAnsi="Times New Roman" w:cs="Times New Roman"/>
                <w:vertAlign w:val="subscript"/>
              </w:rPr>
              <w:t>Channel_CA</w:t>
            </w:r>
            <w:r>
              <w:rPr>
                <w:rFonts w:ascii="Times New Roman" w:hAnsi="Times New Roman" w:cs="Times New Roman"/>
              </w:rPr>
              <w:t xml:space="preserve"> ≤ 1800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9</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R10</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1000 MHz ≤ BW</w:t>
            </w:r>
            <w:r>
              <w:rPr>
                <w:rFonts w:ascii="Times New Roman" w:hAnsi="Times New Roman" w:cs="Times New Roman"/>
                <w:vertAlign w:val="subscript"/>
              </w:rPr>
              <w:t>Channel_CA</w:t>
            </w:r>
            <w:r>
              <w:rPr>
                <w:rFonts w:ascii="Times New Roman" w:hAnsi="Times New Roman" w:cs="Times New Roman"/>
              </w:rPr>
              <w:t xml:space="preserve"> ≤ 2000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10</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R11</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1100 MHz ≤ BW</w:t>
            </w:r>
            <w:r>
              <w:rPr>
                <w:rFonts w:ascii="Times New Roman" w:hAnsi="Times New Roman" w:cs="Times New Roman"/>
                <w:vertAlign w:val="subscript"/>
              </w:rPr>
              <w:t>Channel_CA</w:t>
            </w:r>
            <w:r>
              <w:rPr>
                <w:rFonts w:ascii="Times New Roman" w:hAnsi="Times New Roman" w:cs="Times New Roman"/>
              </w:rPr>
              <w:t xml:space="preserve"> ≤ 2200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11</w:t>
            </w:r>
          </w:p>
        </w:tc>
        <w:tc>
          <w:tcPr>
            <w:tcW w:w="796" w:type="pct"/>
            <w:vMerge/>
            <w:tcBorders>
              <w:left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r w:rsidR="004A0621">
        <w:trPr>
          <w:trHeight w:hRule="exact" w:val="283"/>
          <w:jc w:val="center"/>
        </w:trPr>
        <w:tc>
          <w:tcPr>
            <w:tcW w:w="1208"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R12</w:t>
            </w:r>
          </w:p>
        </w:tc>
        <w:tc>
          <w:tcPr>
            <w:tcW w:w="1689"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1200 MHz ≤ BW</w:t>
            </w:r>
            <w:r>
              <w:rPr>
                <w:rFonts w:ascii="Times New Roman" w:hAnsi="Times New Roman" w:cs="Times New Roman"/>
                <w:vertAlign w:val="subscript"/>
              </w:rPr>
              <w:t>Channel_CA</w:t>
            </w:r>
            <w:r>
              <w:rPr>
                <w:rFonts w:ascii="Times New Roman" w:hAnsi="Times New Roman" w:cs="Times New Roman"/>
              </w:rPr>
              <w:t xml:space="preserve"> ≤ 2400 MHz</w:t>
            </w:r>
          </w:p>
        </w:tc>
        <w:tc>
          <w:tcPr>
            <w:tcW w:w="13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12</w:t>
            </w:r>
          </w:p>
        </w:tc>
        <w:tc>
          <w:tcPr>
            <w:tcW w:w="796" w:type="pct"/>
            <w:vMerge/>
            <w:tcBorders>
              <w:left w:val="single" w:sz="4" w:space="0" w:color="auto"/>
              <w:bottom w:val="single" w:sz="4" w:space="0" w:color="auto"/>
              <w:right w:val="single" w:sz="4" w:space="0" w:color="auto"/>
            </w:tcBorders>
          </w:tcPr>
          <w:p w:rsidR="004A0621" w:rsidRDefault="004A0621">
            <w:pPr>
              <w:pStyle w:val="TAC"/>
              <w:rPr>
                <w:rFonts w:ascii="Times New Roman" w:eastAsia="MS PGothic" w:hAnsi="Times New Roman" w:cs="Times New Roman"/>
                <w:szCs w:val="18"/>
              </w:rPr>
            </w:pPr>
          </w:p>
        </w:tc>
      </w:tr>
    </w:tbl>
    <w:p w:rsidR="004A0621" w:rsidRDefault="0090184C">
      <w:pPr>
        <w:spacing w:after="120"/>
        <w:rPr>
          <w:b/>
        </w:rPr>
      </w:pPr>
      <w:r>
        <w:rPr>
          <w:rFonts w:hint="eastAsia"/>
        </w:rPr>
        <w:t>Furthermore, it also notes that</w:t>
      </w:r>
      <w:r>
        <w:rPr>
          <w:rFonts w:hint="eastAsia"/>
        </w:rPr>
        <w:t xml:space="preserve"> in </w:t>
      </w:r>
      <w:r>
        <w:rPr>
          <w:rFonts w:hint="eastAsia"/>
        </w:rPr>
        <w:t>Rel 17</w:t>
      </w:r>
      <w:r>
        <w:rPr>
          <w:rFonts w:hint="eastAsia"/>
        </w:rPr>
        <w:t xml:space="preserve">, </w:t>
      </w:r>
      <w:r>
        <w:t xml:space="preserve">the minimum requirements for </w:t>
      </w:r>
      <w:r>
        <w:t>intra-band contiguous CA configurations apply for aggregated channel bandwidths up to 1600 MHz</w:t>
      </w:r>
      <w:r>
        <w:rPr>
          <w:rFonts w:hint="eastAsia"/>
        </w:rPr>
        <w:t>. To indicate this bandwidth limitation,</w:t>
      </w:r>
      <w:r>
        <w:t xml:space="preserve"> </w:t>
      </w:r>
      <w:r>
        <w:rPr>
          <w:rFonts w:hint="eastAsia"/>
        </w:rPr>
        <w:t xml:space="preserve">a new element was </w:t>
      </w:r>
      <w:r>
        <w:rPr>
          <w:rFonts w:hint="eastAsia"/>
        </w:rPr>
        <w:t xml:space="preserve">also </w:t>
      </w:r>
      <w:r>
        <w:rPr>
          <w:rFonts w:hint="eastAsia"/>
        </w:rPr>
        <w:t>recommended to indicate a</w:t>
      </w:r>
      <w:r w:rsidR="00856137">
        <w:t xml:space="preserve"> </w:t>
      </w:r>
      <w:r>
        <w:rPr>
          <w:rFonts w:hint="eastAsia"/>
        </w:rPr>
        <w:t>per band per BC aggregated channel bandwidth</w:t>
      </w:r>
      <w:r>
        <w:rPr>
          <w:rFonts w:hint="eastAsia"/>
        </w:rPr>
        <w:t xml:space="preserve"> for both Uplink and downlin</w:t>
      </w:r>
      <w:r>
        <w:rPr>
          <w:rFonts w:hint="eastAsia"/>
        </w:rPr>
        <w:t xml:space="preserve">k. </w:t>
      </w:r>
    </w:p>
    <w:p w:rsidR="004A0621" w:rsidRDefault="0090184C">
      <w:r>
        <w:rPr>
          <w:rFonts w:hint="eastAsia"/>
        </w:rPr>
        <w:t>In this paper, we</w:t>
      </w:r>
      <w:r>
        <w:t>’</w:t>
      </w:r>
      <w:r>
        <w:rPr>
          <w:rFonts w:hint="eastAsia"/>
        </w:rPr>
        <w:t>d like to share our views on this LS.</w:t>
      </w:r>
    </w:p>
    <w:p w:rsidR="004A0621" w:rsidRDefault="0090184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A0621" w:rsidRDefault="0090184C">
      <w:r>
        <w:rPr>
          <w:rFonts w:hint="eastAsia"/>
        </w:rPr>
        <w:t>In this chapter, we first share our understanding on the newly added Fallback Group 5, then discuss the interoperability and the feasibility of the new element.</w:t>
      </w:r>
    </w:p>
    <w:p w:rsidR="004A0621" w:rsidRDefault="0090184C">
      <w:pPr>
        <w:pStyle w:val="2"/>
        <w:ind w:left="0" w:firstLine="0"/>
        <w:rPr>
          <w:b w:val="0"/>
          <w:bCs w:val="0"/>
          <w:lang w:val="en-US"/>
        </w:rPr>
      </w:pPr>
      <w:r>
        <w:rPr>
          <w:rFonts w:hint="eastAsia"/>
          <w:b w:val="0"/>
          <w:bCs w:val="0"/>
          <w:lang w:val="en-US"/>
        </w:rPr>
        <w:t>2.1 Relationship between</w:t>
      </w:r>
      <w:r>
        <w:rPr>
          <w:rFonts w:hint="eastAsia"/>
          <w:b w:val="0"/>
          <w:bCs w:val="0"/>
          <w:lang w:val="en-US"/>
        </w:rPr>
        <w:t xml:space="preserve"> FBG 5 and legacy FBGs</w:t>
      </w:r>
    </w:p>
    <w:p w:rsidR="004A0621" w:rsidRDefault="0090184C">
      <w:r>
        <w:rPr>
          <w:rFonts w:hint="eastAsia"/>
        </w:rPr>
        <w:t>According to RAN2</w:t>
      </w:r>
      <w:r>
        <w:t>’</w:t>
      </w:r>
      <w:r w:rsidR="00856137">
        <w:rPr>
          <w:rFonts w:hint="eastAsia"/>
        </w:rPr>
        <w:t>s understanding</w:t>
      </w:r>
      <w:r>
        <w:rPr>
          <w:rFonts w:hint="eastAsia"/>
        </w:rPr>
        <w:t>,</w:t>
      </w:r>
      <w:r w:rsidR="00856137">
        <w:t xml:space="preserve"> </w:t>
      </w:r>
      <w:r>
        <w:rPr>
          <w:rFonts w:hint="eastAsia"/>
        </w:rPr>
        <w:t>the different FBGs are independent and the aggregated channel bandwidth ranges are not overlapped.</w:t>
      </w:r>
      <w:r w:rsidR="00856137">
        <w:t xml:space="preserve"> </w:t>
      </w:r>
      <w:r>
        <w:rPr>
          <w:rFonts w:hint="eastAsia"/>
        </w:rPr>
        <w:t xml:space="preserve">But the classes in FBG5 are different. Take the R2/R3 of FBG5 and D/E of FBG 2 as an example: </w:t>
      </w:r>
    </w:p>
    <w:p w:rsidR="004A0621" w:rsidRDefault="0090184C">
      <w:pPr>
        <w:jc w:val="center"/>
      </w:pPr>
      <w:r>
        <w:rPr>
          <w:rFonts w:hint="eastAsia"/>
          <w:b/>
          <w:bCs/>
        </w:rPr>
        <w:lastRenderedPageBreak/>
        <w:t>Table</w:t>
      </w:r>
      <w:r>
        <w:rPr>
          <w:rFonts w:hint="eastAsia"/>
          <w:b/>
          <w:bCs/>
        </w:rPr>
        <w:t xml:space="preserve"> 1: Aggregated bandwidth for each bandwidth class of FBG 2 and FBG 5</w:t>
      </w:r>
    </w:p>
    <w:tbl>
      <w:tblPr>
        <w:tblW w:w="499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180"/>
        <w:gridCol w:w="2179"/>
        <w:gridCol w:w="3050"/>
        <w:gridCol w:w="2353"/>
      </w:tblGrid>
      <w:tr w:rsidR="004A0621">
        <w:trPr>
          <w:trHeight w:hRule="exact" w:val="283"/>
          <w:jc w:val="center"/>
        </w:trPr>
        <w:tc>
          <w:tcPr>
            <w:tcW w:w="1116" w:type="pc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b/>
                <w:bCs/>
                <w:lang w:val="en-US" w:eastAsia="zh-CN"/>
              </w:rPr>
              <w:t>FBG</w:t>
            </w:r>
          </w:p>
        </w:tc>
        <w:tc>
          <w:tcPr>
            <w:tcW w:w="2231" w:type="dxa"/>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NR CA bandwidth class</w:t>
            </w:r>
          </w:p>
        </w:tc>
        <w:tc>
          <w:tcPr>
            <w:tcW w:w="3120" w:type="dxa"/>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Aggregated channel bandwidth</w:t>
            </w:r>
          </w:p>
        </w:tc>
        <w:tc>
          <w:tcPr>
            <w:tcW w:w="2409" w:type="dxa"/>
            <w:tcBorders>
              <w:right w:val="single" w:sz="4" w:space="0" w:color="auto"/>
            </w:tcBorders>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Number of contiguous CC</w:t>
            </w:r>
          </w:p>
        </w:tc>
      </w:tr>
      <w:tr w:rsidR="004A0621">
        <w:trPr>
          <w:trHeight w:hRule="exact" w:val="283"/>
          <w:jc w:val="center"/>
        </w:trPr>
        <w:tc>
          <w:tcPr>
            <w:tcW w:w="1116" w:type="pct"/>
            <w:vMerge w:val="restar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FBG 5</w:t>
            </w:r>
          </w:p>
        </w:tc>
        <w:tc>
          <w:tcPr>
            <w:tcW w:w="1116"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R2</w:t>
            </w:r>
          </w:p>
        </w:tc>
        <w:tc>
          <w:tcPr>
            <w:tcW w:w="1561"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200 MHz ≤ BW</w:t>
            </w:r>
            <w:r>
              <w:rPr>
                <w:rFonts w:ascii="Times New Roman" w:hAnsi="Times New Roman" w:cs="Times New Roman"/>
                <w:vertAlign w:val="subscript"/>
              </w:rPr>
              <w:t>Channel_CA</w:t>
            </w:r>
            <w:r>
              <w:rPr>
                <w:rFonts w:ascii="Times New Roman" w:hAnsi="Times New Roman" w:cs="Times New Roman"/>
              </w:rPr>
              <w:t xml:space="preserve"> ≤ 400 MHz</w:t>
            </w:r>
          </w:p>
        </w:tc>
        <w:tc>
          <w:tcPr>
            <w:tcW w:w="12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w:t>
            </w:r>
          </w:p>
        </w:tc>
      </w:tr>
      <w:tr w:rsidR="004A0621">
        <w:trPr>
          <w:trHeight w:hRule="exact" w:val="283"/>
          <w:jc w:val="center"/>
        </w:trPr>
        <w:tc>
          <w:tcPr>
            <w:tcW w:w="1116" w:type="pct"/>
            <w:vMerge/>
            <w:tcMar>
              <w:top w:w="15" w:type="dxa"/>
              <w:left w:w="108" w:type="dxa"/>
              <w:bottom w:w="0" w:type="dxa"/>
              <w:right w:w="108" w:type="dxa"/>
            </w:tcMar>
          </w:tcPr>
          <w:p w:rsidR="004A0621" w:rsidRDefault="004A0621">
            <w:pPr>
              <w:pStyle w:val="TAC"/>
              <w:rPr>
                <w:rFonts w:ascii="Times New Roman" w:hAnsi="Times New Roman" w:cs="Times New Roman"/>
              </w:rPr>
            </w:pPr>
          </w:p>
        </w:tc>
        <w:tc>
          <w:tcPr>
            <w:tcW w:w="1116"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R3</w:t>
            </w:r>
          </w:p>
        </w:tc>
        <w:tc>
          <w:tcPr>
            <w:tcW w:w="1561"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300 MHz ≤ BW</w:t>
            </w:r>
            <w:r>
              <w:rPr>
                <w:rFonts w:ascii="Times New Roman" w:hAnsi="Times New Roman" w:cs="Times New Roman"/>
                <w:vertAlign w:val="subscript"/>
              </w:rPr>
              <w:t>Channel_CA</w:t>
            </w:r>
            <w:r>
              <w:rPr>
                <w:rFonts w:ascii="Times New Roman" w:hAnsi="Times New Roman" w:cs="Times New Roman"/>
              </w:rPr>
              <w:t xml:space="preserve"> ≤ 600 MHz</w:t>
            </w:r>
          </w:p>
        </w:tc>
        <w:tc>
          <w:tcPr>
            <w:tcW w:w="12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w:t>
            </w:r>
          </w:p>
        </w:tc>
      </w:tr>
      <w:tr w:rsidR="004A0621">
        <w:trPr>
          <w:trHeight w:hRule="exact" w:val="283"/>
          <w:jc w:val="center"/>
        </w:trPr>
        <w:tc>
          <w:tcPr>
            <w:tcW w:w="1116" w:type="pct"/>
            <w:vMerge w:val="restar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FBG 2</w:t>
            </w:r>
          </w:p>
        </w:tc>
        <w:tc>
          <w:tcPr>
            <w:tcW w:w="2231"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D</w:t>
            </w:r>
          </w:p>
        </w:tc>
        <w:tc>
          <w:tcPr>
            <w:tcW w:w="3120"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200 MHz &lt; BW</w:t>
            </w:r>
            <w:r>
              <w:rPr>
                <w:rFonts w:ascii="Times New Roman" w:hAnsi="Times New Roman" w:cs="Times New Roman"/>
                <w:vertAlign w:val="subscript"/>
              </w:rPr>
              <w:t>Channel_CA</w:t>
            </w:r>
            <w:r>
              <w:rPr>
                <w:rFonts w:ascii="Times New Roman" w:hAnsi="Times New Roman" w:cs="Times New Roman"/>
              </w:rPr>
              <w:t xml:space="preserve"> ≤ 400 MHz</w:t>
            </w:r>
          </w:p>
        </w:tc>
        <w:tc>
          <w:tcPr>
            <w:tcW w:w="2409" w:type="dxa"/>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w:t>
            </w:r>
          </w:p>
        </w:tc>
      </w:tr>
      <w:tr w:rsidR="004A0621">
        <w:trPr>
          <w:trHeight w:hRule="exact" w:val="283"/>
          <w:jc w:val="center"/>
        </w:trPr>
        <w:tc>
          <w:tcPr>
            <w:tcW w:w="1116" w:type="pct"/>
            <w:vMerge/>
            <w:tcMar>
              <w:top w:w="15" w:type="dxa"/>
              <w:left w:w="108" w:type="dxa"/>
              <w:bottom w:w="0" w:type="dxa"/>
              <w:right w:w="108" w:type="dxa"/>
            </w:tcMar>
          </w:tcPr>
          <w:p w:rsidR="004A0621" w:rsidRDefault="004A0621">
            <w:pPr>
              <w:pStyle w:val="TAC"/>
              <w:rPr>
                <w:rFonts w:ascii="Times New Roman" w:hAnsi="Times New Roman" w:cs="Times New Roman"/>
              </w:rPr>
            </w:pPr>
          </w:p>
        </w:tc>
        <w:tc>
          <w:tcPr>
            <w:tcW w:w="2231"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E</w:t>
            </w:r>
          </w:p>
        </w:tc>
        <w:tc>
          <w:tcPr>
            <w:tcW w:w="3120"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400 MHz &lt; BW</w:t>
            </w:r>
            <w:r>
              <w:rPr>
                <w:rFonts w:ascii="Times New Roman" w:hAnsi="Times New Roman" w:cs="Times New Roman"/>
                <w:vertAlign w:val="subscript"/>
              </w:rPr>
              <w:t>Channel_CA</w:t>
            </w:r>
            <w:r>
              <w:rPr>
                <w:rFonts w:ascii="Times New Roman" w:hAnsi="Times New Roman" w:cs="Times New Roman"/>
              </w:rPr>
              <w:t xml:space="preserve"> ≤ 600 MHz</w:t>
            </w:r>
          </w:p>
        </w:tc>
        <w:tc>
          <w:tcPr>
            <w:tcW w:w="2409" w:type="dxa"/>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w:t>
            </w:r>
          </w:p>
        </w:tc>
      </w:tr>
    </w:tbl>
    <w:p w:rsidR="004A0621" w:rsidRDefault="004A0621"/>
    <w:p w:rsidR="004A0621" w:rsidRDefault="0090184C">
      <w:pPr>
        <w:jc w:val="center"/>
        <w:rPr>
          <w:b/>
          <w:bCs/>
        </w:rPr>
      </w:pPr>
      <w:r>
        <w:rPr>
          <w:rFonts w:hint="eastAsia"/>
        </w:rPr>
        <w:object w:dxaOrig="9979"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25pt;height:138.55pt" o:ole="">
            <v:imagedata r:id="rId9" o:title=""/>
            <o:lock v:ext="edit" aspectratio="f"/>
          </v:shape>
          <o:OLEObject Type="Embed" ProgID="Visio.Drawing.15" ShapeID="_x0000_i1025" DrawAspect="Content" ObjectID="_1726065296" r:id="rId10"/>
        </w:object>
      </w:r>
      <w:r>
        <w:rPr>
          <w:rFonts w:hint="eastAsia"/>
        </w:rPr>
        <w:t>Fig</w:t>
      </w:r>
      <w:r>
        <w:rPr>
          <w:rFonts w:hint="eastAsia"/>
          <w:b/>
          <w:bCs/>
        </w:rPr>
        <w:t xml:space="preserve"> 1: Aggregated bandwidth for each bandwidth class</w:t>
      </w:r>
    </w:p>
    <w:p w:rsidR="004A0621" w:rsidRDefault="0090184C">
      <w:r>
        <w:rPr>
          <w:rFonts w:hint="eastAsia"/>
        </w:rPr>
        <w:t>The &lt;</w:t>
      </w:r>
      <w:r>
        <w:t>Aggregated channel bandwidth</w:t>
      </w:r>
      <w:r>
        <w:rPr>
          <w:rFonts w:hint="eastAsia"/>
        </w:rPr>
        <w:t xml:space="preserve">, </w:t>
      </w:r>
      <w:r>
        <w:t>Number of contiguous CC</w:t>
      </w:r>
      <w:r>
        <w:rPr>
          <w:rFonts w:hint="eastAsia"/>
        </w:rPr>
        <w:t>&gt;</w:t>
      </w:r>
      <w:r>
        <w:rPr>
          <w:rFonts w:hint="eastAsia"/>
        </w:rPr>
        <w:t xml:space="preserve"> of FR2 class D are the same as that of FBG 5 class R2, while the </w:t>
      </w:r>
      <w:r>
        <w:rPr>
          <w:rFonts w:hint="eastAsia"/>
        </w:rPr>
        <w:t>&lt;</w:t>
      </w:r>
      <w:r>
        <w:t>Aggregated channel bandwidth</w:t>
      </w:r>
      <w:r>
        <w:rPr>
          <w:rFonts w:hint="eastAsia"/>
        </w:rPr>
        <w:t xml:space="preserve">, </w:t>
      </w:r>
      <w:r>
        <w:t>Number of contiguous CC</w:t>
      </w:r>
      <w:r>
        <w:rPr>
          <w:rFonts w:hint="eastAsia"/>
        </w:rPr>
        <w:t>&gt; of FR2 class E are the same as FBG 5 class R3 case 1.</w:t>
      </w:r>
    </w:p>
    <w:p w:rsidR="004A0621" w:rsidRDefault="0090184C">
      <w:pPr>
        <w:rPr>
          <w:b/>
          <w:bCs/>
        </w:rPr>
      </w:pPr>
      <w:r>
        <w:rPr>
          <w:rFonts w:hint="eastAsia"/>
          <w:b/>
          <w:bCs/>
        </w:rPr>
        <w:t xml:space="preserve">Observation 1: The </w:t>
      </w:r>
      <w:r>
        <w:rPr>
          <w:rFonts w:hint="eastAsia"/>
          <w:b/>
          <w:bCs/>
        </w:rPr>
        <w:t>&lt;</w:t>
      </w:r>
      <w:r>
        <w:rPr>
          <w:b/>
          <w:bCs/>
        </w:rPr>
        <w:t>Aggregated channel bandwidth</w:t>
      </w:r>
      <w:r>
        <w:rPr>
          <w:rFonts w:hint="eastAsia"/>
          <w:b/>
          <w:bCs/>
        </w:rPr>
        <w:t xml:space="preserve">, </w:t>
      </w:r>
      <w:r>
        <w:rPr>
          <w:b/>
          <w:bCs/>
        </w:rPr>
        <w:t>Number of contiguous CC</w:t>
      </w:r>
      <w:r>
        <w:rPr>
          <w:rFonts w:hint="eastAsia"/>
          <w:b/>
          <w:bCs/>
        </w:rPr>
        <w:t>&gt; of FB</w:t>
      </w:r>
      <w:r>
        <w:rPr>
          <w:rFonts w:hint="eastAsia"/>
          <w:b/>
          <w:bCs/>
        </w:rPr>
        <w:t>G 2 bandwidth classes are covered by that of FBG 5 bandwidth classes.</w:t>
      </w:r>
    </w:p>
    <w:p w:rsidR="004A0621" w:rsidRDefault="0090184C">
      <w:r>
        <w:rPr>
          <w:rFonts w:hint="eastAsia"/>
        </w:rPr>
        <w:t>Similarly, there are also some overlap between the FBG5 bandwidth class and FBG3 bandwidth class.</w:t>
      </w:r>
    </w:p>
    <w:p w:rsidR="004A0621" w:rsidRDefault="0090184C">
      <w:pPr>
        <w:jc w:val="center"/>
        <w:rPr>
          <w:b/>
          <w:bCs/>
        </w:rPr>
      </w:pPr>
      <w:r>
        <w:rPr>
          <w:rFonts w:hint="eastAsia"/>
          <w:b/>
          <w:bCs/>
        </w:rPr>
        <w:t>Table 2: Aggregated bandwidth for each bandwidth class of FBG 3 and FBG 5</w:t>
      </w:r>
    </w:p>
    <w:tbl>
      <w:tblPr>
        <w:tblW w:w="499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180"/>
        <w:gridCol w:w="2179"/>
        <w:gridCol w:w="3050"/>
        <w:gridCol w:w="2353"/>
      </w:tblGrid>
      <w:tr w:rsidR="004A0621">
        <w:trPr>
          <w:trHeight w:hRule="exact" w:val="283"/>
          <w:jc w:val="center"/>
        </w:trPr>
        <w:tc>
          <w:tcPr>
            <w:tcW w:w="1116" w:type="pc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b/>
                <w:bCs/>
                <w:lang w:val="en-US" w:eastAsia="zh-CN"/>
              </w:rPr>
              <w:t>FBG</w:t>
            </w:r>
          </w:p>
        </w:tc>
        <w:tc>
          <w:tcPr>
            <w:tcW w:w="2231" w:type="dxa"/>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NR CA band</w:t>
            </w:r>
            <w:r>
              <w:rPr>
                <w:rFonts w:ascii="Times New Roman" w:hAnsi="Times New Roman" w:cs="Times New Roman"/>
              </w:rPr>
              <w:t>width class</w:t>
            </w:r>
          </w:p>
        </w:tc>
        <w:tc>
          <w:tcPr>
            <w:tcW w:w="3120" w:type="dxa"/>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Aggregated channel bandwidth</w:t>
            </w:r>
          </w:p>
        </w:tc>
        <w:tc>
          <w:tcPr>
            <w:tcW w:w="2409" w:type="dxa"/>
            <w:tcBorders>
              <w:right w:val="single" w:sz="4" w:space="0" w:color="auto"/>
            </w:tcBorders>
            <w:tcMar>
              <w:top w:w="15" w:type="dxa"/>
              <w:left w:w="108" w:type="dxa"/>
              <w:bottom w:w="0" w:type="dxa"/>
              <w:right w:w="108" w:type="dxa"/>
            </w:tcMar>
          </w:tcPr>
          <w:p w:rsidR="004A0621" w:rsidRDefault="0090184C">
            <w:pPr>
              <w:pStyle w:val="TAH"/>
              <w:rPr>
                <w:rFonts w:ascii="Times New Roman" w:hAnsi="Times New Roman" w:cs="Times New Roman"/>
              </w:rPr>
            </w:pPr>
            <w:r>
              <w:rPr>
                <w:rFonts w:ascii="Times New Roman" w:hAnsi="Times New Roman" w:cs="Times New Roman"/>
              </w:rPr>
              <w:t>Number of contiguous CC</w:t>
            </w:r>
          </w:p>
        </w:tc>
      </w:tr>
      <w:tr w:rsidR="004A0621">
        <w:trPr>
          <w:trHeight w:hRule="exact" w:val="283"/>
          <w:jc w:val="center"/>
        </w:trPr>
        <w:tc>
          <w:tcPr>
            <w:tcW w:w="1116" w:type="pct"/>
            <w:vMerge w:val="restar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FBG 5</w:t>
            </w:r>
          </w:p>
        </w:tc>
        <w:tc>
          <w:tcPr>
            <w:tcW w:w="1116"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R2</w:t>
            </w:r>
          </w:p>
        </w:tc>
        <w:tc>
          <w:tcPr>
            <w:tcW w:w="1561"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200 MHz ≤ BW</w:t>
            </w:r>
            <w:r>
              <w:rPr>
                <w:rFonts w:ascii="Times New Roman" w:hAnsi="Times New Roman" w:cs="Times New Roman"/>
                <w:vertAlign w:val="subscript"/>
              </w:rPr>
              <w:t>Channel_CA</w:t>
            </w:r>
            <w:r>
              <w:rPr>
                <w:rFonts w:ascii="Times New Roman" w:hAnsi="Times New Roman" w:cs="Times New Roman"/>
              </w:rPr>
              <w:t xml:space="preserve"> ≤ 400 MHz</w:t>
            </w:r>
          </w:p>
        </w:tc>
        <w:tc>
          <w:tcPr>
            <w:tcW w:w="12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w:t>
            </w:r>
          </w:p>
        </w:tc>
      </w:tr>
      <w:tr w:rsidR="004A0621">
        <w:trPr>
          <w:trHeight w:hRule="exact" w:val="283"/>
          <w:jc w:val="center"/>
        </w:trPr>
        <w:tc>
          <w:tcPr>
            <w:tcW w:w="1116" w:type="pct"/>
            <w:vMerge/>
            <w:tcMar>
              <w:top w:w="15" w:type="dxa"/>
              <w:left w:w="108" w:type="dxa"/>
              <w:bottom w:w="0" w:type="dxa"/>
              <w:right w:w="108" w:type="dxa"/>
            </w:tcMar>
          </w:tcPr>
          <w:p w:rsidR="004A0621" w:rsidRDefault="004A0621">
            <w:pPr>
              <w:pStyle w:val="TAC"/>
              <w:rPr>
                <w:rFonts w:ascii="Times New Roman" w:hAnsi="Times New Roman" w:cs="Times New Roman"/>
              </w:rPr>
            </w:pPr>
          </w:p>
        </w:tc>
        <w:tc>
          <w:tcPr>
            <w:tcW w:w="1116"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R3</w:t>
            </w:r>
          </w:p>
        </w:tc>
        <w:tc>
          <w:tcPr>
            <w:tcW w:w="1561" w:type="pct"/>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300 MHz ≤ BW</w:t>
            </w:r>
            <w:r>
              <w:rPr>
                <w:rFonts w:ascii="Times New Roman" w:hAnsi="Times New Roman" w:cs="Times New Roman"/>
                <w:vertAlign w:val="subscript"/>
              </w:rPr>
              <w:t>Channel_CA</w:t>
            </w:r>
            <w:r>
              <w:rPr>
                <w:rFonts w:ascii="Times New Roman" w:hAnsi="Times New Roman" w:cs="Times New Roman"/>
              </w:rPr>
              <w:t xml:space="preserve"> ≤ 600 MHz</w:t>
            </w:r>
          </w:p>
        </w:tc>
        <w:tc>
          <w:tcPr>
            <w:tcW w:w="1205" w:type="pct"/>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w:t>
            </w:r>
          </w:p>
        </w:tc>
      </w:tr>
      <w:tr w:rsidR="004A0621">
        <w:trPr>
          <w:trHeight w:hRule="exact" w:val="283"/>
          <w:jc w:val="center"/>
        </w:trPr>
        <w:tc>
          <w:tcPr>
            <w:tcW w:w="1116" w:type="pct"/>
            <w:vMerge w:val="restart"/>
            <w:tcMar>
              <w:top w:w="15" w:type="dxa"/>
              <w:left w:w="108" w:type="dxa"/>
              <w:bottom w:w="0" w:type="dxa"/>
              <w:right w:w="108" w:type="dxa"/>
            </w:tcMar>
          </w:tcPr>
          <w:p w:rsidR="004A0621" w:rsidRDefault="0090184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FBG 3</w:t>
            </w:r>
          </w:p>
        </w:tc>
        <w:tc>
          <w:tcPr>
            <w:tcW w:w="2231"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G</w:t>
            </w:r>
          </w:p>
        </w:tc>
        <w:tc>
          <w:tcPr>
            <w:tcW w:w="3120"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100 MHz &lt; BW</w:t>
            </w:r>
            <w:r>
              <w:rPr>
                <w:rFonts w:ascii="Times New Roman" w:hAnsi="Times New Roman" w:cs="Times New Roman"/>
                <w:vertAlign w:val="subscript"/>
              </w:rPr>
              <w:t>Channel_CA</w:t>
            </w:r>
            <w:r>
              <w:rPr>
                <w:rFonts w:ascii="Times New Roman" w:hAnsi="Times New Roman" w:cs="Times New Roman"/>
              </w:rPr>
              <w:t xml:space="preserve"> ≤ 200 MHz</w:t>
            </w:r>
          </w:p>
        </w:tc>
        <w:tc>
          <w:tcPr>
            <w:tcW w:w="2409" w:type="dxa"/>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w:t>
            </w:r>
          </w:p>
        </w:tc>
      </w:tr>
      <w:tr w:rsidR="004A0621">
        <w:trPr>
          <w:trHeight w:hRule="exact" w:val="283"/>
          <w:jc w:val="center"/>
        </w:trPr>
        <w:tc>
          <w:tcPr>
            <w:tcW w:w="1116" w:type="pct"/>
            <w:vMerge/>
            <w:tcMar>
              <w:top w:w="15" w:type="dxa"/>
              <w:left w:w="108" w:type="dxa"/>
              <w:bottom w:w="0" w:type="dxa"/>
              <w:right w:w="108" w:type="dxa"/>
            </w:tcMar>
          </w:tcPr>
          <w:p w:rsidR="004A0621" w:rsidRDefault="004A0621">
            <w:pPr>
              <w:pStyle w:val="TAC"/>
              <w:rPr>
                <w:rFonts w:ascii="Times New Roman" w:hAnsi="Times New Roman" w:cs="Times New Roman"/>
              </w:rPr>
            </w:pPr>
          </w:p>
        </w:tc>
        <w:tc>
          <w:tcPr>
            <w:tcW w:w="2231"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H</w:t>
            </w:r>
          </w:p>
        </w:tc>
        <w:tc>
          <w:tcPr>
            <w:tcW w:w="3120" w:type="dxa"/>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200 MHz &lt; BW</w:t>
            </w:r>
            <w:r>
              <w:rPr>
                <w:rFonts w:ascii="Times New Roman" w:hAnsi="Times New Roman" w:cs="Times New Roman"/>
                <w:vertAlign w:val="subscript"/>
              </w:rPr>
              <w:t>Channel_CA</w:t>
            </w:r>
            <w:r>
              <w:rPr>
                <w:rFonts w:ascii="Times New Roman" w:hAnsi="Times New Roman" w:cs="Times New Roman"/>
              </w:rPr>
              <w:t xml:space="preserve"> ≤ 300 MHz</w:t>
            </w:r>
          </w:p>
        </w:tc>
        <w:tc>
          <w:tcPr>
            <w:tcW w:w="2409" w:type="dxa"/>
            <w:tcBorders>
              <w:right w:val="single" w:sz="4" w:space="0" w:color="auto"/>
            </w:tcBorders>
            <w:tcMar>
              <w:top w:w="15" w:type="dxa"/>
              <w:left w:w="108" w:type="dxa"/>
              <w:bottom w:w="0" w:type="dxa"/>
              <w:right w:w="108" w:type="dxa"/>
            </w:tcMar>
          </w:tcPr>
          <w:p w:rsidR="004A0621" w:rsidRDefault="0090184C">
            <w:pPr>
              <w:pStyle w:val="TAC"/>
              <w:rPr>
                <w:rFonts w:ascii="Times New Roman" w:hAnsi="Times New Roman" w:cs="Times New Roman"/>
              </w:rPr>
            </w:pPr>
            <w:r>
              <w:rPr>
                <w:rFonts w:ascii="Times New Roman" w:hAnsi="Times New Roman" w:cs="Times New Roman"/>
              </w:rPr>
              <w:t>3</w:t>
            </w:r>
          </w:p>
        </w:tc>
      </w:tr>
    </w:tbl>
    <w:p w:rsidR="004A0621" w:rsidRDefault="004A0621">
      <w:pPr>
        <w:jc w:val="center"/>
      </w:pPr>
    </w:p>
    <w:p w:rsidR="004A0621" w:rsidRDefault="004A0621">
      <w:pPr>
        <w:jc w:val="center"/>
      </w:pPr>
    </w:p>
    <w:p w:rsidR="004A0621" w:rsidRDefault="0090184C">
      <w:pPr>
        <w:jc w:val="center"/>
      </w:pPr>
      <w:r>
        <w:object w:dxaOrig="6496" w:dyaOrig="3555">
          <v:shape id="_x0000_i1026" type="#_x0000_t75" style="width:324.7pt;height:177.95pt" o:ole="">
            <v:imagedata r:id="rId11" o:title=""/>
            <o:lock v:ext="edit" aspectratio="f"/>
          </v:shape>
          <o:OLEObject Type="Embed" ProgID="Visio.Drawing.15" ShapeID="_x0000_i1026" DrawAspect="Content" ObjectID="_1726065297" r:id="rId12"/>
        </w:object>
      </w:r>
    </w:p>
    <w:p w:rsidR="004A0621" w:rsidRDefault="0090184C">
      <w:pPr>
        <w:jc w:val="center"/>
        <w:rPr>
          <w:b/>
          <w:bCs/>
        </w:rPr>
      </w:pPr>
      <w:r>
        <w:rPr>
          <w:rFonts w:hint="eastAsia"/>
        </w:rPr>
        <w:t>Fig</w:t>
      </w:r>
      <w:r>
        <w:rPr>
          <w:rFonts w:hint="eastAsia"/>
          <w:b/>
          <w:bCs/>
        </w:rPr>
        <w:t xml:space="preserve"> 2: Aggregated bandwidth for each bandwidth class</w:t>
      </w:r>
    </w:p>
    <w:p w:rsidR="004A0621" w:rsidRDefault="0090184C">
      <w:pPr>
        <w:rPr>
          <w:b/>
          <w:bCs/>
        </w:rPr>
      </w:pPr>
      <w:r>
        <w:rPr>
          <w:rFonts w:hint="eastAsia"/>
          <w:b/>
          <w:bCs/>
        </w:rPr>
        <w:t xml:space="preserve">Observation 2: The </w:t>
      </w:r>
      <w:r>
        <w:rPr>
          <w:rFonts w:hint="eastAsia"/>
          <w:b/>
          <w:bCs/>
        </w:rPr>
        <w:t>&lt;</w:t>
      </w:r>
      <w:r>
        <w:rPr>
          <w:b/>
          <w:bCs/>
        </w:rPr>
        <w:t>Aggregated channel bandwidth</w:t>
      </w:r>
      <w:r>
        <w:rPr>
          <w:rFonts w:hint="eastAsia"/>
          <w:b/>
          <w:bCs/>
        </w:rPr>
        <w:t xml:space="preserve">, </w:t>
      </w:r>
      <w:r>
        <w:rPr>
          <w:b/>
          <w:bCs/>
        </w:rPr>
        <w:t>Number of contiguous CC</w:t>
      </w:r>
      <w:r>
        <w:rPr>
          <w:rFonts w:hint="eastAsia"/>
          <w:b/>
          <w:bCs/>
        </w:rPr>
        <w:t>&gt; of FBG 3 bandwidth classes are partly overlapped with that of FBG 5 bandwidth classes.</w:t>
      </w:r>
    </w:p>
    <w:p w:rsidR="004A0621" w:rsidRDefault="0090184C">
      <w:pPr>
        <w:rPr>
          <w:b/>
          <w:bCs/>
        </w:rPr>
      </w:pPr>
      <w:r>
        <w:rPr>
          <w:rFonts w:hint="eastAsia"/>
          <w:b/>
          <w:bCs/>
        </w:rPr>
        <w:t xml:space="preserve">Proposal 1: Ask RAN4 to confirm whether the </w:t>
      </w:r>
      <w:r>
        <w:rPr>
          <w:rFonts w:hint="eastAsia"/>
          <w:b/>
          <w:bCs/>
        </w:rPr>
        <w:t>&lt;</w:t>
      </w:r>
      <w:r>
        <w:rPr>
          <w:b/>
          <w:bCs/>
        </w:rPr>
        <w:t>Aggregated channel bandwidth</w:t>
      </w:r>
      <w:r>
        <w:rPr>
          <w:rFonts w:hint="eastAsia"/>
          <w:b/>
          <w:bCs/>
        </w:rPr>
        <w:t xml:space="preserve">, </w:t>
      </w:r>
      <w:r>
        <w:rPr>
          <w:b/>
          <w:bCs/>
        </w:rPr>
        <w:t>Number of contiguous CC</w:t>
      </w:r>
      <w:r>
        <w:rPr>
          <w:rFonts w:hint="eastAsia"/>
          <w:b/>
          <w:bCs/>
        </w:rPr>
        <w:t>&gt; of legacy bandwidth classes are covered by or partly overlapped with that of FBG 5 bandwidth classes.</w:t>
      </w:r>
    </w:p>
    <w:p w:rsidR="004A0621" w:rsidRDefault="0090184C">
      <w:r>
        <w:rPr>
          <w:rFonts w:hint="eastAsia"/>
        </w:rPr>
        <w:t>If the proposal 1 was confirmed, we</w:t>
      </w:r>
      <w:r>
        <w:t>’</w:t>
      </w:r>
      <w:r>
        <w:rPr>
          <w:rFonts w:hint="eastAsia"/>
        </w:rPr>
        <w:t xml:space="preserve">d like to further </w:t>
      </w:r>
      <w:r>
        <w:rPr>
          <w:rFonts w:hint="eastAsia"/>
        </w:rPr>
        <w:t>discuss how to report the BC with FBG5 bandwidth class and the BC with legacy bandwidth class. According to the observation 1, for a BC that support bandwidth class in the FBG5, it can also support the corresponding bandwidth class in the FBG 2. Then the p</w:t>
      </w:r>
      <w:r>
        <w:rPr>
          <w:rFonts w:hint="eastAsia"/>
        </w:rPr>
        <w:t xml:space="preserve">roblem is whether the BC with FGB2 bandwidth class can be seen as a fallback of a BC with FBG5 bandwidth class. </w:t>
      </w:r>
    </w:p>
    <w:p w:rsidR="004A0621" w:rsidRDefault="0090184C">
      <w:pPr>
        <w:spacing w:after="0" w:line="240" w:lineRule="auto"/>
      </w:pPr>
      <w:r>
        <w:rPr>
          <w:rFonts w:hint="eastAsia"/>
        </w:rPr>
        <w:t>For example:</w:t>
      </w:r>
    </w:p>
    <w:tbl>
      <w:tblPr>
        <w:tblStyle w:val="af5"/>
        <w:tblW w:w="0" w:type="auto"/>
        <w:tblLook w:val="04A0" w:firstRow="1" w:lastRow="0" w:firstColumn="1" w:lastColumn="0" w:noHBand="0" w:noVBand="1"/>
      </w:tblPr>
      <w:tblGrid>
        <w:gridCol w:w="9771"/>
      </w:tblGrid>
      <w:tr w:rsidR="004A0621">
        <w:tc>
          <w:tcPr>
            <w:tcW w:w="9997" w:type="dxa"/>
          </w:tcPr>
          <w:p w:rsidR="004A0621" w:rsidRDefault="0090184C">
            <w:r>
              <w:rPr>
                <w:rFonts w:hint="eastAsia"/>
              </w:rPr>
              <w:t>Assume: BC 1 &lt;BAND X Class R3 &gt; and BC 2 &lt;BAND X Class E&gt; The network which support FBG5 feature can derive that the UE support BC</w:t>
            </w:r>
            <w:r>
              <w:rPr>
                <w:rFonts w:hint="eastAsia"/>
              </w:rPr>
              <w:t xml:space="preserve">2 from the BC1 capability reporting. </w:t>
            </w:r>
          </w:p>
          <w:p w:rsidR="004A0621" w:rsidRDefault="0090184C">
            <w:r>
              <w:rPr>
                <w:rFonts w:hint="eastAsia"/>
              </w:rPr>
              <w:t>Question: Whether the UE need to report both BC 1 and BC2?</w:t>
            </w:r>
          </w:p>
        </w:tc>
      </w:tr>
    </w:tbl>
    <w:p w:rsidR="004A0621" w:rsidRDefault="0090184C">
      <w:pPr>
        <w:rPr>
          <w:b/>
          <w:bCs/>
        </w:rPr>
      </w:pPr>
      <w:r>
        <w:rPr>
          <w:rFonts w:hint="eastAsia"/>
          <w:b/>
          <w:bCs/>
        </w:rPr>
        <w:t>Proposal 2: Ask RAN4 to confirm whether the BC with FGB2 bandwidth class can be seen as a fallback of a BC with FBG5 bandwidth class.</w:t>
      </w:r>
    </w:p>
    <w:p w:rsidR="004A0621" w:rsidRDefault="0090184C">
      <w:r>
        <w:rPr>
          <w:rFonts w:hint="eastAsia"/>
        </w:rPr>
        <w:t xml:space="preserve">Furthermore, with the </w:t>
      </w:r>
      <w:r>
        <w:rPr>
          <w:rFonts w:hint="eastAsia"/>
        </w:rPr>
        <w:t>introduction of the FBG 5, it</w:t>
      </w:r>
      <w:r>
        <w:t>’</w:t>
      </w:r>
      <w:r>
        <w:rPr>
          <w:rFonts w:hint="eastAsia"/>
        </w:rPr>
        <w:t>s also need to discuss the inter-operability between the (old/new)</w:t>
      </w:r>
      <w:r w:rsidR="00856137">
        <w:t xml:space="preserve"> </w:t>
      </w:r>
      <w:r>
        <w:rPr>
          <w:rFonts w:hint="eastAsia"/>
        </w:rPr>
        <w:t>UE and (new/old) gNB as in the Table 2.</w:t>
      </w:r>
    </w:p>
    <w:p w:rsidR="004A0621" w:rsidRDefault="0090184C">
      <w:pPr>
        <w:pStyle w:val="af3"/>
        <w:shd w:val="clear" w:color="auto" w:fill="FFFFFF"/>
        <w:spacing w:before="0" w:beforeAutospacing="0" w:after="0" w:afterAutospacing="0"/>
        <w:jc w:val="center"/>
        <w:rPr>
          <w:rFonts w:eastAsia="微软雅黑"/>
          <w:b/>
          <w:bCs/>
          <w:color w:val="000000"/>
          <w:sz w:val="21"/>
          <w:szCs w:val="21"/>
          <w:lang w:val="en-US" w:eastAsia="zh-CN"/>
        </w:rPr>
      </w:pPr>
      <w:r>
        <w:rPr>
          <w:rFonts w:eastAsia="微软雅黑" w:hint="eastAsia"/>
          <w:b/>
          <w:bCs/>
          <w:color w:val="000000"/>
          <w:sz w:val="21"/>
          <w:szCs w:val="21"/>
          <w:lang w:val="en-US" w:eastAsia="zh-CN"/>
        </w:rPr>
        <w:t>Table 2 Inter-operability Analysis</w:t>
      </w:r>
    </w:p>
    <w:tbl>
      <w:tblPr>
        <w:tblStyle w:val="af5"/>
        <w:tblW w:w="10183" w:type="dxa"/>
        <w:tblLook w:val="04A0" w:firstRow="1" w:lastRow="0" w:firstColumn="1" w:lastColumn="0" w:noHBand="0" w:noVBand="1"/>
      </w:tblPr>
      <w:tblGrid>
        <w:gridCol w:w="1243"/>
        <w:gridCol w:w="4125"/>
        <w:gridCol w:w="4815"/>
      </w:tblGrid>
      <w:tr w:rsidR="004A0621">
        <w:tc>
          <w:tcPr>
            <w:tcW w:w="1243" w:type="dxa"/>
          </w:tcPr>
          <w:p w:rsidR="004A0621" w:rsidRDefault="004A0621">
            <w:pPr>
              <w:pStyle w:val="af3"/>
              <w:spacing w:before="0" w:beforeAutospacing="0" w:after="0" w:afterAutospacing="0"/>
              <w:rPr>
                <w:rFonts w:eastAsia="微软雅黑"/>
                <w:color w:val="000000"/>
                <w:sz w:val="21"/>
                <w:szCs w:val="21"/>
              </w:rPr>
            </w:pPr>
          </w:p>
        </w:tc>
        <w:tc>
          <w:tcPr>
            <w:tcW w:w="412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Old UE</w:t>
            </w:r>
          </w:p>
        </w:tc>
        <w:tc>
          <w:tcPr>
            <w:tcW w:w="481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New UE</w:t>
            </w:r>
          </w:p>
        </w:tc>
      </w:tr>
      <w:tr w:rsidR="004A0621">
        <w:tc>
          <w:tcPr>
            <w:tcW w:w="1243"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Old gNB</w:t>
            </w:r>
          </w:p>
        </w:tc>
        <w:tc>
          <w:tcPr>
            <w:tcW w:w="412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 xml:space="preserve">Case 1: </w:t>
            </w:r>
            <w:r>
              <w:rPr>
                <w:rFonts w:eastAsia="微软雅黑" w:hint="eastAsia"/>
                <w:color w:val="000000"/>
                <w:sz w:val="21"/>
                <w:szCs w:val="21"/>
                <w:lang w:val="en-US" w:eastAsia="zh-CN"/>
              </w:rPr>
              <w:t>A</w:t>
            </w:r>
            <w:r>
              <w:rPr>
                <w:rFonts w:eastAsia="微软雅黑" w:hint="eastAsia"/>
                <w:color w:val="000000"/>
                <w:sz w:val="21"/>
                <w:szCs w:val="21"/>
                <w:lang w:val="en-US" w:eastAsia="zh-CN"/>
              </w:rPr>
              <w:t xml:space="preserve">s legacy no </w:t>
            </w:r>
            <w:r>
              <w:rPr>
                <w:rFonts w:eastAsia="微软雅黑" w:hint="eastAsia"/>
                <w:color w:val="000000"/>
                <w:sz w:val="21"/>
                <w:szCs w:val="21"/>
                <w:lang w:val="en-US" w:eastAsia="zh-CN"/>
              </w:rPr>
              <w:t>interoperability</w:t>
            </w:r>
            <w:r>
              <w:rPr>
                <w:rFonts w:eastAsia="微软雅黑" w:hint="eastAsia"/>
                <w:color w:val="000000"/>
                <w:sz w:val="21"/>
                <w:szCs w:val="21"/>
                <w:lang w:val="en-US" w:eastAsia="zh-CN"/>
              </w:rPr>
              <w:t xml:space="preserve"> issue</w:t>
            </w:r>
          </w:p>
        </w:tc>
        <w:tc>
          <w:tcPr>
            <w:tcW w:w="481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FF0000"/>
                <w:sz w:val="21"/>
                <w:szCs w:val="21"/>
                <w:lang w:val="en-US" w:eastAsia="zh-CN"/>
              </w:rPr>
              <w:t xml:space="preserve">Case 2: </w:t>
            </w:r>
            <w:r>
              <w:rPr>
                <w:rFonts w:eastAsia="微软雅黑" w:hint="eastAsia"/>
                <w:color w:val="FF0000"/>
                <w:sz w:val="21"/>
                <w:szCs w:val="21"/>
                <w:lang w:val="en-US" w:eastAsia="zh-CN"/>
              </w:rPr>
              <w:t xml:space="preserve">Old gNB </w:t>
            </w:r>
            <w:r>
              <w:rPr>
                <w:rFonts w:eastAsia="微软雅黑" w:hint="eastAsia"/>
                <w:color w:val="FF0000"/>
                <w:sz w:val="21"/>
                <w:szCs w:val="21"/>
                <w:lang w:val="en-US" w:eastAsia="zh-CN"/>
              </w:rPr>
              <w:t>can</w:t>
            </w:r>
            <w:r>
              <w:rPr>
                <w:rFonts w:eastAsia="微软雅黑"/>
                <w:color w:val="FF0000"/>
                <w:sz w:val="21"/>
                <w:szCs w:val="21"/>
                <w:lang w:val="en-US" w:eastAsia="zh-CN"/>
              </w:rPr>
              <w:t>’</w:t>
            </w:r>
            <w:r>
              <w:rPr>
                <w:rFonts w:eastAsia="微软雅黑" w:hint="eastAsia"/>
                <w:color w:val="FF0000"/>
                <w:sz w:val="21"/>
                <w:szCs w:val="21"/>
                <w:lang w:val="en-US" w:eastAsia="zh-CN"/>
              </w:rPr>
              <w:t>t understand FBG 5</w:t>
            </w:r>
          </w:p>
        </w:tc>
      </w:tr>
      <w:tr w:rsidR="004A0621">
        <w:tc>
          <w:tcPr>
            <w:tcW w:w="1243"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New gNB</w:t>
            </w:r>
          </w:p>
        </w:tc>
        <w:tc>
          <w:tcPr>
            <w:tcW w:w="412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Case 3: The UE will not report FBG5, the new gNB take the legacy way</w:t>
            </w:r>
            <w:r>
              <w:rPr>
                <w:rFonts w:eastAsia="微软雅黑" w:hint="eastAsia"/>
                <w:color w:val="000000"/>
                <w:sz w:val="21"/>
                <w:szCs w:val="21"/>
                <w:lang w:val="en-US" w:eastAsia="zh-CN"/>
              </w:rPr>
              <w:t xml:space="preserve">. </w:t>
            </w:r>
            <w:r>
              <w:rPr>
                <w:rFonts w:eastAsia="微软雅黑" w:hint="eastAsia"/>
                <w:color w:val="000000"/>
                <w:sz w:val="21"/>
                <w:szCs w:val="21"/>
                <w:lang w:val="en-US" w:eastAsia="zh-CN"/>
              </w:rPr>
              <w:t xml:space="preserve">So no </w:t>
            </w:r>
            <w:r>
              <w:rPr>
                <w:rFonts w:eastAsia="微软雅黑" w:hint="eastAsia"/>
                <w:color w:val="000000"/>
                <w:sz w:val="21"/>
                <w:szCs w:val="21"/>
                <w:lang w:val="en-US" w:eastAsia="zh-CN"/>
              </w:rPr>
              <w:t>interoperability</w:t>
            </w:r>
            <w:r>
              <w:rPr>
                <w:rFonts w:eastAsia="微软雅黑" w:hint="eastAsia"/>
                <w:color w:val="000000"/>
                <w:sz w:val="21"/>
                <w:szCs w:val="21"/>
                <w:lang w:val="en-US" w:eastAsia="zh-CN"/>
              </w:rPr>
              <w:t xml:space="preserve"> issue</w:t>
            </w:r>
          </w:p>
        </w:tc>
        <w:tc>
          <w:tcPr>
            <w:tcW w:w="4815" w:type="dxa"/>
          </w:tcPr>
          <w:p w:rsidR="004A0621" w:rsidRDefault="0090184C">
            <w:pPr>
              <w:pStyle w:val="af3"/>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Case 4: For the BC with no FBG 5, the new gNB take the legacy way.</w:t>
            </w:r>
            <w:r w:rsidR="00856137">
              <w:rPr>
                <w:rFonts w:eastAsia="微软雅黑"/>
                <w:color w:val="000000"/>
                <w:sz w:val="21"/>
                <w:szCs w:val="21"/>
                <w:lang w:val="en-US" w:eastAsia="zh-CN"/>
              </w:rPr>
              <w:t xml:space="preserve"> </w:t>
            </w:r>
            <w:r>
              <w:rPr>
                <w:rFonts w:eastAsia="微软雅黑" w:hint="eastAsia"/>
                <w:color w:val="000000"/>
                <w:sz w:val="21"/>
                <w:szCs w:val="21"/>
                <w:lang w:val="en-US" w:eastAsia="zh-CN"/>
              </w:rPr>
              <w:t xml:space="preserve">So no </w:t>
            </w:r>
            <w:r>
              <w:rPr>
                <w:rFonts w:eastAsia="微软雅黑" w:hint="eastAsia"/>
                <w:color w:val="000000"/>
                <w:sz w:val="21"/>
                <w:szCs w:val="21"/>
                <w:lang w:val="en-US" w:eastAsia="zh-CN"/>
              </w:rPr>
              <w:t>interoperability</w:t>
            </w:r>
            <w:r>
              <w:rPr>
                <w:rFonts w:eastAsia="微软雅黑" w:hint="eastAsia"/>
                <w:color w:val="000000"/>
                <w:sz w:val="21"/>
                <w:szCs w:val="21"/>
                <w:lang w:val="en-US" w:eastAsia="zh-CN"/>
              </w:rPr>
              <w:t xml:space="preserve"> issue</w:t>
            </w:r>
          </w:p>
          <w:p w:rsidR="004A0621" w:rsidRDefault="004A0621">
            <w:pPr>
              <w:pStyle w:val="af3"/>
              <w:spacing w:before="0" w:beforeAutospacing="0" w:after="0" w:afterAutospacing="0"/>
              <w:rPr>
                <w:rFonts w:eastAsia="微软雅黑"/>
                <w:color w:val="000000"/>
                <w:sz w:val="21"/>
                <w:szCs w:val="21"/>
                <w:lang w:val="en-US" w:eastAsia="zh-CN"/>
              </w:rPr>
            </w:pPr>
          </w:p>
        </w:tc>
      </w:tr>
      <w:tr w:rsidR="004A0621">
        <w:tc>
          <w:tcPr>
            <w:tcW w:w="10183" w:type="dxa"/>
            <w:gridSpan w:val="3"/>
          </w:tcPr>
          <w:p w:rsidR="004A0621" w:rsidRDefault="0090184C">
            <w:pPr>
              <w:pStyle w:val="af3"/>
              <w:numPr>
                <w:ilvl w:val="0"/>
                <w:numId w:val="5"/>
              </w:numPr>
              <w:shd w:val="clear" w:color="auto" w:fill="FFFFFF"/>
              <w:spacing w:before="0" w:beforeAutospacing="0" w:after="0" w:afterAutospacing="0"/>
              <w:ind w:firstLineChars="200" w:firstLine="420"/>
              <w:rPr>
                <w:rFonts w:eastAsia="微软雅黑"/>
                <w:color w:val="000000"/>
                <w:sz w:val="21"/>
                <w:szCs w:val="21"/>
                <w:lang w:val="en-US" w:eastAsia="zh-CN"/>
              </w:rPr>
            </w:pPr>
            <w:r>
              <w:rPr>
                <w:rFonts w:eastAsia="微软雅黑" w:hint="eastAsia"/>
                <w:color w:val="000000"/>
                <w:sz w:val="21"/>
                <w:szCs w:val="21"/>
                <w:lang w:val="en-US" w:eastAsia="zh-CN"/>
              </w:rPr>
              <w:t xml:space="preserve">Old UE/Old gNB: not </w:t>
            </w:r>
            <w:r>
              <w:rPr>
                <w:rFonts w:eastAsia="微软雅黑" w:hint="eastAsia"/>
                <w:color w:val="000000"/>
                <w:sz w:val="21"/>
                <w:szCs w:val="21"/>
                <w:lang w:val="en-US" w:eastAsia="zh-CN"/>
              </w:rPr>
              <w:t>implement bandwidth classes in the FBG 5</w:t>
            </w:r>
          </w:p>
          <w:p w:rsidR="004A0621" w:rsidRDefault="0090184C">
            <w:pPr>
              <w:pStyle w:val="af3"/>
              <w:numPr>
                <w:ilvl w:val="0"/>
                <w:numId w:val="5"/>
              </w:numPr>
              <w:shd w:val="clear" w:color="auto" w:fill="FFFFFF"/>
              <w:spacing w:before="0" w:beforeAutospacing="0" w:after="0" w:afterAutospacing="0"/>
              <w:ind w:firstLineChars="200" w:firstLine="420"/>
              <w:rPr>
                <w:rFonts w:eastAsia="微软雅黑"/>
                <w:color w:val="000000"/>
                <w:sz w:val="21"/>
                <w:szCs w:val="21"/>
                <w:lang w:val="en-US" w:eastAsia="zh-CN"/>
              </w:rPr>
            </w:pPr>
            <w:r>
              <w:rPr>
                <w:rFonts w:eastAsia="微软雅黑" w:hint="eastAsia"/>
                <w:color w:val="000000"/>
                <w:sz w:val="21"/>
                <w:szCs w:val="21"/>
                <w:lang w:val="en-US" w:eastAsia="zh-CN"/>
              </w:rPr>
              <w:t>New UE/New gNB: support bandwidth classes in the FBG 5</w:t>
            </w:r>
          </w:p>
        </w:tc>
      </w:tr>
    </w:tbl>
    <w:p w:rsidR="004A0621" w:rsidRDefault="004A0621">
      <w:pPr>
        <w:pStyle w:val="af3"/>
        <w:shd w:val="clear" w:color="auto" w:fill="FFFFFF"/>
        <w:spacing w:before="0" w:beforeAutospacing="0" w:after="0" w:afterAutospacing="0"/>
        <w:rPr>
          <w:rFonts w:eastAsia="微软雅黑"/>
          <w:color w:val="000000"/>
          <w:sz w:val="21"/>
          <w:szCs w:val="21"/>
          <w:lang w:val="en-US" w:eastAsia="zh-CN"/>
        </w:rPr>
      </w:pPr>
    </w:p>
    <w:p w:rsidR="004A0621" w:rsidRDefault="0090184C">
      <w:pPr>
        <w:pStyle w:val="af3"/>
        <w:shd w:val="clear" w:color="auto" w:fill="FFFFFF"/>
        <w:spacing w:before="0" w:beforeAutospacing="0" w:after="0" w:afterAutospacing="0"/>
        <w:jc w:val="both"/>
        <w:rPr>
          <w:rFonts w:eastAsia="微软雅黑"/>
          <w:color w:val="000000"/>
          <w:sz w:val="21"/>
          <w:szCs w:val="21"/>
          <w:lang w:val="en-US" w:eastAsia="zh-CN"/>
        </w:rPr>
      </w:pPr>
      <w:r>
        <w:rPr>
          <w:rFonts w:eastAsia="微软雅黑" w:hint="eastAsia"/>
          <w:color w:val="000000"/>
          <w:sz w:val="21"/>
          <w:szCs w:val="21"/>
          <w:lang w:val="en-US" w:eastAsia="zh-CN"/>
        </w:rPr>
        <w:lastRenderedPageBreak/>
        <w:t xml:space="preserve">From the Table 2, we can see that the old gNB </w:t>
      </w:r>
      <w:r>
        <w:rPr>
          <w:rFonts w:eastAsia="微软雅黑" w:hint="eastAsia"/>
          <w:color w:val="000000"/>
          <w:sz w:val="21"/>
          <w:szCs w:val="21"/>
          <w:lang w:val="en-US" w:eastAsia="zh-CN"/>
        </w:rPr>
        <w:t>can</w:t>
      </w:r>
      <w:r>
        <w:rPr>
          <w:rFonts w:eastAsia="微软雅黑"/>
          <w:color w:val="000000"/>
          <w:sz w:val="21"/>
          <w:szCs w:val="21"/>
          <w:lang w:val="en-US" w:eastAsia="zh-CN"/>
        </w:rPr>
        <w:t>’</w:t>
      </w:r>
      <w:r>
        <w:rPr>
          <w:rFonts w:eastAsia="微软雅黑" w:hint="eastAsia"/>
          <w:color w:val="000000"/>
          <w:sz w:val="21"/>
          <w:szCs w:val="21"/>
          <w:lang w:val="en-US" w:eastAsia="zh-CN"/>
        </w:rPr>
        <w:t xml:space="preserve">t understand </w:t>
      </w:r>
      <w:r>
        <w:rPr>
          <w:rFonts w:eastAsia="微软雅黑" w:hint="eastAsia"/>
          <w:color w:val="000000"/>
          <w:sz w:val="21"/>
          <w:szCs w:val="21"/>
          <w:lang w:val="en-US" w:eastAsia="zh-CN"/>
        </w:rPr>
        <w:t xml:space="preserve">FBG 5 </w:t>
      </w:r>
      <w:r>
        <w:rPr>
          <w:rFonts w:eastAsia="微软雅黑" w:hint="eastAsia"/>
          <w:color w:val="000000"/>
          <w:sz w:val="21"/>
          <w:szCs w:val="21"/>
          <w:lang w:val="en-US" w:eastAsia="zh-CN"/>
        </w:rPr>
        <w:t>class</w:t>
      </w:r>
      <w:r>
        <w:rPr>
          <w:rFonts w:eastAsia="微软雅黑" w:hint="eastAsia"/>
          <w:color w:val="000000"/>
          <w:sz w:val="21"/>
          <w:szCs w:val="21"/>
          <w:lang w:val="en-US" w:eastAsia="zh-CN"/>
        </w:rPr>
        <w:t xml:space="preserve"> (e.g. when the UE </w:t>
      </w:r>
      <w:r>
        <w:rPr>
          <w:rFonts w:eastAsia="微软雅黑" w:hint="eastAsia"/>
          <w:color w:val="000000"/>
          <w:sz w:val="21"/>
          <w:szCs w:val="21"/>
          <w:lang w:val="en-US" w:eastAsia="zh-CN"/>
        </w:rPr>
        <w:t xml:space="preserve">get the UE </w:t>
      </w:r>
      <w:r w:rsidR="00856137">
        <w:rPr>
          <w:rFonts w:eastAsia="微软雅黑"/>
          <w:color w:val="000000"/>
          <w:sz w:val="21"/>
          <w:szCs w:val="21"/>
          <w:lang w:val="en-US" w:eastAsia="zh-CN"/>
        </w:rPr>
        <w:t>capability</w:t>
      </w:r>
      <w:r>
        <w:rPr>
          <w:rFonts w:eastAsia="微软雅黑" w:hint="eastAsia"/>
          <w:color w:val="000000"/>
          <w:sz w:val="21"/>
          <w:szCs w:val="21"/>
          <w:lang w:val="en-US" w:eastAsia="zh-CN"/>
        </w:rPr>
        <w:t xml:space="preserve"> from a R17 gNB then handover to a</w:t>
      </w:r>
      <w:r w:rsidR="00856137">
        <w:rPr>
          <w:rFonts w:eastAsia="微软雅黑"/>
          <w:color w:val="000000"/>
          <w:sz w:val="21"/>
          <w:szCs w:val="21"/>
          <w:lang w:val="en-US" w:eastAsia="zh-CN"/>
        </w:rPr>
        <w:t>n</w:t>
      </w:r>
      <w:r>
        <w:rPr>
          <w:rFonts w:eastAsia="微软雅黑" w:hint="eastAsia"/>
          <w:color w:val="000000"/>
          <w:sz w:val="21"/>
          <w:szCs w:val="21"/>
          <w:lang w:val="en-US" w:eastAsia="zh-CN"/>
        </w:rPr>
        <w:t xml:space="preserve"> old gNB</w:t>
      </w:r>
      <w:r>
        <w:rPr>
          <w:rFonts w:eastAsia="微软雅黑" w:hint="eastAsia"/>
          <w:color w:val="000000"/>
          <w:sz w:val="21"/>
          <w:szCs w:val="21"/>
          <w:lang w:val="en-US" w:eastAsia="zh-CN"/>
        </w:rPr>
        <w:t xml:space="preserve">, </w:t>
      </w:r>
      <w:r>
        <w:rPr>
          <w:rFonts w:eastAsia="微软雅黑" w:hint="eastAsia"/>
          <w:color w:val="000000"/>
          <w:sz w:val="21"/>
          <w:szCs w:val="21"/>
          <w:lang w:val="en-US" w:eastAsia="zh-CN"/>
        </w:rPr>
        <w:t>or when the UE move to an old gNB at idle state and then establish connection with old gNB)</w:t>
      </w:r>
      <w:r>
        <w:rPr>
          <w:rFonts w:eastAsia="微软雅黑" w:hint="eastAsia"/>
          <w:color w:val="000000"/>
          <w:sz w:val="21"/>
          <w:szCs w:val="21"/>
          <w:lang w:val="en-US" w:eastAsia="zh-CN"/>
        </w:rPr>
        <w:t>, then the network may ignore this BC.</w:t>
      </w:r>
    </w:p>
    <w:p w:rsidR="004A0621" w:rsidRDefault="004A0621">
      <w:pPr>
        <w:pStyle w:val="af3"/>
        <w:shd w:val="clear" w:color="auto" w:fill="FFFFFF"/>
        <w:spacing w:before="0" w:beforeAutospacing="0" w:after="0" w:afterAutospacing="0"/>
        <w:rPr>
          <w:rFonts w:eastAsia="微软雅黑"/>
          <w:color w:val="000000"/>
          <w:sz w:val="21"/>
          <w:szCs w:val="21"/>
          <w:lang w:val="en-US" w:eastAsia="zh-CN"/>
        </w:rPr>
      </w:pPr>
    </w:p>
    <w:p w:rsidR="004A0621" w:rsidRDefault="0090184C">
      <w:pPr>
        <w:pStyle w:val="af3"/>
        <w:shd w:val="clear" w:color="auto" w:fill="FFFFFF"/>
        <w:spacing w:before="0" w:beforeAutospacing="0" w:after="0" w:afterAutospacing="0"/>
        <w:jc w:val="both"/>
        <w:rPr>
          <w:rFonts w:eastAsia="微软雅黑"/>
          <w:b/>
          <w:bCs/>
          <w:color w:val="000000"/>
          <w:sz w:val="21"/>
          <w:szCs w:val="21"/>
          <w:lang w:val="en-US" w:eastAsia="zh-CN"/>
        </w:rPr>
      </w:pPr>
      <w:r>
        <w:rPr>
          <w:rFonts w:eastAsia="微软雅黑" w:hint="eastAsia"/>
          <w:b/>
          <w:bCs/>
          <w:color w:val="000000"/>
          <w:sz w:val="21"/>
          <w:szCs w:val="21"/>
          <w:lang w:val="en-US" w:eastAsia="zh-CN"/>
        </w:rPr>
        <w:t xml:space="preserve">Observation 3: The old gNB </w:t>
      </w:r>
      <w:r>
        <w:rPr>
          <w:rFonts w:eastAsia="微软雅黑" w:hint="eastAsia"/>
          <w:b/>
          <w:bCs/>
          <w:color w:val="000000"/>
          <w:sz w:val="21"/>
          <w:szCs w:val="21"/>
          <w:lang w:val="en-US" w:eastAsia="zh-CN"/>
        </w:rPr>
        <w:t>can</w:t>
      </w:r>
      <w:r>
        <w:rPr>
          <w:rFonts w:eastAsia="微软雅黑"/>
          <w:b/>
          <w:bCs/>
          <w:color w:val="000000"/>
          <w:sz w:val="21"/>
          <w:szCs w:val="21"/>
          <w:lang w:val="en-US" w:eastAsia="zh-CN"/>
        </w:rPr>
        <w:t>’</w:t>
      </w:r>
      <w:r>
        <w:rPr>
          <w:rFonts w:eastAsia="微软雅黑" w:hint="eastAsia"/>
          <w:b/>
          <w:bCs/>
          <w:color w:val="000000"/>
          <w:sz w:val="21"/>
          <w:szCs w:val="21"/>
          <w:lang w:val="en-US" w:eastAsia="zh-CN"/>
        </w:rPr>
        <w:t xml:space="preserve">t understand </w:t>
      </w:r>
      <w:r>
        <w:rPr>
          <w:rFonts w:eastAsia="微软雅黑" w:hint="eastAsia"/>
          <w:b/>
          <w:bCs/>
          <w:color w:val="000000"/>
          <w:sz w:val="21"/>
          <w:szCs w:val="21"/>
          <w:lang w:val="en-US" w:eastAsia="zh-CN"/>
        </w:rPr>
        <w:t xml:space="preserve">FBG 5 bandwidth </w:t>
      </w:r>
      <w:r>
        <w:rPr>
          <w:rFonts w:eastAsia="微软雅黑" w:hint="eastAsia"/>
          <w:b/>
          <w:bCs/>
          <w:color w:val="000000"/>
          <w:sz w:val="21"/>
          <w:szCs w:val="21"/>
          <w:lang w:val="en-US" w:eastAsia="zh-CN"/>
        </w:rPr>
        <w:t>class</w:t>
      </w:r>
      <w:r>
        <w:rPr>
          <w:rFonts w:eastAsia="微软雅黑" w:hint="eastAsia"/>
          <w:b/>
          <w:bCs/>
          <w:color w:val="000000"/>
          <w:sz w:val="21"/>
          <w:szCs w:val="21"/>
          <w:lang w:val="en-US" w:eastAsia="zh-CN"/>
        </w:rPr>
        <w:t xml:space="preserve"> (e.g. when the UE </w:t>
      </w:r>
      <w:r>
        <w:rPr>
          <w:rFonts w:eastAsia="微软雅黑" w:hint="eastAsia"/>
          <w:b/>
          <w:bCs/>
          <w:color w:val="000000"/>
          <w:sz w:val="21"/>
          <w:szCs w:val="21"/>
          <w:lang w:val="en-US" w:eastAsia="zh-CN"/>
        </w:rPr>
        <w:t xml:space="preserve">get the UE </w:t>
      </w:r>
      <w:r w:rsidR="00856137">
        <w:rPr>
          <w:rFonts w:eastAsia="微软雅黑"/>
          <w:b/>
          <w:bCs/>
          <w:color w:val="000000"/>
          <w:sz w:val="21"/>
          <w:szCs w:val="21"/>
          <w:lang w:val="en-US" w:eastAsia="zh-CN"/>
        </w:rPr>
        <w:t>capability</w:t>
      </w:r>
      <w:r>
        <w:rPr>
          <w:rFonts w:eastAsia="微软雅黑" w:hint="eastAsia"/>
          <w:b/>
          <w:bCs/>
          <w:color w:val="000000"/>
          <w:sz w:val="21"/>
          <w:szCs w:val="21"/>
          <w:lang w:val="en-US" w:eastAsia="zh-CN"/>
        </w:rPr>
        <w:t xml:space="preserve"> from a R17 gNB then </w:t>
      </w:r>
      <w:r>
        <w:rPr>
          <w:rFonts w:eastAsia="微软雅黑" w:hint="eastAsia"/>
          <w:b/>
          <w:bCs/>
          <w:color w:val="000000"/>
          <w:sz w:val="21"/>
          <w:szCs w:val="21"/>
          <w:lang w:val="en-US" w:eastAsia="zh-CN"/>
        </w:rPr>
        <w:t>handover to a</w:t>
      </w:r>
      <w:r w:rsidR="00856137">
        <w:rPr>
          <w:rFonts w:eastAsia="微软雅黑"/>
          <w:b/>
          <w:bCs/>
          <w:color w:val="000000"/>
          <w:sz w:val="21"/>
          <w:szCs w:val="21"/>
          <w:lang w:val="en-US" w:eastAsia="zh-CN"/>
        </w:rPr>
        <w:t>n</w:t>
      </w:r>
      <w:r>
        <w:rPr>
          <w:rFonts w:eastAsia="微软雅黑" w:hint="eastAsia"/>
          <w:b/>
          <w:bCs/>
          <w:color w:val="000000"/>
          <w:sz w:val="21"/>
          <w:szCs w:val="21"/>
          <w:lang w:val="en-US" w:eastAsia="zh-CN"/>
        </w:rPr>
        <w:t xml:space="preserve"> old gNB</w:t>
      </w:r>
      <w:r>
        <w:rPr>
          <w:rFonts w:eastAsia="微软雅黑" w:hint="eastAsia"/>
          <w:b/>
          <w:bCs/>
          <w:color w:val="000000"/>
          <w:sz w:val="21"/>
          <w:szCs w:val="21"/>
          <w:lang w:val="en-US" w:eastAsia="zh-CN"/>
        </w:rPr>
        <w:t>, or when the UE move to an old gNB at idle state and then establish connection with old gNB)</w:t>
      </w:r>
      <w:r>
        <w:rPr>
          <w:rFonts w:eastAsia="微软雅黑" w:hint="eastAsia"/>
          <w:b/>
          <w:bCs/>
          <w:color w:val="000000"/>
          <w:sz w:val="21"/>
          <w:szCs w:val="21"/>
          <w:lang w:val="en-US" w:eastAsia="zh-CN"/>
        </w:rPr>
        <w:t xml:space="preserve">, then the network may ignore </w:t>
      </w:r>
      <w:r>
        <w:rPr>
          <w:rFonts w:eastAsia="微软雅黑" w:hint="eastAsia"/>
          <w:b/>
          <w:bCs/>
          <w:color w:val="000000"/>
          <w:sz w:val="21"/>
          <w:szCs w:val="21"/>
          <w:lang w:val="en-US" w:eastAsia="zh-CN"/>
        </w:rPr>
        <w:t xml:space="preserve">the </w:t>
      </w:r>
      <w:r>
        <w:rPr>
          <w:rFonts w:eastAsia="微软雅黑" w:hint="eastAsia"/>
          <w:b/>
          <w:bCs/>
          <w:color w:val="000000"/>
          <w:sz w:val="21"/>
          <w:szCs w:val="21"/>
          <w:lang w:val="en-US" w:eastAsia="zh-CN"/>
        </w:rPr>
        <w:t>BC</w:t>
      </w:r>
      <w:r>
        <w:rPr>
          <w:rFonts w:eastAsia="微软雅黑" w:hint="eastAsia"/>
          <w:b/>
          <w:bCs/>
          <w:color w:val="000000"/>
          <w:sz w:val="21"/>
          <w:szCs w:val="21"/>
          <w:lang w:val="en-US" w:eastAsia="zh-CN"/>
        </w:rPr>
        <w:t xml:space="preserve"> with FBG 5 bandwidth class</w:t>
      </w:r>
      <w:r>
        <w:rPr>
          <w:rFonts w:eastAsia="微软雅黑" w:hint="eastAsia"/>
          <w:b/>
          <w:bCs/>
          <w:color w:val="000000"/>
          <w:sz w:val="21"/>
          <w:szCs w:val="21"/>
          <w:lang w:val="en-US" w:eastAsia="zh-CN"/>
        </w:rPr>
        <w:t>.</w:t>
      </w:r>
    </w:p>
    <w:p w:rsidR="004A0621" w:rsidRDefault="004A0621">
      <w:pPr>
        <w:pStyle w:val="af3"/>
        <w:shd w:val="clear" w:color="auto" w:fill="FFFFFF"/>
        <w:spacing w:before="0" w:beforeAutospacing="0" w:after="0" w:afterAutospacing="0"/>
        <w:rPr>
          <w:rFonts w:eastAsia="微软雅黑"/>
          <w:b/>
          <w:bCs/>
          <w:color w:val="000000"/>
          <w:sz w:val="21"/>
          <w:szCs w:val="21"/>
          <w:lang w:val="en-US" w:eastAsia="zh-CN"/>
        </w:rPr>
      </w:pPr>
    </w:p>
    <w:p w:rsidR="004A0621" w:rsidRDefault="0090184C">
      <w:pPr>
        <w:rPr>
          <w:rFonts w:eastAsia="微软雅黑"/>
          <w:b/>
          <w:bCs/>
          <w:color w:val="000000"/>
          <w:szCs w:val="21"/>
        </w:rPr>
      </w:pPr>
      <w:r>
        <w:rPr>
          <w:rFonts w:eastAsia="微软雅黑" w:hint="eastAsia"/>
          <w:color w:val="000000"/>
          <w:szCs w:val="21"/>
        </w:rPr>
        <w:t>According to the LS, RAN4 will defer to RAN2</w:t>
      </w:r>
      <w:r>
        <w:rPr>
          <w:rFonts w:eastAsia="微软雅黑"/>
          <w:color w:val="000000"/>
          <w:szCs w:val="21"/>
        </w:rPr>
        <w:t>’</w:t>
      </w:r>
      <w:r>
        <w:rPr>
          <w:rFonts w:eastAsia="微软雅黑" w:hint="eastAsia"/>
          <w:color w:val="000000"/>
          <w:szCs w:val="21"/>
        </w:rPr>
        <w:t xml:space="preserve">s decision on whether to </w:t>
      </w:r>
      <w:r>
        <w:rPr>
          <w:rFonts w:eastAsia="微软雅黑" w:hint="eastAsia"/>
          <w:color w:val="000000"/>
          <w:szCs w:val="21"/>
        </w:rPr>
        <w:t>introduce an IE as proposed above depending on feasibility and benefit, for better understanding, it</w:t>
      </w:r>
      <w:r>
        <w:rPr>
          <w:rFonts w:eastAsia="微软雅黑"/>
          <w:color w:val="000000"/>
          <w:szCs w:val="21"/>
        </w:rPr>
        <w:t>’</w:t>
      </w:r>
      <w:r>
        <w:rPr>
          <w:rFonts w:eastAsia="微软雅黑" w:hint="eastAsia"/>
          <w:color w:val="000000"/>
          <w:szCs w:val="21"/>
        </w:rPr>
        <w:t>s suggested to include the above observation to the Reply LS.</w:t>
      </w:r>
    </w:p>
    <w:p w:rsidR="004A0621" w:rsidRDefault="0090184C">
      <w:pPr>
        <w:rPr>
          <w:b/>
          <w:bCs/>
        </w:rPr>
      </w:pPr>
      <w:r>
        <w:rPr>
          <w:rFonts w:hint="eastAsia"/>
          <w:b/>
          <w:bCs/>
        </w:rPr>
        <w:t>Proposal 3: Include the observation 3 in the Reply LS to RAN4</w:t>
      </w:r>
    </w:p>
    <w:p w:rsidR="004A0621" w:rsidRDefault="0090184C">
      <w:pPr>
        <w:pStyle w:val="2"/>
        <w:ind w:left="0" w:firstLine="0"/>
        <w:rPr>
          <w:b w:val="0"/>
          <w:bCs w:val="0"/>
          <w:lang w:val="en-US"/>
        </w:rPr>
      </w:pPr>
      <w:r>
        <w:rPr>
          <w:rFonts w:hint="eastAsia"/>
          <w:b w:val="0"/>
          <w:bCs w:val="0"/>
          <w:lang w:val="en-US"/>
        </w:rPr>
        <w:t xml:space="preserve">2.2 Per band per BC aggregated </w:t>
      </w:r>
      <w:r>
        <w:rPr>
          <w:rFonts w:hint="eastAsia"/>
          <w:b w:val="0"/>
          <w:bCs w:val="0"/>
          <w:lang w:val="en-US"/>
        </w:rPr>
        <w:t>channel bandwidth Indication</w:t>
      </w:r>
    </w:p>
    <w:p w:rsidR="004A0621" w:rsidRDefault="0090184C">
      <w:r>
        <w:rPr>
          <w:rFonts w:hint="eastAsia"/>
        </w:rPr>
        <w:t>According to the Ran4 LS, the newly added Per band per BC aggregated channel bandwidth Indication would be added for both UL and DL</w:t>
      </w:r>
    </w:p>
    <w:tbl>
      <w:tblPr>
        <w:tblStyle w:val="af5"/>
        <w:tblW w:w="10498" w:type="dxa"/>
        <w:tblLook w:val="04A0" w:firstRow="1" w:lastRow="0" w:firstColumn="1" w:lastColumn="0" w:noHBand="0" w:noVBand="1"/>
      </w:tblPr>
      <w:tblGrid>
        <w:gridCol w:w="10498"/>
      </w:tblGrid>
      <w:tr w:rsidR="004A0621">
        <w:tc>
          <w:tcPr>
            <w:tcW w:w="10498" w:type="dxa"/>
          </w:tcPr>
          <w:p w:rsidR="004A0621" w:rsidRDefault="0090184C">
            <w:pPr>
              <w:pStyle w:val="afe"/>
              <w:numPr>
                <w:ilvl w:val="0"/>
                <w:numId w:val="6"/>
              </w:numPr>
              <w:spacing w:after="120"/>
              <w:ind w:firstLineChars="0"/>
              <w:jc w:val="left"/>
            </w:pPr>
            <w:r>
              <w:rPr>
                <w:rFonts w:ascii="Arial" w:hAnsi="Arial" w:cs="Arial"/>
                <w:sz w:val="18"/>
                <w:szCs w:val="18"/>
              </w:rPr>
              <w:t>The new IE applies to intra-band carrier contiguous aggregation as well as an intra-band contig</w:t>
            </w:r>
            <w:r>
              <w:rPr>
                <w:rFonts w:ascii="Arial" w:hAnsi="Arial" w:cs="Arial"/>
                <w:sz w:val="18"/>
                <w:szCs w:val="18"/>
              </w:rPr>
              <w:t>uous carrier aggregation component within an inter-band carrier aggregation. The new IE is separately applicable to each, UL, and DL.</w:t>
            </w:r>
          </w:p>
          <w:p w:rsidR="004A0621" w:rsidRDefault="0090184C">
            <w:pPr>
              <w:pStyle w:val="afe"/>
              <w:numPr>
                <w:ilvl w:val="0"/>
                <w:numId w:val="6"/>
              </w:numPr>
              <w:spacing w:after="120"/>
              <w:ind w:firstLineChars="0"/>
              <w:jc w:val="left"/>
              <w:rPr>
                <w:rFonts w:ascii="Arial" w:hAnsi="Arial" w:cs="Arial"/>
                <w:sz w:val="18"/>
                <w:szCs w:val="18"/>
              </w:rPr>
            </w:pPr>
            <w:r>
              <w:rPr>
                <w:rFonts w:ascii="Arial" w:hAnsi="Arial" w:cs="Arial"/>
                <w:sz w:val="18"/>
                <w:szCs w:val="18"/>
              </w:rPr>
              <w:t>When signalled for an explicitly supported BW class in FBG5:</w:t>
            </w:r>
          </w:p>
          <w:p w:rsidR="004A0621" w:rsidRDefault="0090184C">
            <w:pPr>
              <w:pStyle w:val="afe"/>
              <w:numPr>
                <w:ilvl w:val="0"/>
                <w:numId w:val="7"/>
              </w:numPr>
              <w:spacing w:after="120"/>
              <w:ind w:firstLineChars="0"/>
              <w:jc w:val="left"/>
              <w:rPr>
                <w:rFonts w:ascii="Arial" w:hAnsi="Arial" w:cs="Arial"/>
                <w:sz w:val="18"/>
                <w:szCs w:val="18"/>
              </w:rPr>
            </w:pPr>
            <w:r>
              <w:rPr>
                <w:rFonts w:ascii="Arial" w:hAnsi="Arial" w:cs="Arial"/>
                <w:sz w:val="18"/>
                <w:szCs w:val="18"/>
              </w:rPr>
              <w:t>It is in addition to the existing signaling for that BW class</w:t>
            </w:r>
            <w:r>
              <w:rPr>
                <w:rFonts w:ascii="Arial" w:hAnsi="Arial" w:cs="Arial"/>
                <w:sz w:val="18"/>
                <w:szCs w:val="18"/>
              </w:rPr>
              <w:t xml:space="preserve">. </w:t>
            </w:r>
          </w:p>
          <w:p w:rsidR="004A0621" w:rsidRDefault="0090184C">
            <w:pPr>
              <w:pStyle w:val="afe"/>
              <w:numPr>
                <w:ilvl w:val="0"/>
                <w:numId w:val="7"/>
              </w:numPr>
              <w:spacing w:after="120"/>
              <w:ind w:firstLineChars="0"/>
              <w:jc w:val="left"/>
              <w:rPr>
                <w:rFonts w:ascii="Arial" w:hAnsi="Arial" w:cs="Arial"/>
                <w:sz w:val="18"/>
                <w:szCs w:val="18"/>
              </w:rPr>
            </w:pPr>
            <w:r>
              <w:rPr>
                <w:rFonts w:ascii="Arial" w:hAnsi="Arial" w:cs="Arial"/>
                <w:sz w:val="18"/>
                <w:szCs w:val="18"/>
              </w:rPr>
              <w:t xml:space="preserve">The network understands that the UE has independent maximum limits on number of CCs and max. aggregated bandwidth for that band. For example, when the UE indicates explicit support for R12 and a max. aggregated bandwidth of 1600Mhz using the new IE, it </w:t>
            </w:r>
            <w:r>
              <w:rPr>
                <w:rFonts w:ascii="Arial" w:hAnsi="Arial" w:cs="Arial"/>
                <w:sz w:val="18"/>
                <w:szCs w:val="18"/>
              </w:rPr>
              <w:t>not only means the max. aggregated bandwidth 1600MHz applies to 12 CCs, but also applies to lower order classes, i.e., 11CCs, 10CCs, and so on.</w:t>
            </w:r>
          </w:p>
          <w:p w:rsidR="004A0621" w:rsidRDefault="0090184C">
            <w:pPr>
              <w:pStyle w:val="afe"/>
              <w:numPr>
                <w:ilvl w:val="0"/>
                <w:numId w:val="7"/>
              </w:numPr>
              <w:spacing w:after="120"/>
              <w:ind w:firstLineChars="0"/>
              <w:jc w:val="left"/>
              <w:rPr>
                <w:rFonts w:ascii="Arial" w:hAnsi="Arial" w:cs="Arial"/>
                <w:sz w:val="18"/>
                <w:szCs w:val="18"/>
              </w:rPr>
            </w:pPr>
            <w:r>
              <w:rPr>
                <w:rFonts w:ascii="Arial" w:hAnsi="Arial" w:cs="Arial"/>
                <w:sz w:val="18"/>
                <w:szCs w:val="18"/>
              </w:rPr>
              <w:t>The IE conveys the max. aggregated bandwidth value for each FeatureSetListPerUplink(Downlink)CC. for example, in</w:t>
            </w:r>
            <w:r>
              <w:rPr>
                <w:rFonts w:ascii="Arial" w:hAnsi="Arial" w:cs="Arial"/>
                <w:sz w:val="18"/>
                <w:szCs w:val="18"/>
              </w:rPr>
              <w:t xml:space="preserve"> each FeatureSetUplink(Downlink). </w:t>
            </w:r>
          </w:p>
          <w:p w:rsidR="004A0621" w:rsidRDefault="0090184C">
            <w:pPr>
              <w:pStyle w:val="afe"/>
              <w:numPr>
                <w:ilvl w:val="0"/>
                <w:numId w:val="7"/>
              </w:numPr>
              <w:spacing w:after="120"/>
              <w:ind w:firstLineChars="0"/>
              <w:jc w:val="left"/>
            </w:pPr>
            <w:r>
              <w:rPr>
                <w:rFonts w:ascii="Arial" w:hAnsi="Arial" w:cs="Arial"/>
                <w:sz w:val="18"/>
                <w:szCs w:val="18"/>
              </w:rPr>
              <w:t>A band may have multiple values of max. aggregated bandwidth associated with different FeatureSetListPerUplink(Downlink)CC.</w:t>
            </w:r>
          </w:p>
        </w:tc>
      </w:tr>
    </w:tbl>
    <w:p w:rsidR="004A0621" w:rsidRDefault="0090184C">
      <w:r>
        <w:rPr>
          <w:rFonts w:hint="eastAsia"/>
        </w:rPr>
        <w:t xml:space="preserve">The recommended signaling structure by RAN4 is as below: </w:t>
      </w:r>
    </w:p>
    <w:p w:rsidR="004A0621" w:rsidRDefault="0090184C">
      <w:pPr>
        <w:rPr>
          <w:rFonts w:eastAsia="宋体"/>
        </w:rPr>
      </w:pPr>
      <w:r>
        <w:rPr>
          <w:rFonts w:eastAsia="宋体" w:hint="eastAsia"/>
        </w:rPr>
        <w:t xml:space="preserve">Note: The below figure is for </w:t>
      </w:r>
      <w:r>
        <w:rPr>
          <w:rFonts w:eastAsia="宋体" w:hint="eastAsia"/>
        </w:rPr>
        <w:t>FeatureS</w:t>
      </w:r>
      <w:r>
        <w:rPr>
          <w:rFonts w:eastAsia="宋体" w:hint="eastAsia"/>
        </w:rPr>
        <w:t>etDownlink Structure</w:t>
      </w:r>
      <w:r>
        <w:rPr>
          <w:rFonts w:eastAsia="宋体" w:hint="eastAsia"/>
        </w:rPr>
        <w:t xml:space="preserve">, the </w:t>
      </w:r>
      <w:r>
        <w:rPr>
          <w:rFonts w:eastAsia="宋体" w:hint="eastAsia"/>
        </w:rPr>
        <w:t>UL</w:t>
      </w:r>
      <w:r>
        <w:rPr>
          <w:rFonts w:eastAsia="宋体" w:hint="eastAsia"/>
        </w:rPr>
        <w:t xml:space="preserve"> can</w:t>
      </w:r>
      <w:r>
        <w:rPr>
          <w:rFonts w:eastAsia="宋体" w:hint="eastAsia"/>
        </w:rPr>
        <w:t xml:space="preserve"> take the same way</w:t>
      </w:r>
    </w:p>
    <w:p w:rsidR="004A0621" w:rsidRDefault="004A0621"/>
    <w:p w:rsidR="004A0621" w:rsidRDefault="0090184C">
      <w:pPr>
        <w:jc w:val="center"/>
        <w:rPr>
          <w:rFonts w:eastAsia="宋体"/>
        </w:rPr>
      </w:pPr>
      <w:r>
        <w:rPr>
          <w:rFonts w:eastAsia="宋体"/>
        </w:rPr>
        <w:object w:dxaOrig="4828" w:dyaOrig="3253">
          <v:shape id="_x0000_i1027" type="#_x0000_t75" style="width:241.15pt;height:162.35pt" o:ole="">
            <v:imagedata r:id="rId13" o:title=""/>
            <o:lock v:ext="edit" aspectratio="f"/>
          </v:shape>
          <o:OLEObject Type="Embed" ProgID="Visio.Drawing.15" ShapeID="_x0000_i1027" DrawAspect="Content" ObjectID="_1726065298" r:id="rId14"/>
        </w:object>
      </w:r>
    </w:p>
    <w:p w:rsidR="004A0621" w:rsidRDefault="0090184C">
      <w:pPr>
        <w:jc w:val="center"/>
        <w:rPr>
          <w:b/>
          <w:bCs/>
        </w:rPr>
      </w:pPr>
      <w:r>
        <w:rPr>
          <w:rFonts w:hint="eastAsia"/>
          <w:b/>
          <w:bCs/>
        </w:rPr>
        <w:t>Fig 3: Newly added maximum bandwidth per band per BC</w:t>
      </w:r>
    </w:p>
    <w:p w:rsidR="004A0621" w:rsidRDefault="0090184C">
      <w:r>
        <w:rPr>
          <w:rFonts w:hint="eastAsia"/>
        </w:rPr>
        <w:t>About this newly added parameter, generally there are 2 issues need to be further discussed in RAN2</w:t>
      </w:r>
    </w:p>
    <w:p w:rsidR="004A0621" w:rsidRDefault="0090184C">
      <w:pPr>
        <w:numPr>
          <w:ilvl w:val="0"/>
          <w:numId w:val="8"/>
        </w:numPr>
        <w:rPr>
          <w:b/>
          <w:bCs/>
          <w:i/>
          <w:iCs/>
          <w:u w:val="single"/>
        </w:rPr>
      </w:pPr>
      <w:r>
        <w:rPr>
          <w:rFonts w:hint="eastAsia"/>
          <w:b/>
          <w:bCs/>
          <w:i/>
          <w:iCs/>
          <w:u w:val="single"/>
        </w:rPr>
        <w:t>Whether there are any</w:t>
      </w:r>
      <w:r>
        <w:rPr>
          <w:rFonts w:hint="eastAsia"/>
          <w:b/>
          <w:bCs/>
          <w:i/>
          <w:iCs/>
          <w:u w:val="single"/>
        </w:rPr>
        <w:t xml:space="preserve"> inter-operability issue?</w:t>
      </w:r>
    </w:p>
    <w:p w:rsidR="004A0621" w:rsidRDefault="0090184C">
      <w:pPr>
        <w:numPr>
          <w:ilvl w:val="0"/>
          <w:numId w:val="8"/>
        </w:numPr>
        <w:rPr>
          <w:b/>
          <w:bCs/>
          <w:i/>
          <w:iCs/>
          <w:u w:val="single"/>
        </w:rPr>
      </w:pPr>
      <w:r>
        <w:rPr>
          <w:rFonts w:hint="eastAsia"/>
          <w:b/>
          <w:bCs/>
          <w:i/>
          <w:iCs/>
          <w:u w:val="single"/>
        </w:rPr>
        <w:t>How about the efficiency of introducing this new elements?</w:t>
      </w:r>
    </w:p>
    <w:p w:rsidR="004A0621" w:rsidRDefault="0090184C">
      <w:r>
        <w:rPr>
          <w:rFonts w:hint="eastAsia"/>
        </w:rPr>
        <w:t>For the issue 1, Ran4</w:t>
      </w:r>
      <w:r>
        <w:t>’</w:t>
      </w:r>
      <w:r>
        <w:rPr>
          <w:rFonts w:hint="eastAsia"/>
        </w:rPr>
        <w:t>s understanding in the LS about this parameter is as below:</w:t>
      </w:r>
    </w:p>
    <w:tbl>
      <w:tblPr>
        <w:tblStyle w:val="af5"/>
        <w:tblW w:w="0" w:type="auto"/>
        <w:tblLook w:val="04A0" w:firstRow="1" w:lastRow="0" w:firstColumn="1" w:lastColumn="0" w:noHBand="0" w:noVBand="1"/>
      </w:tblPr>
      <w:tblGrid>
        <w:gridCol w:w="9771"/>
      </w:tblGrid>
      <w:tr w:rsidR="004A0621">
        <w:tc>
          <w:tcPr>
            <w:tcW w:w="9997" w:type="dxa"/>
          </w:tcPr>
          <w:p w:rsidR="004A0621" w:rsidRDefault="0090184C">
            <w:pPr>
              <w:pStyle w:val="afe"/>
              <w:spacing w:after="120"/>
              <w:ind w:firstLineChars="0" w:firstLine="0"/>
              <w:rPr>
                <w:sz w:val="18"/>
                <w:szCs w:val="18"/>
              </w:rPr>
            </w:pPr>
            <w:r>
              <w:rPr>
                <w:sz w:val="18"/>
                <w:szCs w:val="18"/>
              </w:rPr>
              <w:t>The new IE is optional for a UE to signal. When the IE is not signalled, legacy operation</w:t>
            </w:r>
            <w:r>
              <w:rPr>
                <w:sz w:val="18"/>
                <w:szCs w:val="18"/>
              </w:rPr>
              <w:t xml:space="preserve"> is assumed:</w:t>
            </w:r>
          </w:p>
          <w:p w:rsidR="004A0621" w:rsidRDefault="00856137">
            <w:pPr>
              <w:pStyle w:val="afe"/>
              <w:numPr>
                <w:ilvl w:val="0"/>
                <w:numId w:val="9"/>
              </w:numPr>
              <w:spacing w:after="120"/>
              <w:ind w:firstLineChars="0"/>
              <w:rPr>
                <w:sz w:val="18"/>
                <w:szCs w:val="18"/>
              </w:rPr>
            </w:pPr>
            <w:r>
              <w:rPr>
                <w:sz w:val="18"/>
                <w:szCs w:val="18"/>
              </w:rPr>
              <w:t>T</w:t>
            </w:r>
            <w:r w:rsidR="0090184C">
              <w:rPr>
                <w:sz w:val="18"/>
                <w:szCs w:val="18"/>
              </w:rPr>
              <w:t>he UE can still communicate to the network the maximum aggregated BW limitation using the existing framework.</w:t>
            </w:r>
          </w:p>
          <w:p w:rsidR="004A0621" w:rsidRDefault="0090184C">
            <w:pPr>
              <w:numPr>
                <w:ilvl w:val="0"/>
                <w:numId w:val="9"/>
              </w:numPr>
            </w:pPr>
            <w:r>
              <w:rPr>
                <w:color w:val="FF0000"/>
                <w:sz w:val="18"/>
                <w:szCs w:val="18"/>
              </w:rPr>
              <w:t>The network understands that the UE supports the legacy fallback BW classes.</w:t>
            </w:r>
          </w:p>
        </w:tc>
      </w:tr>
    </w:tbl>
    <w:p w:rsidR="004A0621" w:rsidRDefault="0090184C">
      <w:r>
        <w:rPr>
          <w:rFonts w:hint="eastAsia"/>
        </w:rPr>
        <w:t>From RAN2 side, at least the below issues need to be c</w:t>
      </w:r>
      <w:r>
        <w:rPr>
          <w:rFonts w:hint="eastAsia"/>
        </w:rPr>
        <w:t>larified:</w:t>
      </w:r>
    </w:p>
    <w:p w:rsidR="004A0621" w:rsidRDefault="00856137">
      <w:pPr>
        <w:numPr>
          <w:ilvl w:val="0"/>
          <w:numId w:val="10"/>
        </w:numPr>
      </w:pPr>
      <w:r>
        <w:rPr>
          <w:rFonts w:hint="eastAsia"/>
        </w:rPr>
        <w:t>What does absen</w:t>
      </w:r>
      <w:r>
        <w:t xml:space="preserve">ce of this IE </w:t>
      </w:r>
      <w:r w:rsidR="0090184C">
        <w:rPr>
          <w:rFonts w:hint="eastAsia"/>
        </w:rPr>
        <w:t>mean</w:t>
      </w:r>
      <w:r w:rsidR="0090184C">
        <w:rPr>
          <w:rFonts w:hint="eastAsia"/>
        </w:rPr>
        <w:t xml:space="preserve"> for the FBG 5</w:t>
      </w:r>
      <w:r>
        <w:t xml:space="preserve"> in R17</w:t>
      </w:r>
      <w:r w:rsidR="0090184C">
        <w:rPr>
          <w:rFonts w:hint="eastAsia"/>
        </w:rPr>
        <w:t>? Does it mean 1600 M or no additional maximum</w:t>
      </w:r>
      <w:r>
        <w:rPr>
          <w:rFonts w:hint="eastAsia"/>
        </w:rPr>
        <w:t xml:space="preserve"> bandwidth limitation? If absen</w:t>
      </w:r>
      <w:r>
        <w:t>ce</w:t>
      </w:r>
      <w:r w:rsidR="0090184C">
        <w:rPr>
          <w:rFonts w:hint="eastAsia"/>
        </w:rPr>
        <w:t xml:space="preserve"> means no limitation, does it mean that for the bandwidth class R9~R12, it shall always report this new IE?</w:t>
      </w:r>
    </w:p>
    <w:p w:rsidR="004A0621" w:rsidRDefault="0090184C">
      <w:pPr>
        <w:numPr>
          <w:ilvl w:val="0"/>
          <w:numId w:val="10"/>
        </w:numPr>
      </w:pPr>
      <w:r>
        <w:rPr>
          <w:rFonts w:hint="eastAsia"/>
        </w:rPr>
        <w:t>What about th</w:t>
      </w:r>
      <w:r>
        <w:rPr>
          <w:rFonts w:hint="eastAsia"/>
        </w:rPr>
        <w:t>e value range of the new IE, e.g. whether it can be larger than 1600 M?</w:t>
      </w:r>
    </w:p>
    <w:p w:rsidR="004A0621" w:rsidRDefault="0090184C">
      <w:pPr>
        <w:rPr>
          <w:b/>
          <w:bCs/>
        </w:rPr>
      </w:pPr>
      <w:r>
        <w:rPr>
          <w:rFonts w:hint="eastAsia"/>
          <w:b/>
          <w:bCs/>
        </w:rPr>
        <w:t>Proposal 4: Before any discussion on the inter-operability, RAN2 to ask RAN4 to clarify the below issues about the new IE.</w:t>
      </w:r>
    </w:p>
    <w:p w:rsidR="00856137" w:rsidRPr="00856137" w:rsidRDefault="00856137" w:rsidP="00856137">
      <w:pPr>
        <w:numPr>
          <w:ilvl w:val="0"/>
          <w:numId w:val="13"/>
        </w:numPr>
        <w:rPr>
          <w:b/>
        </w:rPr>
      </w:pPr>
      <w:r w:rsidRPr="00856137">
        <w:rPr>
          <w:rFonts w:hint="eastAsia"/>
          <w:b/>
        </w:rPr>
        <w:t>What does absen</w:t>
      </w:r>
      <w:r w:rsidRPr="00856137">
        <w:rPr>
          <w:b/>
        </w:rPr>
        <w:t xml:space="preserve">ce of this IE </w:t>
      </w:r>
      <w:r w:rsidRPr="00856137">
        <w:rPr>
          <w:rFonts w:hint="eastAsia"/>
          <w:b/>
        </w:rPr>
        <w:t>mean for the FBG 5</w:t>
      </w:r>
      <w:r w:rsidRPr="00856137">
        <w:rPr>
          <w:b/>
        </w:rPr>
        <w:t xml:space="preserve"> in R17</w:t>
      </w:r>
      <w:r w:rsidRPr="00856137">
        <w:rPr>
          <w:rFonts w:hint="eastAsia"/>
          <w:b/>
        </w:rPr>
        <w:t>? Does it mean 1600 M or no additional maximum bandwidth limitation? If absen</w:t>
      </w:r>
      <w:r w:rsidRPr="00856137">
        <w:rPr>
          <w:b/>
        </w:rPr>
        <w:t>ce</w:t>
      </w:r>
      <w:r w:rsidRPr="00856137">
        <w:rPr>
          <w:rFonts w:hint="eastAsia"/>
          <w:b/>
        </w:rPr>
        <w:t xml:space="preserve"> means no limitation, does it mean that for the bandwidth class R9~R12, it shall always report this new IE?</w:t>
      </w:r>
    </w:p>
    <w:p w:rsidR="00856137" w:rsidRPr="00856137" w:rsidRDefault="00856137" w:rsidP="00856137">
      <w:pPr>
        <w:numPr>
          <w:ilvl w:val="0"/>
          <w:numId w:val="13"/>
        </w:numPr>
        <w:rPr>
          <w:b/>
        </w:rPr>
      </w:pPr>
      <w:r w:rsidRPr="00856137">
        <w:rPr>
          <w:rFonts w:hint="eastAsia"/>
          <w:b/>
        </w:rPr>
        <w:t>What about the value range of the new IE, e.g. whether it can be larger than 1600 M?</w:t>
      </w:r>
    </w:p>
    <w:p w:rsidR="004A0621" w:rsidRDefault="0090184C">
      <w:pPr>
        <w:pStyle w:val="af3"/>
        <w:shd w:val="clear" w:color="auto" w:fill="FFFFFF"/>
        <w:spacing w:before="0" w:beforeAutospacing="0" w:after="0" w:afterAutospacing="0"/>
        <w:jc w:val="both"/>
        <w:rPr>
          <w:rFonts w:eastAsia="微软雅黑"/>
          <w:color w:val="000000"/>
          <w:sz w:val="21"/>
          <w:szCs w:val="21"/>
          <w:lang w:val="en-US" w:eastAsia="zh-CN"/>
        </w:rPr>
      </w:pPr>
      <w:r>
        <w:rPr>
          <w:rFonts w:eastAsia="微软雅黑" w:hint="eastAsia"/>
          <w:color w:val="000000"/>
          <w:sz w:val="21"/>
          <w:szCs w:val="21"/>
          <w:lang w:val="en-US" w:eastAsia="zh-CN"/>
        </w:rPr>
        <w:t>From the efficiency aspect, with introduction of this newly added parameter, both the size of FeatureSetUplink(Downlink) list would be increased as shown in Fig 4: in which we assume FSD1~FSD x are affected by the newly added IE.</w:t>
      </w:r>
    </w:p>
    <w:p w:rsidR="004A0621" w:rsidRDefault="004A0621">
      <w:pPr>
        <w:pStyle w:val="af3"/>
        <w:shd w:val="clear" w:color="auto" w:fill="FFFFFF"/>
        <w:spacing w:before="0" w:beforeAutospacing="0" w:after="0" w:afterAutospacing="0"/>
        <w:rPr>
          <w:rFonts w:eastAsia="微软雅黑"/>
          <w:color w:val="000000"/>
          <w:sz w:val="21"/>
          <w:szCs w:val="21"/>
          <w:lang w:val="en-US" w:eastAsia="zh-CN"/>
        </w:rPr>
      </w:pPr>
    </w:p>
    <w:p w:rsidR="004A0621" w:rsidRDefault="0090184C">
      <w:pPr>
        <w:pStyle w:val="af3"/>
        <w:shd w:val="clear" w:color="auto" w:fill="FFFFFF"/>
        <w:spacing w:before="0" w:beforeAutospacing="0" w:after="0" w:afterAutospacing="0"/>
        <w:jc w:val="center"/>
        <w:rPr>
          <w:rFonts w:eastAsia="微软雅黑"/>
          <w:color w:val="000000"/>
          <w:sz w:val="21"/>
          <w:szCs w:val="21"/>
          <w:lang w:val="en-US" w:eastAsia="zh-CN"/>
        </w:rPr>
      </w:pPr>
      <w:r>
        <w:rPr>
          <w:rFonts w:eastAsia="微软雅黑" w:hint="eastAsia"/>
          <w:color w:val="000000"/>
          <w:sz w:val="21"/>
          <w:szCs w:val="21"/>
          <w:lang w:val="en-US" w:eastAsia="zh-CN"/>
        </w:rPr>
        <w:object w:dxaOrig="8641" w:dyaOrig="2490">
          <v:shape id="_x0000_i1028" type="#_x0000_t75" style="width:6in;height:124.3pt" o:ole="">
            <v:imagedata r:id="rId15" o:title=""/>
            <o:lock v:ext="edit" aspectratio="f"/>
          </v:shape>
          <o:OLEObject Type="Embed" ProgID="Visio.Drawing.15" ShapeID="_x0000_i1028" DrawAspect="Content" ObjectID="_1726065299" r:id="rId16"/>
        </w:object>
      </w:r>
    </w:p>
    <w:p w:rsidR="004A0621" w:rsidRDefault="004A0621">
      <w:pPr>
        <w:pStyle w:val="af3"/>
        <w:shd w:val="clear" w:color="auto" w:fill="FFFFFF"/>
        <w:spacing w:before="0" w:beforeAutospacing="0" w:after="0" w:afterAutospacing="0"/>
        <w:rPr>
          <w:rFonts w:eastAsia="微软雅黑"/>
          <w:color w:val="000000"/>
          <w:sz w:val="21"/>
          <w:szCs w:val="21"/>
          <w:lang w:val="en-US" w:eastAsia="zh-CN"/>
        </w:rPr>
      </w:pPr>
    </w:p>
    <w:p w:rsidR="004A0621" w:rsidRDefault="0090184C">
      <w:pPr>
        <w:jc w:val="center"/>
        <w:rPr>
          <w:b/>
          <w:bCs/>
        </w:rPr>
      </w:pPr>
      <w:r>
        <w:rPr>
          <w:rFonts w:hint="eastAsia"/>
          <w:b/>
          <w:bCs/>
        </w:rPr>
        <w:t>Fig 4: New IE impact on the FSD list</w:t>
      </w:r>
    </w:p>
    <w:p w:rsidR="004A0621" w:rsidRDefault="0090184C">
      <w:pPr>
        <w:pStyle w:val="af3"/>
        <w:shd w:val="clear" w:color="auto" w:fill="FFFFFF"/>
        <w:spacing w:before="0" w:beforeAutospacing="0" w:after="0" w:afterAutospacing="0"/>
        <w:rPr>
          <w:rFonts w:eastAsia="微软雅黑"/>
          <w:color w:val="000000"/>
          <w:sz w:val="21"/>
          <w:szCs w:val="21"/>
          <w:lang w:val="en-US" w:eastAsia="zh-CN"/>
        </w:rPr>
      </w:pPr>
      <w:r>
        <w:rPr>
          <w:rFonts w:eastAsia="微软雅黑" w:hint="eastAsia"/>
          <w:color w:val="000000"/>
          <w:sz w:val="21"/>
          <w:szCs w:val="21"/>
          <w:lang w:val="en-US" w:eastAsia="zh-CN"/>
        </w:rPr>
        <w:t xml:space="preserve">Based on the Fig4, we can see that the </w:t>
      </w:r>
      <w:r>
        <w:rPr>
          <w:rFonts w:eastAsia="微软雅黑" w:hint="eastAsia"/>
          <w:color w:val="000000"/>
          <w:sz w:val="21"/>
          <w:szCs w:val="21"/>
          <w:lang w:val="en-US" w:eastAsia="zh-CN"/>
        </w:rPr>
        <w:t>size of FeatureSetUplink(Downlink) list would be increased especially when multiple maximum values were introduced.</w:t>
      </w:r>
    </w:p>
    <w:p w:rsidR="004A0621" w:rsidRDefault="0090184C">
      <w:pPr>
        <w:pStyle w:val="af3"/>
        <w:shd w:val="clear" w:color="auto" w:fill="FFFFFF"/>
        <w:spacing w:before="0" w:beforeAutospacing="0" w:after="0" w:afterAutospacing="0"/>
        <w:jc w:val="both"/>
        <w:rPr>
          <w:rFonts w:eastAsia="微软雅黑"/>
          <w:b/>
          <w:bCs/>
          <w:color w:val="000000"/>
          <w:sz w:val="21"/>
          <w:szCs w:val="21"/>
          <w:lang w:val="en-US" w:eastAsia="zh-CN"/>
        </w:rPr>
      </w:pPr>
      <w:r w:rsidRPr="00856137">
        <w:rPr>
          <w:rFonts w:eastAsia="微软雅黑" w:hint="eastAsia"/>
          <w:b/>
          <w:bCs/>
          <w:color w:val="000000"/>
          <w:sz w:val="21"/>
          <w:szCs w:val="21"/>
          <w:lang w:val="en-US" w:eastAsia="zh-CN"/>
        </w:rPr>
        <w:t>Proposal 5: About the efficiency, RAN2 to indicate RAN</w:t>
      </w:r>
      <w:r w:rsidRPr="00856137">
        <w:rPr>
          <w:rFonts w:eastAsia="微软雅黑" w:hint="eastAsia"/>
          <w:b/>
          <w:bCs/>
          <w:color w:val="000000"/>
          <w:sz w:val="21"/>
          <w:szCs w:val="21"/>
          <w:lang w:val="en-US" w:eastAsia="zh-CN"/>
        </w:rPr>
        <w:t>4 that</w:t>
      </w:r>
      <w:r>
        <w:rPr>
          <w:rFonts w:eastAsia="微软雅黑" w:hint="eastAsia"/>
          <w:b/>
          <w:bCs/>
          <w:color w:val="000000"/>
          <w:sz w:val="21"/>
          <w:szCs w:val="21"/>
          <w:lang w:val="en-US" w:eastAsia="zh-CN"/>
        </w:rPr>
        <w:t xml:space="preserve"> the size of FeatureSetUplink(Downlink) list may be increased significantly especially when multiple maximum values were introduced.</w:t>
      </w:r>
    </w:p>
    <w:p w:rsidR="004A0621" w:rsidRDefault="0090184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A0621" w:rsidRDefault="0090184C">
      <w:pPr>
        <w:spacing w:beforeLines="50" w:before="156"/>
      </w:pPr>
      <w:r>
        <w:rPr>
          <w:rFonts w:hint="eastAsia"/>
        </w:rPr>
        <w:t xml:space="preserve">With the above analysis, we have the following </w:t>
      </w:r>
      <w:r>
        <w:t>proposals</w:t>
      </w:r>
      <w:r>
        <w:rPr>
          <w:rFonts w:hint="eastAsia"/>
        </w:rPr>
        <w:t>:</w:t>
      </w:r>
    </w:p>
    <w:p w:rsidR="004A0621" w:rsidRDefault="0090184C">
      <w:pPr>
        <w:rPr>
          <w:b/>
          <w:bCs/>
        </w:rPr>
      </w:pPr>
      <w:r>
        <w:rPr>
          <w:rFonts w:hint="eastAsia"/>
          <w:b/>
          <w:bCs/>
        </w:rPr>
        <w:t xml:space="preserve">Observation 1: The </w:t>
      </w:r>
      <w:r>
        <w:rPr>
          <w:rFonts w:hint="eastAsia"/>
          <w:b/>
          <w:bCs/>
        </w:rPr>
        <w:t>&lt;</w:t>
      </w:r>
      <w:r>
        <w:rPr>
          <w:b/>
          <w:bCs/>
        </w:rPr>
        <w:t xml:space="preserve">Aggregated </w:t>
      </w:r>
      <w:r>
        <w:rPr>
          <w:b/>
          <w:bCs/>
        </w:rPr>
        <w:t>channel bandwidth</w:t>
      </w:r>
      <w:r>
        <w:rPr>
          <w:rFonts w:hint="eastAsia"/>
          <w:b/>
          <w:bCs/>
        </w:rPr>
        <w:t xml:space="preserve">, </w:t>
      </w:r>
      <w:r>
        <w:rPr>
          <w:b/>
          <w:bCs/>
        </w:rPr>
        <w:t>Number of contiguous CC</w:t>
      </w:r>
      <w:r>
        <w:rPr>
          <w:rFonts w:hint="eastAsia"/>
          <w:b/>
          <w:bCs/>
        </w:rPr>
        <w:t>&gt; of FBG 2 bandwidth classes are covered by that of FBG 5 bandwidth classes.</w:t>
      </w:r>
    </w:p>
    <w:p w:rsidR="004A0621" w:rsidRDefault="0090184C">
      <w:pPr>
        <w:rPr>
          <w:b/>
          <w:bCs/>
        </w:rPr>
      </w:pPr>
      <w:r>
        <w:rPr>
          <w:rFonts w:hint="eastAsia"/>
          <w:b/>
          <w:bCs/>
        </w:rPr>
        <w:t xml:space="preserve">Observation 2: The </w:t>
      </w:r>
      <w:r>
        <w:rPr>
          <w:rFonts w:hint="eastAsia"/>
          <w:b/>
          <w:bCs/>
        </w:rPr>
        <w:t>&lt;</w:t>
      </w:r>
      <w:r>
        <w:rPr>
          <w:b/>
          <w:bCs/>
        </w:rPr>
        <w:t>Aggregated channel bandwidth</w:t>
      </w:r>
      <w:r>
        <w:rPr>
          <w:rFonts w:hint="eastAsia"/>
          <w:b/>
          <w:bCs/>
        </w:rPr>
        <w:t xml:space="preserve">, </w:t>
      </w:r>
      <w:r>
        <w:rPr>
          <w:b/>
          <w:bCs/>
        </w:rPr>
        <w:t>Number of contiguous CC</w:t>
      </w:r>
      <w:r>
        <w:rPr>
          <w:rFonts w:hint="eastAsia"/>
          <w:b/>
          <w:bCs/>
        </w:rPr>
        <w:t xml:space="preserve">&gt; of FBG 3 bandwidth classes are partly overlapped with that of </w:t>
      </w:r>
      <w:r>
        <w:rPr>
          <w:rFonts w:hint="eastAsia"/>
          <w:b/>
          <w:bCs/>
        </w:rPr>
        <w:t>FBG 5 bandwidth classes.</w:t>
      </w:r>
    </w:p>
    <w:p w:rsidR="004A0621" w:rsidRDefault="0090184C">
      <w:pPr>
        <w:rPr>
          <w:b/>
          <w:bCs/>
        </w:rPr>
      </w:pPr>
      <w:r>
        <w:rPr>
          <w:rFonts w:hint="eastAsia"/>
          <w:b/>
          <w:bCs/>
        </w:rPr>
        <w:t xml:space="preserve">Proposal 1: Ask RAN4 to confirm whether the </w:t>
      </w:r>
      <w:r>
        <w:rPr>
          <w:rFonts w:hint="eastAsia"/>
          <w:b/>
          <w:bCs/>
        </w:rPr>
        <w:t>&lt;</w:t>
      </w:r>
      <w:r>
        <w:rPr>
          <w:b/>
          <w:bCs/>
        </w:rPr>
        <w:t>Aggregated channel bandwidth</w:t>
      </w:r>
      <w:r>
        <w:rPr>
          <w:rFonts w:hint="eastAsia"/>
          <w:b/>
          <w:bCs/>
        </w:rPr>
        <w:t xml:space="preserve">, </w:t>
      </w:r>
      <w:r>
        <w:rPr>
          <w:b/>
          <w:bCs/>
        </w:rPr>
        <w:t>Number of contiguous CC</w:t>
      </w:r>
      <w:r>
        <w:rPr>
          <w:rFonts w:hint="eastAsia"/>
          <w:b/>
          <w:bCs/>
        </w:rPr>
        <w:t>&gt; of legacy bandwidth classes are covered by or partly overlapped with that of FBG 5 bandwidth classes.</w:t>
      </w:r>
    </w:p>
    <w:p w:rsidR="004A0621" w:rsidRDefault="0090184C">
      <w:pPr>
        <w:rPr>
          <w:b/>
          <w:bCs/>
        </w:rPr>
      </w:pPr>
      <w:r>
        <w:rPr>
          <w:rFonts w:hint="eastAsia"/>
          <w:b/>
          <w:bCs/>
        </w:rPr>
        <w:t>Proposal 2: Ask RAN4 to confi</w:t>
      </w:r>
      <w:r>
        <w:rPr>
          <w:rFonts w:hint="eastAsia"/>
          <w:b/>
          <w:bCs/>
        </w:rPr>
        <w:t>rm whether the BC with FGB2 bandwidth class can be seen as a fallback of a BC with FBG5 bandwidth class.</w:t>
      </w:r>
    </w:p>
    <w:p w:rsidR="004A0621" w:rsidRDefault="0090184C">
      <w:pPr>
        <w:pStyle w:val="af3"/>
        <w:shd w:val="clear" w:color="auto" w:fill="FFFFFF"/>
        <w:spacing w:before="0" w:beforeAutospacing="0" w:after="0" w:afterAutospacing="0"/>
        <w:jc w:val="both"/>
        <w:rPr>
          <w:rFonts w:eastAsia="微软雅黑"/>
          <w:b/>
          <w:bCs/>
          <w:color w:val="000000"/>
          <w:sz w:val="21"/>
          <w:szCs w:val="21"/>
          <w:lang w:val="en-US" w:eastAsia="zh-CN"/>
        </w:rPr>
      </w:pPr>
      <w:r>
        <w:rPr>
          <w:rFonts w:eastAsia="微软雅黑" w:hint="eastAsia"/>
          <w:b/>
          <w:bCs/>
          <w:color w:val="000000"/>
          <w:sz w:val="21"/>
          <w:szCs w:val="21"/>
          <w:lang w:val="en-US" w:eastAsia="zh-CN"/>
        </w:rPr>
        <w:t xml:space="preserve">Observation 3: The old gNB </w:t>
      </w:r>
      <w:r>
        <w:rPr>
          <w:rFonts w:eastAsia="微软雅黑" w:hint="eastAsia"/>
          <w:b/>
          <w:bCs/>
          <w:color w:val="000000"/>
          <w:sz w:val="21"/>
          <w:szCs w:val="21"/>
          <w:lang w:val="en-US" w:eastAsia="zh-CN"/>
        </w:rPr>
        <w:t>can</w:t>
      </w:r>
      <w:r>
        <w:rPr>
          <w:rFonts w:eastAsia="微软雅黑"/>
          <w:b/>
          <w:bCs/>
          <w:color w:val="000000"/>
          <w:sz w:val="21"/>
          <w:szCs w:val="21"/>
          <w:lang w:val="en-US" w:eastAsia="zh-CN"/>
        </w:rPr>
        <w:t>’</w:t>
      </w:r>
      <w:r>
        <w:rPr>
          <w:rFonts w:eastAsia="微软雅黑" w:hint="eastAsia"/>
          <w:b/>
          <w:bCs/>
          <w:color w:val="000000"/>
          <w:sz w:val="21"/>
          <w:szCs w:val="21"/>
          <w:lang w:val="en-US" w:eastAsia="zh-CN"/>
        </w:rPr>
        <w:t xml:space="preserve">t understand </w:t>
      </w:r>
      <w:r>
        <w:rPr>
          <w:rFonts w:eastAsia="微软雅黑" w:hint="eastAsia"/>
          <w:b/>
          <w:bCs/>
          <w:color w:val="000000"/>
          <w:sz w:val="21"/>
          <w:szCs w:val="21"/>
          <w:lang w:val="en-US" w:eastAsia="zh-CN"/>
        </w:rPr>
        <w:t xml:space="preserve">FBG 5 bandwidth </w:t>
      </w:r>
      <w:r>
        <w:rPr>
          <w:rFonts w:eastAsia="微软雅黑" w:hint="eastAsia"/>
          <w:b/>
          <w:bCs/>
          <w:color w:val="000000"/>
          <w:sz w:val="21"/>
          <w:szCs w:val="21"/>
          <w:lang w:val="en-US" w:eastAsia="zh-CN"/>
        </w:rPr>
        <w:t>class</w:t>
      </w:r>
      <w:r>
        <w:rPr>
          <w:rFonts w:eastAsia="微软雅黑" w:hint="eastAsia"/>
          <w:b/>
          <w:bCs/>
          <w:color w:val="000000"/>
          <w:sz w:val="21"/>
          <w:szCs w:val="21"/>
          <w:lang w:val="en-US" w:eastAsia="zh-CN"/>
        </w:rPr>
        <w:t xml:space="preserve"> (e.g. when the UE </w:t>
      </w:r>
      <w:r>
        <w:rPr>
          <w:rFonts w:eastAsia="微软雅黑" w:hint="eastAsia"/>
          <w:b/>
          <w:bCs/>
          <w:color w:val="000000"/>
          <w:sz w:val="21"/>
          <w:szCs w:val="21"/>
          <w:lang w:val="en-US" w:eastAsia="zh-CN"/>
        </w:rPr>
        <w:t>get the UE capabiliy from a R17 gNB then handover to a</w:t>
      </w:r>
      <w:r w:rsidR="00856137">
        <w:rPr>
          <w:rFonts w:eastAsia="微软雅黑"/>
          <w:b/>
          <w:bCs/>
          <w:color w:val="000000"/>
          <w:sz w:val="21"/>
          <w:szCs w:val="21"/>
          <w:lang w:val="en-US" w:eastAsia="zh-CN"/>
        </w:rPr>
        <w:t>n</w:t>
      </w:r>
      <w:r>
        <w:rPr>
          <w:rFonts w:eastAsia="微软雅黑" w:hint="eastAsia"/>
          <w:b/>
          <w:bCs/>
          <w:color w:val="000000"/>
          <w:sz w:val="21"/>
          <w:szCs w:val="21"/>
          <w:lang w:val="en-US" w:eastAsia="zh-CN"/>
        </w:rPr>
        <w:t xml:space="preserve"> old gNB</w:t>
      </w:r>
      <w:r>
        <w:rPr>
          <w:rFonts w:eastAsia="微软雅黑" w:hint="eastAsia"/>
          <w:b/>
          <w:bCs/>
          <w:color w:val="000000"/>
          <w:sz w:val="21"/>
          <w:szCs w:val="21"/>
          <w:lang w:val="en-US" w:eastAsia="zh-CN"/>
        </w:rPr>
        <w:t xml:space="preserve">, or </w:t>
      </w:r>
      <w:r>
        <w:rPr>
          <w:rFonts w:eastAsia="微软雅黑" w:hint="eastAsia"/>
          <w:b/>
          <w:bCs/>
          <w:color w:val="000000"/>
          <w:sz w:val="21"/>
          <w:szCs w:val="21"/>
          <w:lang w:val="en-US" w:eastAsia="zh-CN"/>
        </w:rPr>
        <w:t>when the UE move to an old gNB at idle state and then establish connection with old gNB)</w:t>
      </w:r>
      <w:r>
        <w:rPr>
          <w:rFonts w:eastAsia="微软雅黑" w:hint="eastAsia"/>
          <w:b/>
          <w:bCs/>
          <w:color w:val="000000"/>
          <w:sz w:val="21"/>
          <w:szCs w:val="21"/>
          <w:lang w:val="en-US" w:eastAsia="zh-CN"/>
        </w:rPr>
        <w:t xml:space="preserve">, then the network may ignore </w:t>
      </w:r>
      <w:r>
        <w:rPr>
          <w:rFonts w:eastAsia="微软雅黑" w:hint="eastAsia"/>
          <w:b/>
          <w:bCs/>
          <w:color w:val="000000"/>
          <w:sz w:val="21"/>
          <w:szCs w:val="21"/>
          <w:lang w:val="en-US" w:eastAsia="zh-CN"/>
        </w:rPr>
        <w:t xml:space="preserve">the </w:t>
      </w:r>
      <w:r>
        <w:rPr>
          <w:rFonts w:eastAsia="微软雅黑" w:hint="eastAsia"/>
          <w:b/>
          <w:bCs/>
          <w:color w:val="000000"/>
          <w:sz w:val="21"/>
          <w:szCs w:val="21"/>
          <w:lang w:val="en-US" w:eastAsia="zh-CN"/>
        </w:rPr>
        <w:t>BC</w:t>
      </w:r>
      <w:r>
        <w:rPr>
          <w:rFonts w:eastAsia="微软雅黑" w:hint="eastAsia"/>
          <w:b/>
          <w:bCs/>
          <w:color w:val="000000"/>
          <w:sz w:val="21"/>
          <w:szCs w:val="21"/>
          <w:lang w:val="en-US" w:eastAsia="zh-CN"/>
        </w:rPr>
        <w:t xml:space="preserve"> with FBG 5 bandwidth class</w:t>
      </w:r>
      <w:r>
        <w:rPr>
          <w:rFonts w:eastAsia="微软雅黑" w:hint="eastAsia"/>
          <w:b/>
          <w:bCs/>
          <w:color w:val="000000"/>
          <w:sz w:val="21"/>
          <w:szCs w:val="21"/>
          <w:lang w:val="en-US" w:eastAsia="zh-CN"/>
        </w:rPr>
        <w:t>.</w:t>
      </w:r>
    </w:p>
    <w:p w:rsidR="004A0621" w:rsidRDefault="0090184C">
      <w:pPr>
        <w:rPr>
          <w:b/>
          <w:bCs/>
        </w:rPr>
      </w:pPr>
      <w:r>
        <w:rPr>
          <w:rFonts w:hint="eastAsia"/>
          <w:b/>
          <w:bCs/>
        </w:rPr>
        <w:t>Proposal 3: Include the observation 3 in the Reply LS to RAN4</w:t>
      </w:r>
    </w:p>
    <w:p w:rsidR="00856137" w:rsidRDefault="00856137" w:rsidP="00856137">
      <w:pPr>
        <w:rPr>
          <w:b/>
          <w:bCs/>
        </w:rPr>
      </w:pPr>
      <w:bookmarkStart w:id="2" w:name="_GoBack"/>
      <w:r>
        <w:rPr>
          <w:rFonts w:hint="eastAsia"/>
          <w:b/>
          <w:bCs/>
        </w:rPr>
        <w:t>Proposal 4: Before any discussion on the inter-operability, RAN2 to ask RAN4 to clarify the below issues about the new IE.</w:t>
      </w:r>
    </w:p>
    <w:p w:rsidR="00856137" w:rsidRPr="00856137" w:rsidRDefault="00856137" w:rsidP="00856137">
      <w:pPr>
        <w:numPr>
          <w:ilvl w:val="0"/>
          <w:numId w:val="13"/>
        </w:numPr>
        <w:rPr>
          <w:b/>
        </w:rPr>
      </w:pPr>
      <w:r w:rsidRPr="00856137">
        <w:rPr>
          <w:rFonts w:hint="eastAsia"/>
          <w:b/>
        </w:rPr>
        <w:t>What does absen</w:t>
      </w:r>
      <w:r w:rsidRPr="00856137">
        <w:rPr>
          <w:b/>
        </w:rPr>
        <w:t xml:space="preserve">ce of this IE </w:t>
      </w:r>
      <w:r w:rsidRPr="00856137">
        <w:rPr>
          <w:rFonts w:hint="eastAsia"/>
          <w:b/>
        </w:rPr>
        <w:t>mean for the FBG 5</w:t>
      </w:r>
      <w:r w:rsidRPr="00856137">
        <w:rPr>
          <w:b/>
        </w:rPr>
        <w:t xml:space="preserve"> in R17</w:t>
      </w:r>
      <w:r w:rsidRPr="00856137">
        <w:rPr>
          <w:rFonts w:hint="eastAsia"/>
          <w:b/>
        </w:rPr>
        <w:t>? Does it mean 1600 M or no additional maximum bandwidth limitation? If absen</w:t>
      </w:r>
      <w:r w:rsidRPr="00856137">
        <w:rPr>
          <w:b/>
        </w:rPr>
        <w:t>ce</w:t>
      </w:r>
      <w:r w:rsidRPr="00856137">
        <w:rPr>
          <w:rFonts w:hint="eastAsia"/>
          <w:b/>
        </w:rPr>
        <w:t xml:space="preserve"> means no limitation, does it mean that for the bandwidth class R9~R12, it shall always report this new IE?</w:t>
      </w:r>
    </w:p>
    <w:p w:rsidR="00856137" w:rsidRPr="00856137" w:rsidRDefault="00856137" w:rsidP="00856137">
      <w:pPr>
        <w:numPr>
          <w:ilvl w:val="0"/>
          <w:numId w:val="13"/>
        </w:numPr>
        <w:rPr>
          <w:b/>
        </w:rPr>
      </w:pPr>
      <w:r w:rsidRPr="00856137">
        <w:rPr>
          <w:rFonts w:hint="eastAsia"/>
          <w:b/>
        </w:rPr>
        <w:t>What about the value range of the new IE, e.g. whether it can be larger than 1600 M?</w:t>
      </w:r>
    </w:p>
    <w:p w:rsidR="00856137" w:rsidRDefault="00856137" w:rsidP="00856137">
      <w:pPr>
        <w:pStyle w:val="af3"/>
        <w:shd w:val="clear" w:color="auto" w:fill="FFFFFF"/>
        <w:spacing w:before="0" w:beforeAutospacing="0" w:after="0" w:afterAutospacing="0"/>
        <w:jc w:val="both"/>
        <w:rPr>
          <w:rFonts w:eastAsia="微软雅黑"/>
          <w:b/>
          <w:bCs/>
          <w:color w:val="000000"/>
          <w:sz w:val="21"/>
          <w:szCs w:val="21"/>
          <w:lang w:val="en-US" w:eastAsia="zh-CN"/>
        </w:rPr>
      </w:pPr>
      <w:r w:rsidRPr="00856137">
        <w:rPr>
          <w:rFonts w:eastAsia="微软雅黑" w:hint="eastAsia"/>
          <w:b/>
          <w:bCs/>
          <w:color w:val="000000"/>
          <w:sz w:val="21"/>
          <w:szCs w:val="21"/>
          <w:lang w:val="en-US" w:eastAsia="zh-CN"/>
        </w:rPr>
        <w:lastRenderedPageBreak/>
        <w:t>Proposal 5: About the efficiency, RAN2 to indicate RAN4 that</w:t>
      </w:r>
      <w:r>
        <w:rPr>
          <w:rFonts w:eastAsia="微软雅黑" w:hint="eastAsia"/>
          <w:b/>
          <w:bCs/>
          <w:color w:val="000000"/>
          <w:sz w:val="21"/>
          <w:szCs w:val="21"/>
          <w:lang w:val="en-US" w:eastAsia="zh-CN"/>
        </w:rPr>
        <w:t xml:space="preserve"> the size of FeatureSetUplink(Downlink) list may be increased significantly especially when multiple maximum values were introduced.</w:t>
      </w:r>
    </w:p>
    <w:bookmarkEnd w:id="2"/>
    <w:p w:rsidR="004A0621" w:rsidRDefault="0090184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4A0621" w:rsidRDefault="0090184C">
      <w:pPr>
        <w:numPr>
          <w:ilvl w:val="0"/>
          <w:numId w:val="12"/>
        </w:numPr>
        <w:spacing w:beforeLines="50" w:before="156"/>
        <w:rPr>
          <w:lang w:val="en-GB"/>
        </w:rPr>
      </w:pPr>
      <w:r>
        <w:t>R</w:t>
      </w:r>
      <w:r>
        <w:t>4-2215160</w:t>
      </w:r>
      <w:r>
        <w:rPr>
          <w:rFonts w:hint="eastAsia"/>
        </w:rPr>
        <w:t xml:space="preserve"> </w:t>
      </w:r>
      <w:r>
        <w:t>LS on new contiguous BW classes for legacy networks</w:t>
      </w:r>
      <w:r>
        <w:rPr>
          <w:rFonts w:hint="eastAsia"/>
        </w:rPr>
        <w:t xml:space="preserve">  RAN4, To: RAN2</w:t>
      </w:r>
    </w:p>
    <w:sectPr w:rsidR="004A0621">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84C" w:rsidRDefault="0090184C">
      <w:pPr>
        <w:spacing w:line="240" w:lineRule="auto"/>
      </w:pPr>
      <w:r>
        <w:separator/>
      </w:r>
    </w:p>
  </w:endnote>
  <w:endnote w:type="continuationSeparator" w:id="0">
    <w:p w:rsidR="0090184C" w:rsidRDefault="00901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621" w:rsidRDefault="004A062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84C" w:rsidRDefault="0090184C">
      <w:pPr>
        <w:spacing w:after="0"/>
      </w:pPr>
      <w:r>
        <w:separator/>
      </w:r>
    </w:p>
  </w:footnote>
  <w:footnote w:type="continuationSeparator" w:id="0">
    <w:p w:rsidR="0090184C" w:rsidRDefault="009018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621" w:rsidRDefault="004A062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B1E896"/>
    <w:multiLevelType w:val="singleLevel"/>
    <w:tmpl w:val="89B1E896"/>
    <w:lvl w:ilvl="0">
      <w:start w:val="1"/>
      <w:numFmt w:val="bullet"/>
      <w:lvlText w:val=""/>
      <w:lvlJc w:val="left"/>
      <w:pPr>
        <w:ind w:left="630" w:hanging="420"/>
      </w:pPr>
      <w:rPr>
        <w:rFonts w:ascii="Wingdings" w:hAnsi="Wingdings" w:hint="default"/>
      </w:rPr>
    </w:lvl>
  </w:abstractNum>
  <w:abstractNum w:abstractNumId="1" w15:restartNumberingAfterBreak="0">
    <w:nsid w:val="D7D88176"/>
    <w:multiLevelType w:val="singleLevel"/>
    <w:tmpl w:val="D7D88176"/>
    <w:lvl w:ilvl="0">
      <w:start w:val="1"/>
      <w:numFmt w:val="decimal"/>
      <w:suff w:val="space"/>
      <w:lvlText w:val="(%1)"/>
      <w:lvlJc w:val="left"/>
    </w:lvl>
  </w:abstractNum>
  <w:abstractNum w:abstractNumId="2" w15:restartNumberingAfterBreak="0">
    <w:nsid w:val="DA5F1597"/>
    <w:multiLevelType w:val="singleLevel"/>
    <w:tmpl w:val="DA5F1597"/>
    <w:lvl w:ilvl="0">
      <w:start w:val="1"/>
      <w:numFmt w:val="lowerLetter"/>
      <w:lvlText w:val="%1."/>
      <w:lvlJc w:val="left"/>
      <w:pPr>
        <w:ind w:left="1055" w:hanging="425"/>
      </w:pPr>
      <w:rPr>
        <w:rFonts w:hint="default"/>
      </w:rPr>
    </w:lvl>
  </w:abstractNum>
  <w:abstractNum w:abstractNumId="3" w15:restartNumberingAfterBreak="0">
    <w:nsid w:val="E47C0266"/>
    <w:multiLevelType w:val="singleLevel"/>
    <w:tmpl w:val="E47C0266"/>
    <w:lvl w:ilvl="0">
      <w:start w:val="1"/>
      <w:numFmt w:val="bullet"/>
      <w:lvlText w:val=""/>
      <w:lvlJc w:val="left"/>
      <w:pPr>
        <w:ind w:left="420" w:hanging="420"/>
      </w:pPr>
      <w:rPr>
        <w:rFonts w:ascii="Wingdings" w:hAnsi="Wingdings" w:hint="default"/>
      </w:rPr>
    </w:lvl>
  </w:abstractNum>
  <w:abstractNum w:abstractNumId="4" w15:restartNumberingAfterBreak="0">
    <w:nsid w:val="F6A4B54B"/>
    <w:multiLevelType w:val="singleLevel"/>
    <w:tmpl w:val="F6A4B54B"/>
    <w:lvl w:ilvl="0">
      <w:start w:val="1"/>
      <w:numFmt w:val="decimal"/>
      <w:lvlText w:val="[%1]"/>
      <w:lvlJc w:val="left"/>
      <w:pPr>
        <w:tabs>
          <w:tab w:val="left" w:pos="312"/>
        </w:tabs>
      </w:p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122AAD"/>
    <w:multiLevelType w:val="singleLevel"/>
    <w:tmpl w:val="28122AAD"/>
    <w:lvl w:ilvl="0">
      <w:start w:val="1"/>
      <w:numFmt w:val="decimal"/>
      <w:suff w:val="space"/>
      <w:lvlText w:val="(%1)"/>
      <w:lvlJc w:val="left"/>
    </w:lvl>
  </w:abstractNum>
  <w:abstractNum w:abstractNumId="8" w15:restartNumberingAfterBreak="0">
    <w:nsid w:val="3AF75ED9"/>
    <w:multiLevelType w:val="hybridMultilevel"/>
    <w:tmpl w:val="FD680C9E"/>
    <w:lvl w:ilvl="0" w:tplc="E47C02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2EDEC1"/>
    <w:multiLevelType w:val="singleLevel"/>
    <w:tmpl w:val="472EDEC1"/>
    <w:lvl w:ilvl="0">
      <w:start w:val="1"/>
      <w:numFmt w:val="decimal"/>
      <w:lvlText w:val="%1)"/>
      <w:lvlJc w:val="left"/>
      <w:pPr>
        <w:ind w:left="425" w:hanging="425"/>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0152A97"/>
    <w:multiLevelType w:val="singleLevel"/>
    <w:tmpl w:val="60152A97"/>
    <w:lvl w:ilvl="0">
      <w:start w:val="1"/>
      <w:numFmt w:val="decimal"/>
      <w:suff w:val="nothing"/>
      <w:lvlText w:val="%1．"/>
      <w:lvlJc w:val="left"/>
      <w:pPr>
        <w:ind w:left="0" w:firstLine="400"/>
      </w:pPr>
      <w:rPr>
        <w:rFonts w:hint="default"/>
      </w:rPr>
    </w:lvl>
  </w:abstractNum>
  <w:num w:numId="1">
    <w:abstractNumId w:val="5"/>
  </w:num>
  <w:num w:numId="2">
    <w:abstractNumId w:val="11"/>
  </w:num>
  <w:num w:numId="3">
    <w:abstractNumId w:val="10"/>
  </w:num>
  <w:num w:numId="4">
    <w:abstractNumId w:val="6"/>
  </w:num>
  <w:num w:numId="5">
    <w:abstractNumId w:val="12"/>
  </w:num>
  <w:num w:numId="6">
    <w:abstractNumId w:val="9"/>
  </w:num>
  <w:num w:numId="7">
    <w:abstractNumId w:val="2"/>
  </w:num>
  <w:num w:numId="8">
    <w:abstractNumId w:val="7"/>
  </w:num>
  <w:num w:numId="9">
    <w:abstractNumId w:val="3"/>
  </w:num>
  <w:num w:numId="10">
    <w:abstractNumId w:val="1"/>
  </w:num>
  <w:num w:numId="11">
    <w:abstractNumId w:val="0"/>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0621"/>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137"/>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184C"/>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08782D"/>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4114A"/>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D43A9"/>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DFC399D"/>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B84303"/>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11623"/>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23117"/>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A51EBA"/>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71D10"/>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2B0FFC"/>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73852"/>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C91"/>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A22020"/>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449588-A429-430B-93DC-4BDA71E92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041E-277D-4E3F-8DA5-ADE673A7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1654</Words>
  <Characters>9431</Characters>
  <Application>Microsoft Office Word</Application>
  <DocSecurity>0</DocSecurity>
  <Lines>78</Lines>
  <Paragraphs>22</Paragraphs>
  <ScaleCrop>false</ScaleCrop>
  <Company>www.zte.com.cn</Company>
  <LinksUpToDate>false</LinksUpToDate>
  <CharactersWithSpaces>11063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2022-08-10T06:25:00Z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