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1D2" w:rsidRPr="00BA7054" w:rsidRDefault="0076612E">
      <w:pPr>
        <w:pStyle w:val="af3"/>
        <w:tabs>
          <w:tab w:val="right" w:pos="9645"/>
        </w:tabs>
        <w:spacing w:before="0" w:beforeAutospacing="0" w:after="0" w:afterAutospacing="0"/>
        <w:jc w:val="both"/>
        <w:rPr>
          <w:b/>
          <w:szCs w:val="22"/>
          <w:lang w:val="en-US" w:eastAsia="zh-CN"/>
        </w:rPr>
      </w:pPr>
      <w:r w:rsidRPr="00BA7054">
        <w:rPr>
          <w:rFonts w:eastAsia="宋体"/>
          <w:b/>
          <w:szCs w:val="22"/>
          <w:lang w:val="en-US" w:eastAsia="zh-CN" w:bidi="ar"/>
        </w:rPr>
        <w:t>3GPP TSG-RAN2 Meeting #11</w:t>
      </w:r>
      <w:r w:rsidRPr="00BA7054">
        <w:rPr>
          <w:rFonts w:eastAsia="宋体"/>
          <w:b/>
          <w:szCs w:val="22"/>
          <w:lang w:val="en-US" w:eastAsia="zh-CN" w:bidi="ar"/>
        </w:rPr>
        <w:t>9bis</w:t>
      </w:r>
      <w:r w:rsidRPr="00BA7054">
        <w:rPr>
          <w:rFonts w:eastAsia="宋体"/>
          <w:b/>
          <w:szCs w:val="22"/>
          <w:lang w:val="en-US" w:eastAsia="zh-CN" w:bidi="ar"/>
        </w:rPr>
        <w:t xml:space="preserve"> electronic</w:t>
      </w:r>
      <w:r w:rsidRPr="00BA7054">
        <w:rPr>
          <w:rFonts w:eastAsia="宋体"/>
          <w:b/>
          <w:szCs w:val="22"/>
          <w:lang w:val="en-US" w:eastAsia="zh-CN" w:bidi="ar"/>
        </w:rPr>
        <w:tab/>
        <w:t>R2-22</w:t>
      </w:r>
      <w:r w:rsidRPr="00BA7054">
        <w:rPr>
          <w:rFonts w:eastAsia="宋体"/>
          <w:b/>
          <w:szCs w:val="22"/>
          <w:lang w:val="en-US" w:eastAsia="zh-CN" w:bidi="ar"/>
        </w:rPr>
        <w:t>10660</w:t>
      </w:r>
    </w:p>
    <w:p w:rsidR="00DF01D2" w:rsidRPr="00BA7054" w:rsidRDefault="0076612E">
      <w:pPr>
        <w:pStyle w:val="af3"/>
        <w:tabs>
          <w:tab w:val="right" w:pos="9645"/>
        </w:tabs>
        <w:spacing w:before="0" w:beforeAutospacing="0" w:after="0" w:afterAutospacing="0"/>
        <w:jc w:val="both"/>
        <w:rPr>
          <w:b/>
          <w:szCs w:val="22"/>
          <w:lang w:val="en-US" w:eastAsia="zh-CN"/>
        </w:rPr>
      </w:pPr>
      <w:r w:rsidRPr="00BA7054">
        <w:rPr>
          <w:rFonts w:eastAsia="宋体"/>
          <w:b/>
          <w:szCs w:val="22"/>
          <w:lang w:val="de" w:eastAsia="zh-CN" w:bidi="ar"/>
        </w:rPr>
        <w:t>Online,</w:t>
      </w:r>
      <w:r w:rsidRPr="00BA7054">
        <w:rPr>
          <w:rFonts w:eastAsia="宋体"/>
          <w:b/>
          <w:szCs w:val="22"/>
          <w:lang w:val="en-US" w:eastAsia="zh-CN" w:bidi="ar"/>
        </w:rPr>
        <w:t xml:space="preserve"> </w:t>
      </w:r>
      <w:r w:rsidRPr="00BA7054">
        <w:rPr>
          <w:rFonts w:eastAsia="宋体"/>
          <w:b/>
          <w:szCs w:val="22"/>
          <w:lang w:val="en-US" w:eastAsia="zh-CN" w:bidi="ar"/>
        </w:rPr>
        <w:t>Oct</w:t>
      </w:r>
      <w:r w:rsidRPr="00BA7054">
        <w:rPr>
          <w:rFonts w:eastAsia="宋体"/>
          <w:b/>
          <w:szCs w:val="22"/>
          <w:lang w:val="en-US" w:eastAsia="zh-CN" w:bidi="ar"/>
        </w:rPr>
        <w:t xml:space="preserve"> </w:t>
      </w:r>
      <w:r w:rsidRPr="00BA7054">
        <w:rPr>
          <w:rFonts w:eastAsia="宋体"/>
          <w:b/>
          <w:szCs w:val="22"/>
          <w:lang w:val="en-US" w:eastAsia="zh-CN" w:bidi="ar"/>
        </w:rPr>
        <w:t>10</w:t>
      </w:r>
      <w:r w:rsidRPr="00BA7054">
        <w:rPr>
          <w:rFonts w:eastAsia="宋体"/>
          <w:b/>
          <w:szCs w:val="22"/>
          <w:lang w:val="de" w:eastAsia="zh-CN" w:bidi="ar"/>
        </w:rPr>
        <w:t xml:space="preserve">th – </w:t>
      </w:r>
      <w:r w:rsidRPr="00BA7054">
        <w:rPr>
          <w:rFonts w:eastAsia="宋体"/>
          <w:b/>
          <w:szCs w:val="22"/>
          <w:lang w:val="en-US" w:eastAsia="zh-CN" w:bidi="ar"/>
        </w:rPr>
        <w:t>19</w:t>
      </w:r>
      <w:r w:rsidRPr="00BA7054">
        <w:rPr>
          <w:rFonts w:eastAsia="宋体"/>
          <w:b/>
          <w:szCs w:val="22"/>
          <w:lang w:val="en-US" w:eastAsia="zh-CN" w:bidi="ar"/>
        </w:rPr>
        <w:t>th</w:t>
      </w:r>
      <w:r w:rsidRPr="00BA7054">
        <w:rPr>
          <w:rFonts w:eastAsia="宋体"/>
          <w:b/>
          <w:szCs w:val="22"/>
          <w:lang w:val="de" w:eastAsia="zh-CN" w:bidi="ar"/>
        </w:rPr>
        <w:t>, 202</w:t>
      </w:r>
      <w:r w:rsidRPr="00BA7054">
        <w:rPr>
          <w:rFonts w:eastAsia="宋体"/>
          <w:b/>
          <w:szCs w:val="22"/>
          <w:lang w:val="en-US" w:eastAsia="zh-CN" w:bidi="ar"/>
        </w:rPr>
        <w:t>2</w:t>
      </w:r>
    </w:p>
    <w:p w:rsidR="00DF01D2" w:rsidRPr="00BA7054" w:rsidRDefault="00DF01D2">
      <w:pPr>
        <w:overflowPunct w:val="0"/>
        <w:autoSpaceDE w:val="0"/>
        <w:autoSpaceDN w:val="0"/>
        <w:adjustRightInd w:val="0"/>
        <w:snapToGrid w:val="0"/>
        <w:spacing w:beforeLines="50" w:before="156" w:line="240" w:lineRule="auto"/>
        <w:textAlignment w:val="baseline"/>
        <w:rPr>
          <w:b/>
          <w:bCs/>
          <w:kern w:val="0"/>
          <w:sz w:val="24"/>
        </w:rPr>
      </w:pPr>
    </w:p>
    <w:p w:rsidR="00DF01D2" w:rsidRPr="00BA7054" w:rsidRDefault="0076612E">
      <w:pPr>
        <w:overflowPunct w:val="0"/>
        <w:autoSpaceDE w:val="0"/>
        <w:autoSpaceDN w:val="0"/>
        <w:adjustRightInd w:val="0"/>
        <w:snapToGrid w:val="0"/>
        <w:spacing w:beforeLines="50" w:before="156" w:line="240" w:lineRule="auto"/>
        <w:textAlignment w:val="baseline"/>
        <w:rPr>
          <w:b/>
          <w:bCs/>
          <w:snapToGrid w:val="0"/>
          <w:kern w:val="0"/>
          <w:sz w:val="24"/>
        </w:rPr>
      </w:pPr>
      <w:r w:rsidRPr="00BA7054">
        <w:rPr>
          <w:b/>
          <w:bCs/>
          <w:snapToGrid w:val="0"/>
          <w:kern w:val="0"/>
          <w:sz w:val="24"/>
        </w:rPr>
        <w:t xml:space="preserve">Source: </w:t>
      </w:r>
      <w:r w:rsidRPr="00BA7054">
        <w:rPr>
          <w:b/>
          <w:bCs/>
          <w:snapToGrid w:val="0"/>
          <w:kern w:val="0"/>
          <w:sz w:val="24"/>
        </w:rPr>
        <w:tab/>
      </w:r>
      <w:r w:rsidRPr="00BA7054">
        <w:rPr>
          <w:b/>
          <w:bCs/>
          <w:snapToGrid w:val="0"/>
          <w:kern w:val="0"/>
          <w:sz w:val="24"/>
        </w:rPr>
        <w:tab/>
      </w:r>
      <w:r w:rsidRPr="00BA7054">
        <w:rPr>
          <w:b/>
          <w:bCs/>
          <w:snapToGrid w:val="0"/>
          <w:kern w:val="0"/>
          <w:sz w:val="24"/>
        </w:rPr>
        <w:tab/>
        <w:t>ZTE Corporation</w:t>
      </w:r>
      <w:r w:rsidRPr="00BA7054">
        <w:rPr>
          <w:b/>
          <w:bCs/>
          <w:snapToGrid w:val="0"/>
          <w:kern w:val="0"/>
          <w:sz w:val="24"/>
        </w:rPr>
        <w:t>, Sanechips</w:t>
      </w:r>
    </w:p>
    <w:p w:rsidR="00DF01D2" w:rsidRPr="00BA7054" w:rsidRDefault="0076612E">
      <w:pPr>
        <w:overflowPunct w:val="0"/>
        <w:autoSpaceDE w:val="0"/>
        <w:autoSpaceDN w:val="0"/>
        <w:adjustRightInd w:val="0"/>
        <w:snapToGrid w:val="0"/>
        <w:spacing w:beforeLines="50" w:before="156" w:line="240" w:lineRule="auto"/>
        <w:ind w:left="2100" w:hanging="2100"/>
        <w:textAlignment w:val="baseline"/>
        <w:rPr>
          <w:b/>
          <w:bCs/>
          <w:snapToGrid w:val="0"/>
          <w:kern w:val="0"/>
          <w:sz w:val="24"/>
        </w:rPr>
      </w:pPr>
      <w:r w:rsidRPr="00BA7054">
        <w:rPr>
          <w:b/>
          <w:bCs/>
          <w:snapToGrid w:val="0"/>
          <w:kern w:val="0"/>
          <w:sz w:val="24"/>
        </w:rPr>
        <w:t xml:space="preserve">Title: </w:t>
      </w:r>
      <w:r w:rsidRPr="00BA7054">
        <w:rPr>
          <w:b/>
          <w:bCs/>
          <w:snapToGrid w:val="0"/>
          <w:kern w:val="0"/>
          <w:sz w:val="24"/>
        </w:rPr>
        <w:tab/>
      </w:r>
      <w:r w:rsidRPr="00BA7054">
        <w:rPr>
          <w:b/>
          <w:bCs/>
          <w:snapToGrid w:val="0"/>
          <w:kern w:val="0"/>
          <w:sz w:val="24"/>
        </w:rPr>
        <w:t>Clarification</w:t>
      </w:r>
      <w:r w:rsidRPr="00BA7054">
        <w:rPr>
          <w:b/>
          <w:bCs/>
          <w:snapToGrid w:val="0"/>
          <w:kern w:val="0"/>
          <w:sz w:val="24"/>
        </w:rPr>
        <w:t xml:space="preserve"> on the ue-PowerClassPerBandPerBC-r17</w:t>
      </w:r>
    </w:p>
    <w:p w:rsidR="00DF01D2" w:rsidRPr="00BA7054" w:rsidRDefault="0076612E">
      <w:pPr>
        <w:overflowPunct w:val="0"/>
        <w:autoSpaceDE w:val="0"/>
        <w:autoSpaceDN w:val="0"/>
        <w:adjustRightInd w:val="0"/>
        <w:snapToGrid w:val="0"/>
        <w:spacing w:beforeLines="50" w:before="156" w:line="240" w:lineRule="auto"/>
        <w:ind w:left="2100" w:hanging="2100"/>
        <w:textAlignment w:val="baseline"/>
        <w:rPr>
          <w:b/>
          <w:bCs/>
          <w:snapToGrid w:val="0"/>
          <w:kern w:val="0"/>
          <w:sz w:val="24"/>
        </w:rPr>
      </w:pPr>
      <w:r w:rsidRPr="00BA7054">
        <w:rPr>
          <w:b/>
          <w:bCs/>
          <w:snapToGrid w:val="0"/>
          <w:kern w:val="0"/>
          <w:sz w:val="24"/>
        </w:rPr>
        <w:t>Agenda item:</w:t>
      </w:r>
      <w:r w:rsidRPr="00BA7054">
        <w:rPr>
          <w:b/>
          <w:bCs/>
          <w:snapToGrid w:val="0"/>
          <w:kern w:val="0"/>
          <w:sz w:val="24"/>
        </w:rPr>
        <w:tab/>
      </w:r>
      <w:bookmarkStart w:id="0" w:name="Source"/>
      <w:bookmarkEnd w:id="0"/>
      <w:r w:rsidRPr="00BA7054">
        <w:rPr>
          <w:b/>
          <w:bCs/>
          <w:snapToGrid w:val="0"/>
          <w:kern w:val="0"/>
          <w:sz w:val="24"/>
        </w:rPr>
        <w:t>6.0</w:t>
      </w:r>
      <w:r w:rsidRPr="00BA7054">
        <w:rPr>
          <w:b/>
          <w:bCs/>
          <w:snapToGrid w:val="0"/>
          <w:kern w:val="0"/>
          <w:sz w:val="24"/>
        </w:rPr>
        <w:t>.</w:t>
      </w:r>
      <w:r w:rsidRPr="00BA7054">
        <w:rPr>
          <w:b/>
          <w:bCs/>
          <w:snapToGrid w:val="0"/>
          <w:kern w:val="0"/>
          <w:sz w:val="24"/>
        </w:rPr>
        <w:t>2</w:t>
      </w:r>
      <w:r w:rsidRPr="00BA7054">
        <w:rPr>
          <w:b/>
          <w:bCs/>
          <w:snapToGrid w:val="0"/>
          <w:kern w:val="0"/>
          <w:sz w:val="24"/>
        </w:rPr>
        <w:tab/>
      </w:r>
    </w:p>
    <w:p w:rsidR="00DF01D2" w:rsidRPr="00BA7054" w:rsidRDefault="0076612E">
      <w:pPr>
        <w:overflowPunct w:val="0"/>
        <w:autoSpaceDE w:val="0"/>
        <w:autoSpaceDN w:val="0"/>
        <w:adjustRightInd w:val="0"/>
        <w:snapToGrid w:val="0"/>
        <w:spacing w:beforeLines="50" w:before="156" w:line="240" w:lineRule="auto"/>
        <w:textAlignment w:val="baseline"/>
        <w:rPr>
          <w:b/>
          <w:bCs/>
          <w:snapToGrid w:val="0"/>
          <w:kern w:val="0"/>
          <w:sz w:val="24"/>
        </w:rPr>
      </w:pPr>
      <w:r w:rsidRPr="00BA7054">
        <w:rPr>
          <w:b/>
          <w:bCs/>
          <w:snapToGrid w:val="0"/>
          <w:kern w:val="0"/>
          <w:sz w:val="24"/>
        </w:rPr>
        <w:t>Document for:</w:t>
      </w:r>
      <w:bookmarkStart w:id="1" w:name="DocumentFor"/>
      <w:bookmarkEnd w:id="1"/>
      <w:r w:rsidRPr="00BA7054">
        <w:rPr>
          <w:b/>
          <w:bCs/>
          <w:snapToGrid w:val="0"/>
          <w:kern w:val="0"/>
          <w:sz w:val="24"/>
        </w:rPr>
        <w:t xml:space="preserve"> </w:t>
      </w:r>
      <w:r w:rsidRPr="00BA7054">
        <w:rPr>
          <w:b/>
          <w:bCs/>
          <w:snapToGrid w:val="0"/>
          <w:kern w:val="0"/>
          <w:sz w:val="24"/>
        </w:rPr>
        <w:tab/>
        <w:t>Discussion</w:t>
      </w:r>
      <w:r w:rsidRPr="00BA7054">
        <w:rPr>
          <w:b/>
          <w:bCs/>
          <w:snapToGrid w:val="0"/>
          <w:kern w:val="0"/>
          <w:sz w:val="24"/>
        </w:rPr>
        <w:t xml:space="preserve"> and Decision</w:t>
      </w:r>
    </w:p>
    <w:p w:rsidR="00DF01D2" w:rsidRPr="00BA7054" w:rsidRDefault="0076612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b w:val="0"/>
          <w:bCs w:val="0"/>
          <w:kern w:val="0"/>
          <w:sz w:val="32"/>
          <w:szCs w:val="36"/>
        </w:rPr>
      </w:pPr>
      <w:r w:rsidRPr="00BA7054">
        <w:rPr>
          <w:b w:val="0"/>
          <w:bCs w:val="0"/>
          <w:kern w:val="0"/>
          <w:sz w:val="32"/>
          <w:szCs w:val="36"/>
        </w:rPr>
        <w:t>Introduction</w:t>
      </w:r>
    </w:p>
    <w:p w:rsidR="00DF01D2" w:rsidRPr="00BA7054" w:rsidRDefault="0076612E">
      <w:pPr>
        <w:pStyle w:val="af3"/>
        <w:shd w:val="clear" w:color="auto" w:fill="FFFFFF"/>
        <w:spacing w:before="0" w:beforeAutospacing="0" w:after="0" w:afterAutospacing="0" w:line="240" w:lineRule="auto"/>
        <w:rPr>
          <w:rFonts w:eastAsia="微软雅黑"/>
          <w:color w:val="000000"/>
          <w:sz w:val="21"/>
          <w:szCs w:val="21"/>
          <w:shd w:val="clear" w:color="auto" w:fill="FFFFFF"/>
          <w:lang w:val="en-US" w:eastAsia="zh-CN"/>
        </w:rPr>
      </w:pPr>
      <w:r w:rsidRPr="00BA7054">
        <w:rPr>
          <w:rFonts w:eastAsia="微软雅黑"/>
          <w:color w:val="000000"/>
          <w:sz w:val="21"/>
          <w:szCs w:val="21"/>
          <w:shd w:val="clear" w:color="auto" w:fill="FFFFFF"/>
          <w:lang w:val="en-US" w:eastAsia="zh-CN"/>
        </w:rPr>
        <w:t>According to the latest RAN4 feature list</w:t>
      </w:r>
      <w:r w:rsidR="00BA7054" w:rsidRPr="00BA7054">
        <w:rPr>
          <w:rFonts w:eastAsia="微软雅黑"/>
          <w:color w:val="000000"/>
          <w:sz w:val="21"/>
          <w:szCs w:val="21"/>
          <w:shd w:val="clear" w:color="auto" w:fill="FFFFFF"/>
          <w:lang w:val="en-US" w:eastAsia="zh-CN"/>
        </w:rPr>
        <w:t xml:space="preserve"> </w:t>
      </w:r>
      <w:r w:rsidRPr="00BA7054">
        <w:rPr>
          <w:rFonts w:eastAsia="微软雅黑"/>
          <w:color w:val="000000"/>
          <w:sz w:val="21"/>
          <w:szCs w:val="21"/>
          <w:shd w:val="clear" w:color="auto" w:fill="FFFFFF"/>
          <w:lang w:val="en-US" w:eastAsia="zh-CN"/>
        </w:rPr>
        <w:t>[1], a per band per band combination power class was introduced for the FR1 as below:</w:t>
      </w:r>
    </w:p>
    <w:tbl>
      <w:tblPr>
        <w:tblW w:w="10354" w:type="dxa"/>
        <w:tblCellSpacing w:w="0" w:type="dxa"/>
        <w:shd w:val="clear" w:color="auto" w:fill="FFFFFF"/>
        <w:tblLayout w:type="fixed"/>
        <w:tblCellMar>
          <w:left w:w="0" w:type="dxa"/>
          <w:right w:w="0" w:type="dxa"/>
        </w:tblCellMar>
        <w:tblLook w:val="04A0" w:firstRow="1" w:lastRow="0" w:firstColumn="1" w:lastColumn="0" w:noHBand="0" w:noVBand="1"/>
      </w:tblPr>
      <w:tblGrid>
        <w:gridCol w:w="610"/>
        <w:gridCol w:w="1797"/>
        <w:gridCol w:w="2011"/>
        <w:gridCol w:w="724"/>
        <w:gridCol w:w="4232"/>
        <w:gridCol w:w="980"/>
      </w:tblGrid>
      <w:tr w:rsidR="00DF01D2" w:rsidRPr="00BA7054">
        <w:trPr>
          <w:trHeight w:val="90"/>
          <w:tblCellSpacing w:w="0" w:type="dxa"/>
        </w:trPr>
        <w:tc>
          <w:tcPr>
            <w:tcW w:w="610" w:type="dxa"/>
            <w:tcBorders>
              <w:top w:val="single" w:sz="6" w:space="0" w:color="auto"/>
              <w:left w:val="nil"/>
              <w:bottom w:val="single" w:sz="6" w:space="0" w:color="auto"/>
              <w:right w:val="single" w:sz="6" w:space="0" w:color="auto"/>
            </w:tcBorders>
            <w:shd w:val="clear" w:color="auto" w:fill="FFFFFF"/>
            <w:tcMar>
              <w:left w:w="105" w:type="dxa"/>
              <w:right w:w="105" w:type="dxa"/>
            </w:tcMar>
          </w:tcPr>
          <w:p w:rsidR="00DF01D2" w:rsidRPr="00BA7054" w:rsidRDefault="0076612E">
            <w:pPr>
              <w:pStyle w:val="af3"/>
              <w:spacing w:before="0" w:beforeAutospacing="0" w:after="0" w:afterAutospacing="0"/>
            </w:pPr>
            <w:r w:rsidRPr="00BA7054">
              <w:rPr>
                <w:color w:val="000000"/>
                <w:sz w:val="21"/>
                <w:szCs w:val="21"/>
              </w:rPr>
              <w:t>16-8</w:t>
            </w:r>
          </w:p>
        </w:tc>
        <w:tc>
          <w:tcPr>
            <w:tcW w:w="1797" w:type="dxa"/>
            <w:tcBorders>
              <w:top w:val="single" w:sz="6" w:space="0" w:color="auto"/>
              <w:left w:val="nil"/>
              <w:bottom w:val="single" w:sz="6" w:space="0" w:color="auto"/>
              <w:right w:val="single" w:sz="6" w:space="0" w:color="auto"/>
            </w:tcBorders>
            <w:shd w:val="clear" w:color="auto" w:fill="FFFFFF"/>
            <w:tcMar>
              <w:left w:w="105" w:type="dxa"/>
              <w:right w:w="105" w:type="dxa"/>
            </w:tcMar>
          </w:tcPr>
          <w:p w:rsidR="00DF01D2" w:rsidRPr="00BA7054" w:rsidRDefault="0076612E">
            <w:pPr>
              <w:pStyle w:val="af3"/>
              <w:spacing w:before="0" w:beforeAutospacing="0" w:after="0" w:afterAutospacing="0"/>
            </w:pPr>
            <w:r w:rsidRPr="00BA7054">
              <w:rPr>
                <w:color w:val="000000"/>
                <w:sz w:val="21"/>
                <w:szCs w:val="21"/>
              </w:rPr>
              <w:t>UE power class per band per band combination</w:t>
            </w:r>
          </w:p>
        </w:tc>
        <w:tc>
          <w:tcPr>
            <w:tcW w:w="2011" w:type="dxa"/>
            <w:tcBorders>
              <w:top w:val="single" w:sz="6" w:space="0" w:color="auto"/>
              <w:left w:val="nil"/>
              <w:bottom w:val="single" w:sz="6" w:space="0" w:color="auto"/>
              <w:right w:val="single" w:sz="6" w:space="0" w:color="auto"/>
            </w:tcBorders>
            <w:shd w:val="clear" w:color="auto" w:fill="FFFFFF"/>
            <w:tcMar>
              <w:left w:w="105" w:type="dxa"/>
              <w:right w:w="105" w:type="dxa"/>
            </w:tcMar>
          </w:tcPr>
          <w:p w:rsidR="00DF01D2" w:rsidRPr="00BA7054" w:rsidRDefault="0076612E">
            <w:pPr>
              <w:pStyle w:val="af3"/>
              <w:spacing w:before="0" w:beforeAutospacing="0" w:after="0" w:afterAutospacing="0"/>
              <w:jc w:val="both"/>
            </w:pPr>
            <w:r w:rsidRPr="00BA7054">
              <w:rPr>
                <w:color w:val="000000"/>
                <w:sz w:val="21"/>
                <w:szCs w:val="21"/>
              </w:rPr>
              <w:t>Per band per band combination power class</w:t>
            </w:r>
          </w:p>
        </w:tc>
        <w:tc>
          <w:tcPr>
            <w:tcW w:w="724" w:type="dxa"/>
            <w:tcBorders>
              <w:top w:val="single" w:sz="6" w:space="0" w:color="auto"/>
              <w:left w:val="nil"/>
              <w:bottom w:val="single" w:sz="6" w:space="0" w:color="auto"/>
              <w:right w:val="single" w:sz="6" w:space="0" w:color="auto"/>
            </w:tcBorders>
            <w:shd w:val="clear" w:color="auto" w:fill="FFFFFF"/>
            <w:tcMar>
              <w:left w:w="105" w:type="dxa"/>
              <w:right w:w="105" w:type="dxa"/>
            </w:tcMar>
          </w:tcPr>
          <w:p w:rsidR="00DF01D2" w:rsidRPr="00BA7054" w:rsidRDefault="0076612E">
            <w:pPr>
              <w:pStyle w:val="af3"/>
              <w:spacing w:before="0" w:beforeAutospacing="0" w:after="0" w:afterAutospacing="0"/>
            </w:pPr>
            <w:r w:rsidRPr="00BA7054">
              <w:rPr>
                <w:color w:val="000000"/>
                <w:sz w:val="21"/>
                <w:szCs w:val="21"/>
              </w:rPr>
              <w:t>FR1 only</w:t>
            </w:r>
          </w:p>
        </w:tc>
        <w:tc>
          <w:tcPr>
            <w:tcW w:w="4232" w:type="dxa"/>
            <w:tcBorders>
              <w:top w:val="single" w:sz="6" w:space="0" w:color="auto"/>
              <w:left w:val="nil"/>
              <w:bottom w:val="single" w:sz="6" w:space="0" w:color="auto"/>
              <w:right w:val="single" w:sz="6" w:space="0" w:color="auto"/>
            </w:tcBorders>
            <w:shd w:val="clear" w:color="auto" w:fill="FFFFFF"/>
            <w:tcMar>
              <w:left w:w="105" w:type="dxa"/>
              <w:right w:w="105" w:type="dxa"/>
            </w:tcMar>
          </w:tcPr>
          <w:p w:rsidR="00DF01D2" w:rsidRPr="00BA7054" w:rsidRDefault="0076612E">
            <w:pPr>
              <w:pStyle w:val="af3"/>
              <w:spacing w:before="0" w:beforeAutospacing="0" w:after="0" w:afterAutospacing="0"/>
            </w:pPr>
            <w:r w:rsidRPr="00BA7054">
              <w:rPr>
                <w:strike/>
                <w:color w:val="000000"/>
                <w:sz w:val="21"/>
                <w:szCs w:val="21"/>
              </w:rPr>
              <w:t>[It is not applicable to the</w:t>
            </w:r>
            <w:r w:rsidRPr="00BA7054">
              <w:rPr>
                <w:strike/>
                <w:color w:val="000000"/>
                <w:sz w:val="21"/>
                <w:szCs w:val="21"/>
              </w:rPr>
              <w:t xml:space="preserve"> case when UL-MIMO and intra-band UL CA are in operation at the same time.]</w:t>
            </w:r>
          </w:p>
          <w:p w:rsidR="00DF01D2" w:rsidRPr="00BA7054" w:rsidRDefault="0076612E">
            <w:pPr>
              <w:pStyle w:val="af3"/>
              <w:spacing w:before="0" w:beforeAutospacing="0" w:after="0" w:afterAutospacing="0"/>
            </w:pPr>
            <w:r w:rsidRPr="00BA7054">
              <w:rPr>
                <w:strike/>
                <w:color w:val="000000"/>
                <w:sz w:val="18"/>
                <w:szCs w:val="18"/>
              </w:rPr>
              <w:t> </w:t>
            </w:r>
          </w:p>
          <w:p w:rsidR="00DF01D2" w:rsidRPr="00BA7054" w:rsidRDefault="0076612E">
            <w:pPr>
              <w:pStyle w:val="af3"/>
              <w:spacing w:before="0" w:beforeAutospacing="0" w:after="0" w:afterAutospacing="0"/>
            </w:pPr>
            <w:r w:rsidRPr="00BA7054">
              <w:rPr>
                <w:strike/>
                <w:color w:val="000000"/>
                <w:sz w:val="21"/>
                <w:szCs w:val="21"/>
              </w:rPr>
              <w:t>[It is applicable to uplink inter-band CA.]</w:t>
            </w:r>
          </w:p>
        </w:tc>
        <w:tc>
          <w:tcPr>
            <w:tcW w:w="980" w:type="dxa"/>
            <w:tcBorders>
              <w:top w:val="single" w:sz="6" w:space="0" w:color="auto"/>
              <w:left w:val="nil"/>
              <w:bottom w:val="single" w:sz="6" w:space="0" w:color="auto"/>
              <w:right w:val="single" w:sz="6" w:space="0" w:color="auto"/>
            </w:tcBorders>
            <w:shd w:val="clear" w:color="auto" w:fill="FFFFFF"/>
            <w:tcMar>
              <w:left w:w="105" w:type="dxa"/>
              <w:right w:w="105" w:type="dxa"/>
            </w:tcMar>
          </w:tcPr>
          <w:p w:rsidR="00DF01D2" w:rsidRPr="00BA7054" w:rsidRDefault="0076612E">
            <w:pPr>
              <w:pStyle w:val="af3"/>
              <w:spacing w:before="0" w:beforeAutospacing="0" w:after="0" w:afterAutospacing="0"/>
            </w:pPr>
            <w:r w:rsidRPr="00BA7054">
              <w:rPr>
                <w:color w:val="000000"/>
                <w:sz w:val="21"/>
                <w:szCs w:val="21"/>
              </w:rPr>
              <w:t>Optional with capability signalling</w:t>
            </w:r>
          </w:p>
        </w:tc>
      </w:tr>
    </w:tbl>
    <w:p w:rsidR="00DF01D2" w:rsidRPr="00BA7054" w:rsidRDefault="00DF01D2">
      <w:pPr>
        <w:pStyle w:val="af3"/>
        <w:shd w:val="clear" w:color="auto" w:fill="FFFFFF"/>
        <w:spacing w:before="0" w:beforeAutospacing="0" w:after="0" w:afterAutospacing="0"/>
        <w:rPr>
          <w:rFonts w:eastAsia="微软雅黑"/>
          <w:color w:val="00B050"/>
          <w:sz w:val="21"/>
          <w:szCs w:val="21"/>
          <w:shd w:val="clear" w:color="auto" w:fill="FFFFFF"/>
        </w:rPr>
      </w:pPr>
    </w:p>
    <w:p w:rsidR="00DF01D2" w:rsidRPr="00BA7054" w:rsidRDefault="0076612E">
      <w:pPr>
        <w:pStyle w:val="af3"/>
        <w:shd w:val="clear" w:color="auto" w:fill="FFFFFF"/>
        <w:spacing w:before="0" w:beforeAutospacing="0" w:after="0" w:afterAutospacing="0" w:line="240" w:lineRule="auto"/>
        <w:rPr>
          <w:rFonts w:eastAsia="微软雅黑"/>
          <w:color w:val="000000"/>
          <w:sz w:val="21"/>
          <w:szCs w:val="21"/>
          <w:shd w:val="clear" w:color="auto" w:fill="FFFFFF"/>
          <w:lang w:val="en-US" w:eastAsia="zh-CN"/>
        </w:rPr>
      </w:pPr>
      <w:r w:rsidRPr="00BA7054">
        <w:rPr>
          <w:rFonts w:eastAsia="微软雅黑"/>
          <w:color w:val="000000"/>
          <w:sz w:val="21"/>
          <w:szCs w:val="21"/>
          <w:shd w:val="clear" w:color="auto" w:fill="FFFFFF"/>
          <w:lang w:val="en-US" w:eastAsia="zh-CN"/>
        </w:rPr>
        <w:t>38331</w:t>
      </w:r>
    </w:p>
    <w:p w:rsidR="00DF01D2" w:rsidRPr="00BA7054" w:rsidRDefault="0076612E">
      <w:pPr>
        <w:pStyle w:val="af3"/>
        <w:shd w:val="clear" w:color="auto" w:fill="E6E6E6"/>
        <w:spacing w:before="0" w:beforeAutospacing="0" w:after="0" w:afterAutospacing="0"/>
        <w:textAlignment w:val="baseline"/>
        <w:rPr>
          <w:color w:val="000000"/>
          <w:sz w:val="21"/>
          <w:szCs w:val="21"/>
        </w:rPr>
      </w:pPr>
      <w:r w:rsidRPr="00BA7054">
        <w:rPr>
          <w:color w:val="000000"/>
          <w:sz w:val="16"/>
          <w:szCs w:val="16"/>
          <w:shd w:val="clear" w:color="auto" w:fill="E6E6E6"/>
        </w:rPr>
        <w:t>    </w:t>
      </w:r>
      <w:r w:rsidRPr="00BA7054">
        <w:rPr>
          <w:color w:val="808080"/>
          <w:sz w:val="21"/>
          <w:szCs w:val="21"/>
          <w:shd w:val="clear" w:color="auto" w:fill="E6E6E6"/>
        </w:rPr>
        <w:t>-- R4 16-8 UE power class per band per band combination</w:t>
      </w:r>
    </w:p>
    <w:p w:rsidR="00DF01D2" w:rsidRPr="00BA7054" w:rsidRDefault="0076612E">
      <w:pPr>
        <w:pStyle w:val="af3"/>
        <w:shd w:val="clear" w:color="auto" w:fill="E6E6E6"/>
        <w:spacing w:before="0" w:beforeAutospacing="0" w:after="0" w:afterAutospacing="0"/>
        <w:textAlignment w:val="baseline"/>
        <w:rPr>
          <w:color w:val="000000"/>
          <w:sz w:val="21"/>
          <w:szCs w:val="21"/>
        </w:rPr>
      </w:pPr>
      <w:r w:rsidRPr="00BA7054">
        <w:rPr>
          <w:color w:val="000000"/>
          <w:sz w:val="21"/>
          <w:szCs w:val="21"/>
          <w:shd w:val="clear" w:color="auto" w:fill="E6E6E6"/>
        </w:rPr>
        <w:t>    ue-PowerClassPerBandPerBC-r17          </w:t>
      </w:r>
      <w:r w:rsidRPr="00BA7054">
        <w:rPr>
          <w:color w:val="993366"/>
          <w:sz w:val="21"/>
          <w:szCs w:val="21"/>
          <w:shd w:val="clear" w:color="auto" w:fill="E6E6E6"/>
        </w:rPr>
        <w:t>ENUMERATED</w:t>
      </w:r>
      <w:r w:rsidRPr="00BA7054">
        <w:rPr>
          <w:color w:val="000000"/>
          <w:sz w:val="21"/>
          <w:szCs w:val="21"/>
          <w:shd w:val="clear" w:color="auto" w:fill="E6E6E6"/>
        </w:rPr>
        <w:t> {pc1dot5, pc2, pc3}                     </w:t>
      </w:r>
      <w:r w:rsidRPr="00BA7054">
        <w:rPr>
          <w:color w:val="993366"/>
          <w:sz w:val="21"/>
          <w:szCs w:val="21"/>
          <w:shd w:val="clear" w:color="auto" w:fill="E6E6E6"/>
        </w:rPr>
        <w:t>OPTIONAL</w:t>
      </w:r>
      <w:r w:rsidRPr="00BA7054">
        <w:rPr>
          <w:color w:val="000000"/>
          <w:sz w:val="21"/>
          <w:szCs w:val="21"/>
          <w:shd w:val="clear" w:color="auto" w:fill="E6E6E6"/>
        </w:rPr>
        <w:t>,</w:t>
      </w:r>
    </w:p>
    <w:p w:rsidR="00DF01D2" w:rsidRPr="00BA7054" w:rsidRDefault="00DF01D2">
      <w:pPr>
        <w:pStyle w:val="af3"/>
        <w:shd w:val="clear" w:color="auto" w:fill="FFFFFF"/>
        <w:spacing w:before="0" w:beforeAutospacing="0" w:after="0" w:afterAutospacing="0"/>
        <w:rPr>
          <w:rFonts w:eastAsia="宋体"/>
          <w:color w:val="00B050"/>
          <w:sz w:val="21"/>
          <w:szCs w:val="21"/>
          <w:shd w:val="clear" w:color="auto" w:fill="FFFFFF"/>
          <w:lang w:val="en-US" w:eastAsia="zh-CN"/>
        </w:rPr>
      </w:pPr>
    </w:p>
    <w:p w:rsidR="00DF01D2" w:rsidRPr="00BA7054" w:rsidRDefault="0076612E">
      <w:pPr>
        <w:pStyle w:val="af3"/>
        <w:shd w:val="clear" w:color="auto" w:fill="FFFFFF"/>
        <w:spacing w:before="0" w:beforeAutospacing="0" w:after="0" w:afterAutospacing="0" w:line="240" w:lineRule="auto"/>
        <w:rPr>
          <w:rFonts w:eastAsia="微软雅黑"/>
          <w:color w:val="000000"/>
          <w:sz w:val="21"/>
          <w:szCs w:val="21"/>
          <w:shd w:val="clear" w:color="auto" w:fill="FFFFFF"/>
          <w:lang w:val="en-US" w:eastAsia="zh-CN"/>
        </w:rPr>
      </w:pPr>
      <w:r w:rsidRPr="00BA7054">
        <w:rPr>
          <w:rFonts w:eastAsia="微软雅黑"/>
          <w:color w:val="000000"/>
          <w:sz w:val="21"/>
          <w:szCs w:val="21"/>
          <w:shd w:val="clear" w:color="auto" w:fill="FFFFFF"/>
          <w:lang w:val="en-US" w:eastAsia="zh-CN"/>
        </w:rPr>
        <w:t>38306</w:t>
      </w:r>
    </w:p>
    <w:tbl>
      <w:tblPr>
        <w:tblW w:w="9630" w:type="dxa"/>
        <w:tblCellSpacing w:w="0" w:type="dxa"/>
        <w:tblInd w:w="15" w:type="dxa"/>
        <w:shd w:val="clear" w:color="auto" w:fill="FFFFFF"/>
        <w:tblCellMar>
          <w:left w:w="0" w:type="dxa"/>
          <w:right w:w="0" w:type="dxa"/>
        </w:tblCellMar>
        <w:tblLook w:val="04A0" w:firstRow="1" w:lastRow="0" w:firstColumn="1" w:lastColumn="0" w:noHBand="0" w:noVBand="1"/>
      </w:tblPr>
      <w:tblGrid>
        <w:gridCol w:w="6915"/>
        <w:gridCol w:w="705"/>
        <w:gridCol w:w="570"/>
        <w:gridCol w:w="705"/>
        <w:gridCol w:w="735"/>
      </w:tblGrid>
      <w:tr w:rsidR="00DF01D2" w:rsidRPr="00BA7054">
        <w:trPr>
          <w:tblCellSpacing w:w="0" w:type="dxa"/>
        </w:trPr>
        <w:tc>
          <w:tcPr>
            <w:tcW w:w="6915" w:type="dxa"/>
            <w:tcBorders>
              <w:top w:val="single" w:sz="6" w:space="0" w:color="808080"/>
              <w:left w:val="single" w:sz="6" w:space="0" w:color="808080"/>
              <w:bottom w:val="single" w:sz="6" w:space="0" w:color="808080"/>
              <w:right w:val="single" w:sz="6" w:space="0" w:color="808080"/>
            </w:tcBorders>
            <w:shd w:val="clear" w:color="auto" w:fill="FFFFFF"/>
            <w:tcMar>
              <w:left w:w="105" w:type="dxa"/>
              <w:right w:w="105" w:type="dxa"/>
            </w:tcMar>
          </w:tcPr>
          <w:p w:rsidR="00DF01D2" w:rsidRPr="00BA7054" w:rsidRDefault="0076612E">
            <w:pPr>
              <w:pStyle w:val="af3"/>
              <w:spacing w:before="0" w:beforeAutospacing="0" w:after="0" w:afterAutospacing="0"/>
            </w:pPr>
            <w:r w:rsidRPr="00BA7054">
              <w:rPr>
                <w:rStyle w:val="afa"/>
                <w:i w:val="0"/>
                <w:iCs w:val="0"/>
                <w:color w:val="000000"/>
                <w:sz w:val="21"/>
                <w:szCs w:val="21"/>
              </w:rPr>
              <w:t>ue-PowerClassPerBandPerBC-r17</w:t>
            </w:r>
          </w:p>
          <w:p w:rsidR="00DF01D2" w:rsidRPr="00BA7054" w:rsidRDefault="0076612E">
            <w:pPr>
              <w:pStyle w:val="af3"/>
              <w:spacing w:before="0" w:beforeAutospacing="0" w:after="0" w:afterAutospacing="0"/>
            </w:pPr>
            <w:r w:rsidRPr="00BA7054">
              <w:rPr>
                <w:color w:val="000000"/>
                <w:sz w:val="21"/>
                <w:szCs w:val="21"/>
              </w:rPr>
              <w:t>Indicates the UE power class per band per band combination.</w:t>
            </w:r>
          </w:p>
          <w:p w:rsidR="00DF01D2" w:rsidRPr="00BA7054" w:rsidRDefault="0076612E">
            <w:pPr>
              <w:pStyle w:val="af3"/>
              <w:spacing w:before="0" w:beforeAutospacing="0" w:after="0" w:afterAutospacing="0"/>
            </w:pPr>
            <w:r w:rsidRPr="00BA7054">
              <w:rPr>
                <w:color w:val="000000"/>
                <w:sz w:val="18"/>
                <w:szCs w:val="18"/>
              </w:rPr>
              <w:t> </w:t>
            </w:r>
          </w:p>
          <w:p w:rsidR="00DF01D2" w:rsidRPr="00BA7054" w:rsidRDefault="0076612E">
            <w:pPr>
              <w:pStyle w:val="af3"/>
              <w:spacing w:before="0" w:beforeAutospacing="0" w:after="0" w:afterAutospacing="0"/>
            </w:pPr>
            <w:r w:rsidRPr="00BA7054">
              <w:rPr>
                <w:color w:val="000000"/>
                <w:sz w:val="21"/>
                <w:szCs w:val="21"/>
              </w:rPr>
              <w:t xml:space="preserve">NOTE: It is not applicable to the case when UL-MIMO </w:t>
            </w:r>
            <w:r w:rsidRPr="00BA7054">
              <w:rPr>
                <w:color w:val="000000"/>
                <w:sz w:val="21"/>
                <w:szCs w:val="21"/>
              </w:rPr>
              <w:t>and intra-band UL CA are in operation at the same time.</w:t>
            </w:r>
          </w:p>
        </w:tc>
        <w:tc>
          <w:tcPr>
            <w:tcW w:w="705" w:type="dxa"/>
            <w:tcBorders>
              <w:top w:val="single" w:sz="6" w:space="0" w:color="808080"/>
              <w:left w:val="nil"/>
              <w:bottom w:val="single" w:sz="6" w:space="0" w:color="808080"/>
              <w:right w:val="single" w:sz="6" w:space="0" w:color="808080"/>
            </w:tcBorders>
            <w:shd w:val="clear" w:color="auto" w:fill="FFFFFF"/>
            <w:tcMar>
              <w:left w:w="105" w:type="dxa"/>
              <w:right w:w="105" w:type="dxa"/>
            </w:tcMar>
          </w:tcPr>
          <w:p w:rsidR="00DF01D2" w:rsidRPr="00BA7054" w:rsidRDefault="0076612E">
            <w:pPr>
              <w:pStyle w:val="af3"/>
              <w:spacing w:before="0" w:beforeAutospacing="0" w:after="0" w:afterAutospacing="0"/>
              <w:jc w:val="center"/>
            </w:pPr>
            <w:r w:rsidRPr="00BA7054">
              <w:rPr>
                <w:color w:val="000000"/>
                <w:sz w:val="21"/>
                <w:szCs w:val="21"/>
              </w:rPr>
              <w:t>FS</w:t>
            </w:r>
          </w:p>
        </w:tc>
        <w:tc>
          <w:tcPr>
            <w:tcW w:w="570" w:type="dxa"/>
            <w:tcBorders>
              <w:top w:val="single" w:sz="6" w:space="0" w:color="808080"/>
              <w:left w:val="nil"/>
              <w:bottom w:val="single" w:sz="6" w:space="0" w:color="808080"/>
              <w:right w:val="single" w:sz="6" w:space="0" w:color="808080"/>
            </w:tcBorders>
            <w:shd w:val="clear" w:color="auto" w:fill="FFFFFF"/>
            <w:tcMar>
              <w:left w:w="105" w:type="dxa"/>
              <w:right w:w="105" w:type="dxa"/>
            </w:tcMar>
          </w:tcPr>
          <w:p w:rsidR="00DF01D2" w:rsidRPr="00BA7054" w:rsidRDefault="0076612E">
            <w:pPr>
              <w:pStyle w:val="af3"/>
              <w:spacing w:before="0" w:beforeAutospacing="0" w:after="0" w:afterAutospacing="0"/>
              <w:jc w:val="center"/>
            </w:pPr>
            <w:r w:rsidRPr="00BA7054">
              <w:rPr>
                <w:color w:val="000000"/>
                <w:sz w:val="21"/>
                <w:szCs w:val="21"/>
              </w:rPr>
              <w:t>No</w:t>
            </w:r>
          </w:p>
        </w:tc>
        <w:tc>
          <w:tcPr>
            <w:tcW w:w="705" w:type="dxa"/>
            <w:tcBorders>
              <w:top w:val="single" w:sz="6" w:space="0" w:color="808080"/>
              <w:left w:val="nil"/>
              <w:bottom w:val="single" w:sz="6" w:space="0" w:color="808080"/>
              <w:right w:val="single" w:sz="6" w:space="0" w:color="808080"/>
            </w:tcBorders>
            <w:shd w:val="clear" w:color="auto" w:fill="FFFFFF"/>
            <w:tcMar>
              <w:left w:w="105" w:type="dxa"/>
              <w:right w:w="105" w:type="dxa"/>
            </w:tcMar>
          </w:tcPr>
          <w:p w:rsidR="00DF01D2" w:rsidRPr="00BA7054" w:rsidRDefault="0076612E">
            <w:pPr>
              <w:pStyle w:val="af3"/>
              <w:spacing w:before="0" w:beforeAutospacing="0" w:after="0" w:afterAutospacing="0"/>
              <w:jc w:val="center"/>
            </w:pPr>
            <w:r w:rsidRPr="00BA7054">
              <w:rPr>
                <w:color w:val="000000"/>
                <w:sz w:val="21"/>
                <w:szCs w:val="21"/>
              </w:rPr>
              <w:t>N/A</w:t>
            </w:r>
          </w:p>
        </w:tc>
        <w:tc>
          <w:tcPr>
            <w:tcW w:w="735" w:type="dxa"/>
            <w:tcBorders>
              <w:top w:val="single" w:sz="6" w:space="0" w:color="808080"/>
              <w:left w:val="nil"/>
              <w:bottom w:val="single" w:sz="6" w:space="0" w:color="808080"/>
              <w:right w:val="single" w:sz="6" w:space="0" w:color="808080"/>
            </w:tcBorders>
            <w:shd w:val="clear" w:color="auto" w:fill="FFFFFF"/>
            <w:tcMar>
              <w:left w:w="105" w:type="dxa"/>
              <w:right w:w="105" w:type="dxa"/>
            </w:tcMar>
          </w:tcPr>
          <w:p w:rsidR="00DF01D2" w:rsidRPr="00BA7054" w:rsidRDefault="0076612E">
            <w:pPr>
              <w:pStyle w:val="af3"/>
              <w:spacing w:before="0" w:beforeAutospacing="0" w:after="0" w:afterAutospacing="0"/>
              <w:jc w:val="center"/>
            </w:pPr>
            <w:r w:rsidRPr="00BA7054">
              <w:rPr>
                <w:color w:val="000000"/>
                <w:sz w:val="21"/>
                <w:szCs w:val="21"/>
              </w:rPr>
              <w:t>FR1 only</w:t>
            </w:r>
          </w:p>
        </w:tc>
      </w:tr>
    </w:tbl>
    <w:p w:rsidR="00DF01D2" w:rsidRPr="00BA7054" w:rsidRDefault="00DF01D2">
      <w:pPr>
        <w:pStyle w:val="af3"/>
        <w:shd w:val="clear" w:color="auto" w:fill="FFFFFF"/>
        <w:spacing w:before="0" w:beforeAutospacing="0" w:after="0" w:afterAutospacing="0"/>
        <w:rPr>
          <w:rFonts w:eastAsia="宋体"/>
          <w:color w:val="00B050"/>
          <w:sz w:val="21"/>
          <w:szCs w:val="21"/>
          <w:shd w:val="clear" w:color="auto" w:fill="FFFFFF"/>
          <w:lang w:val="en-US" w:eastAsia="zh-CN"/>
        </w:rPr>
      </w:pPr>
    </w:p>
    <w:p w:rsidR="00DF01D2" w:rsidRPr="00BA7054" w:rsidRDefault="0076612E">
      <w:pPr>
        <w:pStyle w:val="af3"/>
        <w:shd w:val="clear" w:color="auto" w:fill="FFFFFF"/>
        <w:spacing w:before="0" w:beforeAutospacing="0" w:after="0" w:afterAutospacing="0" w:line="240" w:lineRule="auto"/>
        <w:rPr>
          <w:rFonts w:eastAsia="微软雅黑"/>
          <w:color w:val="000000"/>
          <w:sz w:val="21"/>
          <w:szCs w:val="21"/>
          <w:shd w:val="clear" w:color="auto" w:fill="FFFFFF"/>
          <w:lang w:val="en-US" w:eastAsia="zh-CN"/>
        </w:rPr>
      </w:pPr>
      <w:r w:rsidRPr="00BA7054">
        <w:rPr>
          <w:rFonts w:eastAsia="微软雅黑"/>
          <w:color w:val="000000"/>
          <w:sz w:val="21"/>
          <w:szCs w:val="21"/>
          <w:shd w:val="clear" w:color="auto" w:fill="FFFFFF"/>
          <w:lang w:val="en-US" w:eastAsia="zh-CN"/>
        </w:rPr>
        <w:t xml:space="preserve">However, the relationship between this newly added power class and the legacy power classes are not specified. In this paper we share our understanding on this newly added power </w:t>
      </w:r>
      <w:r w:rsidRPr="00BA7054">
        <w:rPr>
          <w:rFonts w:eastAsia="微软雅黑"/>
          <w:color w:val="000000"/>
          <w:sz w:val="21"/>
          <w:szCs w:val="21"/>
          <w:shd w:val="clear" w:color="auto" w:fill="FFFFFF"/>
          <w:lang w:val="en-US" w:eastAsia="zh-CN"/>
        </w:rPr>
        <w:t>class.</w:t>
      </w:r>
    </w:p>
    <w:p w:rsidR="00DF01D2" w:rsidRPr="00BA7054" w:rsidRDefault="0076612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b w:val="0"/>
          <w:bCs w:val="0"/>
          <w:kern w:val="0"/>
          <w:sz w:val="32"/>
          <w:szCs w:val="36"/>
        </w:rPr>
      </w:pPr>
      <w:r w:rsidRPr="00BA7054">
        <w:rPr>
          <w:b w:val="0"/>
          <w:bCs w:val="0"/>
          <w:kern w:val="0"/>
          <w:sz w:val="32"/>
          <w:szCs w:val="36"/>
        </w:rPr>
        <w:t>Discussion</w:t>
      </w:r>
    </w:p>
    <w:p w:rsidR="00DF01D2" w:rsidRPr="00BA7054" w:rsidRDefault="00BA7054">
      <w:pPr>
        <w:rPr>
          <w:rFonts w:eastAsia="宋体"/>
        </w:rPr>
      </w:pPr>
      <w:r w:rsidRPr="00BA7054">
        <w:rPr>
          <w:rFonts w:eastAsia="宋体"/>
        </w:rPr>
        <w:t>As shown below, t</w:t>
      </w:r>
      <w:r w:rsidR="0076612E" w:rsidRPr="00BA7054">
        <w:rPr>
          <w:rFonts w:eastAsia="宋体"/>
        </w:rPr>
        <w:t>here are 3 kinds of legacy power classes as below:</w:t>
      </w:r>
    </w:p>
    <w:tbl>
      <w:tblPr>
        <w:tblStyle w:val="af5"/>
        <w:tblW w:w="0" w:type="auto"/>
        <w:tblLook w:val="04A0" w:firstRow="1" w:lastRow="0" w:firstColumn="1" w:lastColumn="0" w:noHBand="0" w:noVBand="1"/>
      </w:tblPr>
      <w:tblGrid>
        <w:gridCol w:w="3258"/>
        <w:gridCol w:w="3239"/>
        <w:gridCol w:w="3264"/>
      </w:tblGrid>
      <w:tr w:rsidR="00DF01D2" w:rsidRPr="00BA7054">
        <w:tc>
          <w:tcPr>
            <w:tcW w:w="3332" w:type="dxa"/>
            <w:tcBorders>
              <w:top w:val="single" w:sz="8" w:space="0" w:color="9BBB59"/>
              <w:left w:val="single" w:sz="8" w:space="0" w:color="9BBB59"/>
              <w:bottom w:val="single" w:sz="18" w:space="0" w:color="FFFFFF"/>
              <w:right w:val="single" w:sz="8" w:space="0" w:color="9BBB59"/>
            </w:tcBorders>
            <w:shd w:val="clear" w:color="auto" w:fill="9BBB59"/>
          </w:tcPr>
          <w:p w:rsidR="00DF01D2" w:rsidRPr="00BA7054" w:rsidRDefault="0076612E">
            <w:pPr>
              <w:jc w:val="center"/>
              <w:rPr>
                <w:rFonts w:eastAsia="宋体"/>
                <w:color w:val="FFFFFF"/>
              </w:rPr>
            </w:pPr>
            <w:r w:rsidRPr="00BA7054">
              <w:rPr>
                <w:rFonts w:eastAsia="宋体"/>
                <w:color w:val="FFFFFF"/>
              </w:rPr>
              <w:t>Per Band Level</w:t>
            </w:r>
          </w:p>
        </w:tc>
        <w:tc>
          <w:tcPr>
            <w:tcW w:w="3332" w:type="dxa"/>
            <w:tcBorders>
              <w:top w:val="single" w:sz="8" w:space="0" w:color="9BBB59"/>
              <w:left w:val="single" w:sz="8" w:space="0" w:color="9BBB59"/>
              <w:bottom w:val="single" w:sz="18" w:space="0" w:color="FFFFFF"/>
              <w:right w:val="single" w:sz="8" w:space="0" w:color="9BBB59"/>
            </w:tcBorders>
            <w:shd w:val="clear" w:color="auto" w:fill="9BBB59"/>
          </w:tcPr>
          <w:p w:rsidR="00DF01D2" w:rsidRPr="00BA7054" w:rsidRDefault="0076612E">
            <w:pPr>
              <w:jc w:val="center"/>
              <w:rPr>
                <w:rFonts w:eastAsia="宋体"/>
                <w:color w:val="FFFFFF"/>
              </w:rPr>
            </w:pPr>
            <w:r w:rsidRPr="00BA7054">
              <w:rPr>
                <w:rFonts w:eastAsia="宋体"/>
                <w:color w:val="FFFFFF"/>
              </w:rPr>
              <w:t>Per BC level</w:t>
            </w:r>
          </w:p>
        </w:tc>
        <w:tc>
          <w:tcPr>
            <w:tcW w:w="3333" w:type="dxa"/>
            <w:tcBorders>
              <w:top w:val="single" w:sz="8" w:space="0" w:color="9BBB59"/>
              <w:left w:val="single" w:sz="8" w:space="0" w:color="9BBB59"/>
              <w:bottom w:val="single" w:sz="18" w:space="0" w:color="FFFFFF"/>
              <w:right w:val="single" w:sz="8" w:space="0" w:color="9BBB59"/>
            </w:tcBorders>
            <w:shd w:val="clear" w:color="auto" w:fill="9BBB59"/>
          </w:tcPr>
          <w:p w:rsidR="00DF01D2" w:rsidRPr="00BA7054" w:rsidRDefault="0076612E">
            <w:pPr>
              <w:jc w:val="center"/>
              <w:rPr>
                <w:rFonts w:eastAsia="宋体"/>
                <w:color w:val="FFFFFF"/>
              </w:rPr>
            </w:pPr>
            <w:r w:rsidRPr="00BA7054">
              <w:rPr>
                <w:rFonts w:eastAsia="宋体"/>
                <w:color w:val="FFFFFF"/>
              </w:rPr>
              <w:t>Per NR side</w:t>
            </w:r>
          </w:p>
        </w:tc>
      </w:tr>
      <w:tr w:rsidR="00DF01D2" w:rsidRPr="00BA7054">
        <w:trPr>
          <w:trHeight w:val="90"/>
        </w:trPr>
        <w:tc>
          <w:tcPr>
            <w:tcW w:w="3332" w:type="dxa"/>
            <w:tcBorders>
              <w:top w:val="single" w:sz="18" w:space="0" w:color="FFFFFF"/>
              <w:left w:val="single" w:sz="8" w:space="0" w:color="9BBB59"/>
              <w:bottom w:val="single" w:sz="8" w:space="0" w:color="9BBB59"/>
              <w:right w:val="single" w:sz="8" w:space="0" w:color="9BBB59"/>
            </w:tcBorders>
            <w:shd w:val="clear" w:color="auto" w:fill="D7E3BC"/>
          </w:tcPr>
          <w:p w:rsidR="00DF01D2" w:rsidRPr="00BA7054" w:rsidRDefault="0076612E">
            <w:pPr>
              <w:rPr>
                <w:color w:val="000000"/>
              </w:rPr>
            </w:pPr>
            <w:r w:rsidRPr="00BA7054">
              <w:rPr>
                <w:b/>
                <w:i/>
                <w:color w:val="000000"/>
              </w:rPr>
              <w:t>ue-PowerClass</w:t>
            </w:r>
            <w:r w:rsidRPr="00BA7054">
              <w:rPr>
                <w:b/>
                <w:i/>
                <w:color w:val="000000"/>
              </w:rPr>
              <w:t>,</w:t>
            </w:r>
            <w:r w:rsidRPr="00BA7054">
              <w:rPr>
                <w:b/>
                <w:i/>
                <w:color w:val="000000"/>
              </w:rPr>
              <w:t>ue-PowerClass-</w:t>
            </w:r>
            <w:r w:rsidRPr="00BA7054">
              <w:rPr>
                <w:b/>
                <w:i/>
                <w:color w:val="000000"/>
              </w:rPr>
              <w:lastRenderedPageBreak/>
              <w:t>v1610, ue-PowerClass-v1700</w:t>
            </w:r>
          </w:p>
        </w:tc>
        <w:tc>
          <w:tcPr>
            <w:tcW w:w="3332" w:type="dxa"/>
            <w:tcBorders>
              <w:top w:val="single" w:sz="18" w:space="0" w:color="FFFFFF"/>
              <w:left w:val="single" w:sz="8" w:space="0" w:color="9BBB59"/>
              <w:bottom w:val="single" w:sz="8" w:space="0" w:color="9BBB59"/>
              <w:right w:val="single" w:sz="8" w:space="0" w:color="9BBB59"/>
            </w:tcBorders>
            <w:shd w:val="clear" w:color="auto" w:fill="D7E3BC"/>
          </w:tcPr>
          <w:p w:rsidR="00DF01D2" w:rsidRPr="00BA7054" w:rsidRDefault="0076612E">
            <w:pPr>
              <w:pStyle w:val="TAL"/>
              <w:rPr>
                <w:rFonts w:ascii="Times New Roman" w:eastAsia="宋体" w:hAnsi="Times New Roman" w:cs="Times New Roman"/>
                <w:color w:val="000000"/>
                <w:lang w:val="en-US"/>
              </w:rPr>
            </w:pPr>
            <w:r w:rsidRPr="00BA7054">
              <w:rPr>
                <w:rFonts w:ascii="Times New Roman" w:hAnsi="Times New Roman" w:cs="Times New Roman"/>
                <w:b/>
                <w:i/>
                <w:color w:val="000000"/>
              </w:rPr>
              <w:lastRenderedPageBreak/>
              <w:t>powerClass, powerClass-v1610</w:t>
            </w:r>
          </w:p>
        </w:tc>
        <w:tc>
          <w:tcPr>
            <w:tcW w:w="3333" w:type="dxa"/>
            <w:tcBorders>
              <w:top w:val="single" w:sz="18" w:space="0" w:color="FFFFFF"/>
              <w:left w:val="single" w:sz="8" w:space="0" w:color="9BBB59"/>
              <w:bottom w:val="single" w:sz="8" w:space="0" w:color="9BBB59"/>
              <w:right w:val="single" w:sz="8" w:space="0" w:color="9BBB59"/>
            </w:tcBorders>
            <w:shd w:val="clear" w:color="auto" w:fill="D7E3BC"/>
          </w:tcPr>
          <w:p w:rsidR="00DF01D2" w:rsidRPr="00BA7054" w:rsidRDefault="0076612E">
            <w:pPr>
              <w:pStyle w:val="TAL"/>
              <w:rPr>
                <w:rFonts w:ascii="Times New Roman" w:eastAsia="宋体" w:hAnsi="Times New Roman" w:cs="Times New Roman"/>
                <w:color w:val="000000"/>
                <w:lang w:val="en-US"/>
              </w:rPr>
            </w:pPr>
            <w:r w:rsidRPr="00BA7054">
              <w:rPr>
                <w:rFonts w:ascii="Times New Roman" w:hAnsi="Times New Roman" w:cs="Times New Roman"/>
                <w:b/>
                <w:i/>
                <w:color w:val="000000"/>
              </w:rPr>
              <w:t>powerClassNRPart-r16</w:t>
            </w:r>
          </w:p>
        </w:tc>
      </w:tr>
    </w:tbl>
    <w:tbl>
      <w:tblPr>
        <w:tblW w:w="1004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149"/>
        <w:gridCol w:w="900"/>
      </w:tblGrid>
      <w:tr w:rsidR="00DF01D2" w:rsidRPr="00BA7054">
        <w:trPr>
          <w:cantSplit/>
          <w:tblHeader/>
        </w:trPr>
        <w:tc>
          <w:tcPr>
            <w:tcW w:w="9149" w:type="dxa"/>
          </w:tcPr>
          <w:p w:rsidR="00DF01D2" w:rsidRPr="00BA7054" w:rsidRDefault="0076612E">
            <w:pPr>
              <w:pStyle w:val="TAL"/>
              <w:rPr>
                <w:rFonts w:ascii="Times New Roman" w:hAnsi="Times New Roman" w:cs="Times New Roman"/>
                <w:b/>
                <w:i/>
              </w:rPr>
            </w:pPr>
            <w:r w:rsidRPr="00BA7054">
              <w:rPr>
                <w:rFonts w:ascii="Times New Roman" w:hAnsi="Times New Roman" w:cs="Times New Roman"/>
                <w:b/>
                <w:i/>
              </w:rPr>
              <w:t>powerClassNRPart-r16</w:t>
            </w:r>
          </w:p>
          <w:p w:rsidR="00DF01D2" w:rsidRPr="00BA7054" w:rsidRDefault="0076612E">
            <w:pPr>
              <w:pStyle w:val="TAL"/>
              <w:rPr>
                <w:rFonts w:ascii="Times New Roman" w:hAnsi="Times New Roman" w:cs="Times New Roman"/>
              </w:rPr>
            </w:pPr>
            <w:r w:rsidRPr="00BA7054">
              <w:rPr>
                <w:rFonts w:ascii="Times New Roman" w:hAnsi="Times New Roman" w:cs="Times New Roman"/>
              </w:rPr>
              <w:t>Indicates NR part power class the UE supports when operating according to this band combination.</w:t>
            </w:r>
          </w:p>
          <w:p w:rsidR="00DF01D2" w:rsidRPr="00BA7054" w:rsidRDefault="0076612E">
            <w:pPr>
              <w:pStyle w:val="TAL"/>
              <w:rPr>
                <w:rFonts w:ascii="Times New Roman" w:hAnsi="Times New Roman" w:cs="Times New Roman"/>
                <w:b/>
                <w:i/>
              </w:rPr>
            </w:pPr>
            <w:r w:rsidRPr="00BA7054">
              <w:rPr>
                <w:rFonts w:ascii="Times New Roman" w:hAnsi="Times New Roman" w:cs="Times New Roman"/>
                <w:color w:val="FF0000"/>
              </w:rPr>
              <w:t>This</w:t>
            </w:r>
            <w:r w:rsidRPr="00BA7054">
              <w:rPr>
                <w:rFonts w:ascii="Times New Roman" w:hAnsi="Times New Roman" w:cs="Times New Roman"/>
                <w:color w:val="FF0000"/>
                <w:lang w:eastAsia="en-GB"/>
              </w:rPr>
              <w:t xml:space="preserve"> field only applies for</w:t>
            </w:r>
            <w:r w:rsidRPr="00BA7054">
              <w:rPr>
                <w:rFonts w:ascii="Times New Roman" w:hAnsi="Times New Roman" w:cs="Times New Roman"/>
                <w:color w:val="FF0000"/>
              </w:rPr>
              <w:t xml:space="preserve"> MR</w:t>
            </w:r>
            <w:r w:rsidRPr="00BA7054">
              <w:rPr>
                <w:rFonts w:ascii="Times New Roman" w:hAnsi="Times New Roman" w:cs="Times New Roman"/>
                <w:color w:val="FF0000"/>
              </w:rPr>
              <w:t>-</w:t>
            </w:r>
            <w:r w:rsidRPr="00BA7054">
              <w:rPr>
                <w:rFonts w:ascii="Times New Roman" w:hAnsi="Times New Roman" w:cs="Times New Roman"/>
                <w:color w:val="FF0000"/>
              </w:rPr>
              <w:t xml:space="preserve">DC BCs </w:t>
            </w:r>
            <w:r w:rsidRPr="00BA7054">
              <w:rPr>
                <w:rFonts w:ascii="Times New Roman" w:hAnsi="Times New Roman" w:cs="Times New Roman"/>
                <w:color w:val="FF0000"/>
              </w:rPr>
              <w:t>containing</w:t>
            </w:r>
            <w:r w:rsidRPr="00BA7054">
              <w:rPr>
                <w:rFonts w:ascii="Times New Roman" w:hAnsi="Times New Roman" w:cs="Times New Roman"/>
                <w:color w:val="FF0000"/>
              </w:rPr>
              <w:t xml:space="preserve"> only single </w:t>
            </w:r>
            <w:r w:rsidRPr="00BA7054">
              <w:rPr>
                <w:rFonts w:ascii="Times New Roman" w:hAnsi="Times New Roman" w:cs="Times New Roman"/>
                <w:color w:val="FF0000"/>
              </w:rPr>
              <w:t>CC</w:t>
            </w:r>
            <w:r w:rsidRPr="00BA7054">
              <w:rPr>
                <w:rFonts w:ascii="Times New Roman" w:hAnsi="Times New Roman" w:cs="Times New Roman"/>
                <w:color w:val="FF0000"/>
              </w:rPr>
              <w:t xml:space="preserve"> or intra-band CA in NR side in this release</w:t>
            </w:r>
            <w:r w:rsidRPr="00BA7054">
              <w:rPr>
                <w:rFonts w:ascii="Times New Roman" w:hAnsi="Times New Roman" w:cs="Times New Roman"/>
                <w:color w:val="FF0000"/>
              </w:rPr>
              <w:t>.</w:t>
            </w:r>
          </w:p>
        </w:tc>
        <w:tc>
          <w:tcPr>
            <w:tcW w:w="900" w:type="dxa"/>
          </w:tcPr>
          <w:p w:rsidR="00DF01D2" w:rsidRPr="00BA7054" w:rsidRDefault="0076612E">
            <w:pPr>
              <w:pStyle w:val="TAL"/>
              <w:jc w:val="center"/>
              <w:rPr>
                <w:rFonts w:ascii="Times New Roman" w:hAnsi="Times New Roman" w:cs="Times New Roman"/>
              </w:rPr>
            </w:pPr>
            <w:r w:rsidRPr="00BA7054">
              <w:rPr>
                <w:rFonts w:ascii="Times New Roman" w:hAnsi="Times New Roman" w:cs="Times New Roman"/>
              </w:rPr>
              <w:t>BC</w:t>
            </w:r>
          </w:p>
          <w:p w:rsidR="00DF01D2" w:rsidRPr="00BA7054" w:rsidRDefault="0076612E">
            <w:pPr>
              <w:pStyle w:val="TAL"/>
              <w:jc w:val="center"/>
              <w:rPr>
                <w:rFonts w:ascii="Times New Roman" w:eastAsia="宋体" w:hAnsi="Times New Roman" w:cs="Times New Roman"/>
                <w:lang w:val="en-US"/>
              </w:rPr>
            </w:pPr>
            <w:r w:rsidRPr="00BA7054">
              <w:rPr>
                <w:rFonts w:ascii="Times New Roman" w:eastAsia="宋体" w:hAnsi="Times New Roman" w:cs="Times New Roman"/>
                <w:lang w:val="en-US"/>
              </w:rPr>
              <w:t>NR side</w:t>
            </w:r>
          </w:p>
        </w:tc>
      </w:tr>
      <w:tr w:rsidR="00DF01D2" w:rsidRPr="00BA7054">
        <w:trPr>
          <w:cantSplit/>
          <w:tblHeader/>
        </w:trPr>
        <w:tc>
          <w:tcPr>
            <w:tcW w:w="9149" w:type="dxa"/>
          </w:tcPr>
          <w:p w:rsidR="00DF01D2" w:rsidRPr="00BA7054" w:rsidRDefault="0076612E">
            <w:pPr>
              <w:pStyle w:val="TAL"/>
              <w:rPr>
                <w:rFonts w:ascii="Times New Roman" w:hAnsi="Times New Roman" w:cs="Times New Roman"/>
                <w:b/>
                <w:i/>
              </w:rPr>
            </w:pPr>
            <w:r w:rsidRPr="00BA7054">
              <w:rPr>
                <w:rFonts w:ascii="Times New Roman" w:hAnsi="Times New Roman" w:cs="Times New Roman"/>
                <w:b/>
                <w:i/>
              </w:rPr>
              <w:t xml:space="preserve">powerClass, </w:t>
            </w:r>
            <w:r w:rsidRPr="00BA7054">
              <w:rPr>
                <w:rFonts w:ascii="Times New Roman" w:hAnsi="Times New Roman" w:cs="Times New Roman"/>
                <w:b/>
                <w:i/>
              </w:rPr>
              <w:t>powerClass-v1610</w:t>
            </w:r>
          </w:p>
          <w:p w:rsidR="00DF01D2" w:rsidRPr="00BA7054" w:rsidRDefault="0076612E">
            <w:pPr>
              <w:pStyle w:val="TAL"/>
              <w:rPr>
                <w:rFonts w:ascii="Times New Roman" w:hAnsi="Times New Roman" w:cs="Times New Roman"/>
              </w:rPr>
            </w:pPr>
            <w:r w:rsidRPr="00BA7054">
              <w:rPr>
                <w:rFonts w:ascii="Times New Roman" w:hAnsi="Times New Roman" w:cs="Times New Roman"/>
              </w:rPr>
              <w:t>Indicates power class the UE supports when operating according to this band combination. If the field is absent, the UE supports the default power class. If this power class is higher than the power class that the</w:t>
            </w:r>
            <w:r w:rsidRPr="00BA7054">
              <w:rPr>
                <w:rFonts w:ascii="Times New Roman" w:hAnsi="Times New Roman" w:cs="Times New Roman"/>
                <w:color w:val="FF0000"/>
              </w:rPr>
              <w:t xml:space="preserve"> UE supports on the indivi</w:t>
            </w:r>
            <w:r w:rsidRPr="00BA7054">
              <w:rPr>
                <w:rFonts w:ascii="Times New Roman" w:hAnsi="Times New Roman" w:cs="Times New Roman"/>
                <w:color w:val="FF0000"/>
              </w:rPr>
              <w:t>dual bands of this band combination (</w:t>
            </w:r>
            <w:r w:rsidRPr="00BA7054">
              <w:rPr>
                <w:rFonts w:ascii="Times New Roman" w:hAnsi="Times New Roman" w:cs="Times New Roman"/>
                <w:i/>
                <w:color w:val="FF0000"/>
              </w:rPr>
              <w:t>ue-PowerClass</w:t>
            </w:r>
            <w:r w:rsidRPr="00BA7054">
              <w:rPr>
                <w:rFonts w:ascii="Times New Roman" w:hAnsi="Times New Roman" w:cs="Times New Roman"/>
                <w:color w:val="FF0000"/>
              </w:rPr>
              <w:t xml:space="preserve"> in </w:t>
            </w:r>
            <w:r w:rsidRPr="00BA7054">
              <w:rPr>
                <w:rFonts w:ascii="Times New Roman" w:hAnsi="Times New Roman" w:cs="Times New Roman"/>
                <w:i/>
                <w:color w:val="FF0000"/>
              </w:rPr>
              <w:t>BandNR</w:t>
            </w:r>
            <w:r w:rsidRPr="00BA7054">
              <w:rPr>
                <w:rFonts w:ascii="Times New Roman" w:hAnsi="Times New Roman" w:cs="Times New Roman"/>
                <w:color w:val="FF0000"/>
              </w:rPr>
              <w:t xml:space="preserve">), the latter determines maximum TX power available in each band. The UE sets the power class parameter only in band combinations that are applicable </w:t>
            </w:r>
            <w:r w:rsidRPr="00BA7054">
              <w:rPr>
                <w:rFonts w:ascii="Times New Roman" w:hAnsi="Times New Roman" w:cs="Times New Roman"/>
              </w:rPr>
              <w:t xml:space="preserve">as specified in </w:t>
            </w:r>
            <w:r w:rsidRPr="00BA7054">
              <w:rPr>
                <w:rFonts w:ascii="Times New Roman" w:hAnsi="Times New Roman" w:cs="Times New Roman"/>
                <w:bCs/>
                <w:iCs/>
              </w:rPr>
              <w:t xml:space="preserve">TS 38.101-1 [2] and </w:t>
            </w:r>
            <w:r w:rsidRPr="00BA7054">
              <w:rPr>
                <w:rFonts w:ascii="Times New Roman" w:hAnsi="Times New Roman" w:cs="Times New Roman"/>
              </w:rPr>
              <w:t>TS 38.101-</w:t>
            </w:r>
            <w:r w:rsidRPr="00BA7054">
              <w:rPr>
                <w:rFonts w:ascii="Times New Roman" w:hAnsi="Times New Roman" w:cs="Times New Roman"/>
              </w:rPr>
              <w:t>3 [4].</w:t>
            </w:r>
            <w:r w:rsidRPr="00BA7054">
              <w:rPr>
                <w:rFonts w:ascii="Times New Roman" w:hAnsi="Times New Roman" w:cs="Times New Roman"/>
                <w:bCs/>
                <w:iCs/>
              </w:rPr>
              <w:t xml:space="preserve"> This capability is not applicable to IAB-MT.</w:t>
            </w:r>
          </w:p>
        </w:tc>
        <w:tc>
          <w:tcPr>
            <w:tcW w:w="900" w:type="dxa"/>
          </w:tcPr>
          <w:p w:rsidR="00DF01D2" w:rsidRPr="00BA7054" w:rsidRDefault="0076612E">
            <w:pPr>
              <w:pStyle w:val="TAL"/>
              <w:jc w:val="center"/>
              <w:rPr>
                <w:rFonts w:ascii="Times New Roman" w:hAnsi="Times New Roman" w:cs="Times New Roman"/>
              </w:rPr>
            </w:pPr>
            <w:r w:rsidRPr="00BA7054">
              <w:rPr>
                <w:rFonts w:ascii="Times New Roman" w:hAnsi="Times New Roman" w:cs="Times New Roman"/>
              </w:rPr>
              <w:t>BC</w:t>
            </w:r>
          </w:p>
        </w:tc>
      </w:tr>
      <w:tr w:rsidR="00DF01D2" w:rsidRPr="00BA7054">
        <w:trPr>
          <w:cantSplit/>
          <w:tblHeader/>
        </w:trPr>
        <w:tc>
          <w:tcPr>
            <w:tcW w:w="9149" w:type="dxa"/>
          </w:tcPr>
          <w:p w:rsidR="00DF01D2" w:rsidRPr="00BA7054" w:rsidRDefault="0076612E">
            <w:pPr>
              <w:pStyle w:val="TAL"/>
              <w:rPr>
                <w:rFonts w:ascii="Times New Roman" w:hAnsi="Times New Roman" w:cs="Times New Roman"/>
                <w:b/>
                <w:i/>
              </w:rPr>
            </w:pPr>
            <w:r w:rsidRPr="00BA7054">
              <w:rPr>
                <w:rFonts w:ascii="Times New Roman" w:hAnsi="Times New Roman" w:cs="Times New Roman"/>
                <w:b/>
                <w:i/>
              </w:rPr>
              <w:t>ue-PowerClass, ue-PowerClass-v1610, ue-PowerClass-v1700</w:t>
            </w:r>
          </w:p>
          <w:p w:rsidR="00DF01D2" w:rsidRPr="00BA7054" w:rsidRDefault="0076612E">
            <w:pPr>
              <w:pStyle w:val="TAL"/>
              <w:rPr>
                <w:rFonts w:ascii="Times New Roman" w:hAnsi="Times New Roman" w:cs="Times New Roman"/>
              </w:rPr>
            </w:pPr>
            <w:r w:rsidRPr="00BA7054">
              <w:rPr>
                <w:rFonts w:ascii="Times New Roman" w:hAnsi="Times New Roman" w:cs="Times New Roman"/>
              </w:rPr>
              <w:t>For FR1, if the UE supports the different UE power class than the default UE power class as defined in clause 6.2 of TS 38.101-1 [2], the UE sha</w:t>
            </w:r>
            <w:r w:rsidRPr="00BA7054">
              <w:rPr>
                <w:rFonts w:ascii="Times New Roman" w:hAnsi="Times New Roman" w:cs="Times New Roman"/>
              </w:rPr>
              <w:t>ll report the supported UE power class in this field. For FR2, UE shall report the supported UE power class as defined in clause 6 and 7 of TS 38.101-2 [3] in this field.</w:t>
            </w:r>
            <w:r w:rsidRPr="00BA7054">
              <w:rPr>
                <w:rFonts w:ascii="Times New Roman" w:hAnsi="Times New Roman" w:cs="Times New Roman"/>
                <w:bCs/>
                <w:iCs/>
                <w:lang w:eastAsia="fr-FR"/>
              </w:rPr>
              <w:t xml:space="preserve"> UE indicating support for </w:t>
            </w:r>
            <w:r w:rsidRPr="00BA7054">
              <w:rPr>
                <w:rFonts w:ascii="Times New Roman" w:hAnsi="Times New Roman" w:cs="Times New Roman"/>
                <w:bCs/>
                <w:i/>
                <w:lang w:eastAsia="fr-FR"/>
              </w:rPr>
              <w:t>pc6</w:t>
            </w:r>
            <w:r w:rsidRPr="00BA7054">
              <w:rPr>
                <w:rFonts w:ascii="Times New Roman" w:hAnsi="Times New Roman" w:cs="Times New Roman"/>
                <w:bCs/>
                <w:iCs/>
                <w:lang w:eastAsia="fr-FR"/>
              </w:rPr>
              <w:t xml:space="preserve"> supports the enhanced intra-NR RRM and demodulation pro</w:t>
            </w:r>
            <w:r w:rsidRPr="00BA7054">
              <w:rPr>
                <w:rFonts w:ascii="Times New Roman" w:hAnsi="Times New Roman" w:cs="Times New Roman"/>
                <w:bCs/>
                <w:iCs/>
                <w:lang w:eastAsia="fr-FR"/>
              </w:rPr>
              <w:t>cessing requirements for FR2 to support high speed up to 350 km/h as specified in TS 38.133 [5]. This capability is not applicable to IAB-MT.</w:t>
            </w:r>
          </w:p>
        </w:tc>
        <w:tc>
          <w:tcPr>
            <w:tcW w:w="900" w:type="dxa"/>
          </w:tcPr>
          <w:p w:rsidR="00DF01D2" w:rsidRPr="00BA7054" w:rsidRDefault="0076612E">
            <w:pPr>
              <w:pStyle w:val="TAL"/>
              <w:jc w:val="center"/>
              <w:rPr>
                <w:rFonts w:ascii="Times New Roman" w:hAnsi="Times New Roman" w:cs="Times New Roman"/>
              </w:rPr>
            </w:pPr>
            <w:r w:rsidRPr="00BA7054">
              <w:rPr>
                <w:rFonts w:ascii="Times New Roman" w:hAnsi="Times New Roman" w:cs="Times New Roman"/>
              </w:rPr>
              <w:t>Band</w:t>
            </w:r>
          </w:p>
        </w:tc>
      </w:tr>
    </w:tbl>
    <w:p w:rsidR="00DF01D2" w:rsidRPr="00BA7054" w:rsidRDefault="00DF01D2">
      <w:pPr>
        <w:pStyle w:val="TAL"/>
        <w:rPr>
          <w:rFonts w:ascii="Times New Roman" w:eastAsia="宋体" w:hAnsi="Times New Roman" w:cs="Times New Roman"/>
          <w:b/>
          <w:bCs/>
          <w:i/>
          <w:iCs/>
          <w:sz w:val="21"/>
          <w:szCs w:val="21"/>
          <w:u w:val="single"/>
          <w:lang w:val="en-US"/>
        </w:rPr>
      </w:pPr>
    </w:p>
    <w:p w:rsidR="00DF01D2" w:rsidRPr="00BA7054" w:rsidRDefault="0076612E">
      <w:pPr>
        <w:pStyle w:val="TAL"/>
        <w:rPr>
          <w:rFonts w:ascii="Times New Roman" w:hAnsi="Times New Roman" w:cs="Times New Roman"/>
          <w:b/>
          <w:bCs/>
          <w:i/>
          <w:iCs/>
          <w:sz w:val="24"/>
          <w:szCs w:val="24"/>
          <w:u w:val="single"/>
        </w:rPr>
      </w:pPr>
      <w:r w:rsidRPr="00BA7054">
        <w:rPr>
          <w:rFonts w:ascii="Times New Roman" w:eastAsia="宋体" w:hAnsi="Times New Roman" w:cs="Times New Roman"/>
          <w:b/>
          <w:bCs/>
          <w:i/>
          <w:iCs/>
          <w:sz w:val="24"/>
          <w:szCs w:val="24"/>
          <w:u w:val="single"/>
          <w:lang w:val="en-US"/>
        </w:rPr>
        <w:t>Issue</w:t>
      </w:r>
      <w:r w:rsidRPr="00BA7054">
        <w:rPr>
          <w:rFonts w:ascii="Times New Roman" w:eastAsia="宋体" w:hAnsi="Times New Roman" w:cs="Times New Roman"/>
          <w:b/>
          <w:bCs/>
          <w:i/>
          <w:iCs/>
          <w:sz w:val="24"/>
          <w:szCs w:val="24"/>
          <w:u w:val="single"/>
          <w:lang w:val="en-US"/>
        </w:rPr>
        <w:t xml:space="preserve"> 1</w:t>
      </w:r>
      <w:r w:rsidRPr="00BA7054">
        <w:rPr>
          <w:rFonts w:ascii="Times New Roman" w:eastAsia="宋体" w:hAnsi="Times New Roman" w:cs="Times New Roman"/>
          <w:b/>
          <w:bCs/>
          <w:i/>
          <w:iCs/>
          <w:sz w:val="24"/>
          <w:szCs w:val="24"/>
          <w:u w:val="single"/>
          <w:lang w:val="en-US"/>
        </w:rPr>
        <w:t xml:space="preserve">: </w:t>
      </w:r>
      <w:r w:rsidRPr="00BA7054">
        <w:rPr>
          <w:rStyle w:val="afa"/>
          <w:rFonts w:ascii="Times New Roman" w:hAnsi="Times New Roman" w:cs="Times New Roman"/>
          <w:b/>
          <w:bCs/>
          <w:color w:val="000000"/>
          <w:sz w:val="24"/>
          <w:szCs w:val="24"/>
          <w:u w:val="single"/>
        </w:rPr>
        <w:t>ue-PowerClassPerBandPerBC-r17</w:t>
      </w:r>
      <w:r w:rsidRPr="00BA7054">
        <w:rPr>
          <w:rStyle w:val="afa"/>
          <w:rFonts w:ascii="Times New Roman" w:eastAsia="宋体" w:hAnsi="Times New Roman" w:cs="Times New Roman"/>
          <w:b/>
          <w:bCs/>
          <w:color w:val="000000"/>
          <w:sz w:val="24"/>
          <w:szCs w:val="24"/>
          <w:u w:val="single"/>
          <w:lang w:val="en-US"/>
        </w:rPr>
        <w:t xml:space="preserve"> </w:t>
      </w:r>
      <w:r w:rsidRPr="00BA7054">
        <w:rPr>
          <w:rStyle w:val="afa"/>
          <w:rFonts w:ascii="Times New Roman" w:eastAsia="宋体" w:hAnsi="Times New Roman" w:cs="Times New Roman"/>
          <w:b/>
          <w:bCs/>
          <w:color w:val="000000"/>
          <w:sz w:val="24"/>
          <w:szCs w:val="24"/>
          <w:u w:val="single"/>
          <w:lang w:val="en-US"/>
        </w:rPr>
        <w:t>and</w:t>
      </w:r>
      <w:r w:rsidRPr="00BA7054">
        <w:rPr>
          <w:rStyle w:val="afa"/>
          <w:rFonts w:ascii="Times New Roman" w:eastAsia="宋体" w:hAnsi="Times New Roman" w:cs="Times New Roman"/>
          <w:b/>
          <w:bCs/>
          <w:color w:val="000000"/>
          <w:sz w:val="24"/>
          <w:szCs w:val="24"/>
          <w:u w:val="single"/>
          <w:lang w:val="en-US"/>
        </w:rPr>
        <w:t xml:space="preserve"> </w:t>
      </w:r>
      <w:r w:rsidRPr="00BA7054">
        <w:rPr>
          <w:rFonts w:ascii="Times New Roman" w:hAnsi="Times New Roman" w:cs="Times New Roman"/>
          <w:b/>
          <w:bCs/>
          <w:i/>
          <w:iCs/>
          <w:sz w:val="24"/>
          <w:szCs w:val="24"/>
          <w:u w:val="single"/>
        </w:rPr>
        <w:t>powerClassNRPart-r16</w:t>
      </w:r>
    </w:p>
    <w:p w:rsidR="00DF01D2" w:rsidRPr="00BA7054" w:rsidRDefault="0076612E">
      <w:pPr>
        <w:rPr>
          <w:rFonts w:eastAsia="宋体"/>
        </w:rPr>
      </w:pPr>
      <w:r w:rsidRPr="00BA7054">
        <w:rPr>
          <w:rFonts w:eastAsia="宋体"/>
        </w:rPr>
        <w:t xml:space="preserve">The legacy </w:t>
      </w:r>
      <w:r w:rsidRPr="00BA7054">
        <w:rPr>
          <w:rFonts w:eastAsia="宋体"/>
        </w:rPr>
        <w:t>powerClassNRPart-r16</w:t>
      </w:r>
      <w:r w:rsidRPr="00BA7054">
        <w:rPr>
          <w:rFonts w:eastAsia="宋体"/>
        </w:rPr>
        <w:t xml:space="preserve"> was introduced with the below intention:</w:t>
      </w:r>
    </w:p>
    <w:tbl>
      <w:tblPr>
        <w:tblStyle w:val="af5"/>
        <w:tblW w:w="0" w:type="auto"/>
        <w:tblLook w:val="04A0" w:firstRow="1" w:lastRow="0" w:firstColumn="1" w:lastColumn="0" w:noHBand="0" w:noVBand="1"/>
      </w:tblPr>
      <w:tblGrid>
        <w:gridCol w:w="9771"/>
      </w:tblGrid>
      <w:tr w:rsidR="00DF01D2" w:rsidRPr="00BA7054">
        <w:trPr>
          <w:trHeight w:val="2510"/>
        </w:trPr>
        <w:tc>
          <w:tcPr>
            <w:tcW w:w="9997" w:type="dxa"/>
          </w:tcPr>
          <w:p w:rsidR="00DF01D2" w:rsidRPr="00BA7054" w:rsidRDefault="0076612E">
            <w:pPr>
              <w:spacing w:before="120" w:after="120"/>
              <w:jc w:val="left"/>
              <w:rPr>
                <w:rFonts w:eastAsia="宋体"/>
              </w:rPr>
            </w:pPr>
            <w:r w:rsidRPr="00BA7054">
              <w:rPr>
                <w:sz w:val="20"/>
              </w:rPr>
              <w:t xml:space="preserve">RAN4 has discussed an ambiguity that may arise in regard to the </w:t>
            </w:r>
            <w:r w:rsidRPr="00BA7054">
              <w:rPr>
                <w:sz w:val="20"/>
                <w:shd w:val="clear" w:color="auto" w:fill="FFFF00"/>
              </w:rPr>
              <w:t>output power available on individual carriers</w:t>
            </w:r>
            <w:r w:rsidRPr="00BA7054">
              <w:rPr>
                <w:sz w:val="20"/>
              </w:rPr>
              <w:t xml:space="preserve"> when the UE is configured with an MR-DC configuration. Depending on UE implementation, in some circumstances a UE reporting PC2 for an NR band and PC2 the MR-DC band combination may provide PC2 in NR part (single NR band or intra-band NR CA) of the MR-DC </w:t>
            </w:r>
            <w:r w:rsidRPr="00BA7054">
              <w:rPr>
                <w:sz w:val="20"/>
              </w:rPr>
              <w:t xml:space="preserve">combination, whereas in other cases the UE would provide PC3 in the NR part of the MR-DC combination. </w:t>
            </w:r>
            <w:bookmarkStart w:id="2" w:name="_Hlk44673961"/>
            <w:bookmarkEnd w:id="2"/>
            <w:r w:rsidRPr="00BA7054">
              <w:rPr>
                <w:sz w:val="20"/>
              </w:rPr>
              <w:t xml:space="preserve">It is ambiguous to the network whether PC2 or PC3 is applicable in the NR part of the MR-DC band combination. To resolve this, </w:t>
            </w:r>
            <w:r w:rsidRPr="00BA7054">
              <w:rPr>
                <w:color w:val="000000"/>
                <w:sz w:val="20"/>
              </w:rPr>
              <w:t>RAN#88e agreed that a new p</w:t>
            </w:r>
            <w:r w:rsidRPr="00BA7054">
              <w:rPr>
                <w:color w:val="000000"/>
                <w:sz w:val="20"/>
              </w:rPr>
              <w:t>ower class capability signalling for Rel-16 should be introduced in addition to the existing MR-DC power class.</w:t>
            </w:r>
          </w:p>
        </w:tc>
      </w:tr>
    </w:tbl>
    <w:p w:rsidR="00DF01D2" w:rsidRPr="00BA7054" w:rsidRDefault="0076612E">
      <w:r w:rsidRPr="00BA7054">
        <w:rPr>
          <w:rFonts w:eastAsia="宋体"/>
        </w:rPr>
        <w:t xml:space="preserve">In the REL 16, the </w:t>
      </w:r>
      <w:r w:rsidRPr="00BA7054">
        <w:rPr>
          <w:rFonts w:eastAsia="宋体"/>
          <w:i/>
        </w:rPr>
        <w:t xml:space="preserve">powerClassNRPart-r16 </w:t>
      </w:r>
      <w:r w:rsidRPr="00BA7054">
        <w:rPr>
          <w:rFonts w:eastAsia="宋体"/>
        </w:rPr>
        <w:t>o</w:t>
      </w:r>
      <w:r w:rsidRPr="00BA7054">
        <w:rPr>
          <w:rFonts w:eastAsia="宋体"/>
          <w:lang w:eastAsia="en-GB"/>
        </w:rPr>
        <w:t>nly applies for</w:t>
      </w:r>
      <w:r w:rsidRPr="00BA7054">
        <w:rPr>
          <w:rFonts w:eastAsia="宋体"/>
        </w:rPr>
        <w:t xml:space="preserve"> MR-DC BCs containing only single CC or intra-band CA in NR side. From the function pe</w:t>
      </w:r>
      <w:r w:rsidRPr="00BA7054">
        <w:rPr>
          <w:rFonts w:eastAsia="宋体"/>
        </w:rPr>
        <w:t xml:space="preserve">rspective, obviously, the </w:t>
      </w:r>
      <w:r w:rsidRPr="00BA7054">
        <w:rPr>
          <w:rFonts w:eastAsia="宋体"/>
          <w:i/>
        </w:rPr>
        <w:t>powerClassNRPart-r16</w:t>
      </w:r>
      <w:r w:rsidRPr="00BA7054">
        <w:rPr>
          <w:rFonts w:eastAsia="宋体"/>
        </w:rPr>
        <w:t xml:space="preserve"> can be replaced by the newly added </w:t>
      </w:r>
      <w:r w:rsidRPr="00BA7054">
        <w:rPr>
          <w:rFonts w:eastAsia="宋体"/>
          <w:i/>
        </w:rPr>
        <w:t>ue-PowerClassPerBandPerBC-r17</w:t>
      </w:r>
      <w:r w:rsidRPr="00BA7054">
        <w:rPr>
          <w:rFonts w:eastAsia="宋体"/>
          <w:i/>
        </w:rPr>
        <w:t>.</w:t>
      </w:r>
      <w:r w:rsidRPr="00BA7054">
        <w:rPr>
          <w:rFonts w:eastAsia="宋体"/>
        </w:rPr>
        <w:t xml:space="preserve"> However, considering the </w:t>
      </w:r>
      <w:r w:rsidRPr="00BA7054">
        <w:rPr>
          <w:rFonts w:eastAsia="宋体"/>
        </w:rPr>
        <w:t>inter-operability</w:t>
      </w:r>
      <w:r w:rsidRPr="00BA7054">
        <w:rPr>
          <w:rFonts w:eastAsia="宋体"/>
        </w:rPr>
        <w:t xml:space="preserve">, </w:t>
      </w:r>
      <w:r w:rsidRPr="00BA7054">
        <w:rPr>
          <w:rFonts w:eastAsia="宋体"/>
          <w:lang w:eastAsia="en-GB"/>
        </w:rPr>
        <w:t>for</w:t>
      </w:r>
      <w:r w:rsidRPr="00BA7054">
        <w:rPr>
          <w:rFonts w:eastAsia="宋体"/>
        </w:rPr>
        <w:t xml:space="preserve"> MR-DC BCs containing only single CC or intra-band CA in NR side, the UE shall keep the </w:t>
      </w:r>
      <w:r w:rsidRPr="00BA7054">
        <w:rPr>
          <w:rFonts w:eastAsia="宋体"/>
          <w:i/>
        </w:rPr>
        <w:t xml:space="preserve">powerClassNRPart-r16 </w:t>
      </w:r>
      <w:r w:rsidRPr="00BA7054">
        <w:rPr>
          <w:rFonts w:eastAsia="宋体"/>
        </w:rPr>
        <w:t xml:space="preserve">as it is, meanwhile set the </w:t>
      </w:r>
      <w:r w:rsidRPr="00BA7054">
        <w:rPr>
          <w:rFonts w:eastAsia="宋体"/>
          <w:i/>
        </w:rPr>
        <w:t>ue-PowerClassPerBandPerBC-r17</w:t>
      </w:r>
      <w:r w:rsidRPr="00BA7054">
        <w:rPr>
          <w:rFonts w:eastAsia="宋体"/>
          <w:i/>
        </w:rPr>
        <w:t xml:space="preserve"> </w:t>
      </w:r>
      <w:r w:rsidRPr="00BA7054">
        <w:rPr>
          <w:rFonts w:eastAsia="宋体"/>
        </w:rPr>
        <w:t>to be aligned with the powerClassNRPart-r16.</w:t>
      </w:r>
    </w:p>
    <w:p w:rsidR="00DF01D2" w:rsidRPr="00BA7054" w:rsidRDefault="0076612E">
      <w:pPr>
        <w:rPr>
          <w:rFonts w:eastAsia="宋体"/>
          <w:b/>
          <w:bCs/>
        </w:rPr>
      </w:pPr>
      <w:r w:rsidRPr="00BA7054">
        <w:rPr>
          <w:rFonts w:eastAsia="宋体"/>
          <w:b/>
          <w:bCs/>
        </w:rPr>
        <w:t>Proposal 1: F</w:t>
      </w:r>
      <w:r w:rsidRPr="00BA7054">
        <w:rPr>
          <w:rFonts w:eastAsia="宋体"/>
          <w:b/>
          <w:bCs/>
          <w:lang w:eastAsia="en-GB"/>
        </w:rPr>
        <w:t>or</w:t>
      </w:r>
      <w:r w:rsidRPr="00BA7054">
        <w:rPr>
          <w:rFonts w:eastAsia="宋体"/>
          <w:b/>
          <w:bCs/>
        </w:rPr>
        <w:t xml:space="preserve"> MR-DC BCs containing only si</w:t>
      </w:r>
      <w:r w:rsidRPr="00BA7054">
        <w:rPr>
          <w:rFonts w:eastAsia="宋体"/>
          <w:b/>
          <w:bCs/>
        </w:rPr>
        <w:t xml:space="preserve">ngle CC or intra-band CA in NR side, </w:t>
      </w:r>
      <w:r w:rsidRPr="00BA7054">
        <w:rPr>
          <w:rStyle w:val="af6"/>
          <w:rFonts w:eastAsia="宋体"/>
          <w:color w:val="000000"/>
          <w:szCs w:val="21"/>
        </w:rPr>
        <w:t>the</w:t>
      </w:r>
      <w:r w:rsidRPr="00BA7054">
        <w:rPr>
          <w:rStyle w:val="af6"/>
          <w:rFonts w:eastAsia="宋体"/>
          <w:i/>
          <w:iCs/>
          <w:color w:val="000000"/>
          <w:szCs w:val="21"/>
        </w:rPr>
        <w:t> </w:t>
      </w:r>
      <w:r w:rsidRPr="00BA7054">
        <w:rPr>
          <w:rStyle w:val="af6"/>
          <w:rFonts w:eastAsia="sans-serif"/>
          <w:i/>
          <w:iCs/>
          <w:color w:val="000000"/>
          <w:szCs w:val="21"/>
        </w:rPr>
        <w:t>ue-PowerClassPerBandPerBC-r17</w:t>
      </w:r>
      <w:r w:rsidRPr="00BA7054">
        <w:rPr>
          <w:rStyle w:val="af6"/>
          <w:rFonts w:eastAsia="宋体"/>
          <w:color w:val="000000"/>
          <w:szCs w:val="21"/>
        </w:rPr>
        <w:t xml:space="preserve">shall be aligned </w:t>
      </w:r>
      <w:r w:rsidRPr="00BA7054">
        <w:rPr>
          <w:rStyle w:val="af6"/>
          <w:rFonts w:eastAsia="宋体"/>
          <w:color w:val="000000"/>
          <w:szCs w:val="21"/>
        </w:rPr>
        <w:t xml:space="preserve">to </w:t>
      </w:r>
      <w:r w:rsidRPr="00BA7054">
        <w:rPr>
          <w:rStyle w:val="af6"/>
          <w:rFonts w:eastAsia="宋体"/>
          <w:color w:val="000000"/>
          <w:szCs w:val="21"/>
        </w:rPr>
        <w:t xml:space="preserve">the corresponding </w:t>
      </w:r>
      <w:r w:rsidRPr="00BA7054">
        <w:rPr>
          <w:rStyle w:val="af6"/>
          <w:rFonts w:eastAsia="宋体"/>
          <w:i/>
          <w:iCs/>
          <w:color w:val="000000"/>
          <w:szCs w:val="21"/>
        </w:rPr>
        <w:t>powerClassNRPart-r16</w:t>
      </w:r>
      <w:r w:rsidRPr="00BA7054">
        <w:rPr>
          <w:rStyle w:val="af6"/>
          <w:rFonts w:eastAsia="宋体"/>
          <w:color w:val="000000"/>
          <w:szCs w:val="21"/>
        </w:rPr>
        <w:t>.</w:t>
      </w:r>
    </w:p>
    <w:p w:rsidR="00DF01D2" w:rsidRPr="00BA7054" w:rsidRDefault="0076612E">
      <w:pPr>
        <w:pStyle w:val="TAL"/>
        <w:rPr>
          <w:rFonts w:ascii="Times New Roman" w:hAnsi="Times New Roman" w:cs="Times New Roman"/>
          <w:b/>
          <w:bCs/>
          <w:i/>
          <w:iCs/>
          <w:sz w:val="21"/>
          <w:szCs w:val="21"/>
          <w:u w:val="single"/>
        </w:rPr>
      </w:pPr>
      <w:r w:rsidRPr="00BA7054">
        <w:rPr>
          <w:rFonts w:ascii="Times New Roman" w:eastAsia="宋体" w:hAnsi="Times New Roman" w:cs="Times New Roman"/>
          <w:b/>
          <w:bCs/>
          <w:i/>
          <w:iCs/>
          <w:sz w:val="21"/>
          <w:szCs w:val="21"/>
          <w:u w:val="single"/>
          <w:lang w:val="en-US"/>
        </w:rPr>
        <w:lastRenderedPageBreak/>
        <w:t xml:space="preserve">Issue </w:t>
      </w:r>
      <w:r w:rsidRPr="00BA7054">
        <w:rPr>
          <w:rFonts w:ascii="Times New Roman" w:eastAsia="宋体" w:hAnsi="Times New Roman" w:cs="Times New Roman"/>
          <w:b/>
          <w:bCs/>
          <w:i/>
          <w:iCs/>
          <w:sz w:val="21"/>
          <w:szCs w:val="21"/>
          <w:u w:val="single"/>
          <w:lang w:val="en-US"/>
        </w:rPr>
        <w:t>2</w:t>
      </w:r>
      <w:r w:rsidRPr="00BA7054">
        <w:rPr>
          <w:rFonts w:ascii="Times New Roman" w:eastAsia="宋体" w:hAnsi="Times New Roman" w:cs="Times New Roman"/>
          <w:b/>
          <w:bCs/>
          <w:i/>
          <w:iCs/>
          <w:sz w:val="21"/>
          <w:szCs w:val="21"/>
          <w:u w:val="single"/>
          <w:lang w:val="en-US"/>
        </w:rPr>
        <w:t xml:space="preserve">:  </w:t>
      </w:r>
      <w:r w:rsidRPr="00BA7054">
        <w:rPr>
          <w:rStyle w:val="afa"/>
          <w:rFonts w:ascii="Times New Roman" w:hAnsi="Times New Roman" w:cs="Times New Roman"/>
          <w:b/>
          <w:bCs/>
          <w:color w:val="000000"/>
          <w:sz w:val="21"/>
          <w:szCs w:val="21"/>
          <w:u w:val="single"/>
        </w:rPr>
        <w:t>ue-PowerClassPerBandPerB</w:t>
      </w:r>
      <w:r w:rsidRPr="00BA7054">
        <w:rPr>
          <w:rStyle w:val="afa"/>
          <w:rFonts w:ascii="Times New Roman" w:eastAsia="宋体" w:hAnsi="Times New Roman" w:cs="Times New Roman"/>
          <w:b/>
          <w:bCs/>
          <w:color w:val="000000"/>
          <w:sz w:val="21"/>
          <w:szCs w:val="21"/>
          <w:u w:val="single"/>
        </w:rPr>
        <w:t>C-r17</w:t>
      </w:r>
      <w:r w:rsidRPr="00BA7054">
        <w:rPr>
          <w:rStyle w:val="afa"/>
          <w:rFonts w:ascii="Times New Roman" w:eastAsia="宋体" w:hAnsi="Times New Roman" w:cs="Times New Roman"/>
          <w:b/>
          <w:bCs/>
          <w:color w:val="000000"/>
          <w:sz w:val="21"/>
          <w:szCs w:val="21"/>
          <w:u w:val="single"/>
          <w:lang w:val="en-US"/>
        </w:rPr>
        <w:t xml:space="preserve"> and the </w:t>
      </w:r>
      <w:r w:rsidRPr="00BA7054">
        <w:rPr>
          <w:rStyle w:val="afa"/>
          <w:rFonts w:ascii="Times New Roman" w:eastAsia="宋体" w:hAnsi="Times New Roman" w:cs="Times New Roman"/>
          <w:b/>
          <w:bCs/>
          <w:color w:val="000000"/>
          <w:sz w:val="21"/>
          <w:szCs w:val="21"/>
          <w:u w:val="single"/>
          <w:lang w:val="en-US"/>
        </w:rPr>
        <w:t xml:space="preserve">per BC </w:t>
      </w:r>
      <w:r w:rsidRPr="00BA7054">
        <w:rPr>
          <w:rStyle w:val="afa"/>
          <w:rFonts w:ascii="Times New Roman" w:eastAsia="宋体" w:hAnsi="Times New Roman" w:cs="Times New Roman"/>
          <w:b/>
          <w:bCs/>
          <w:color w:val="000000"/>
          <w:sz w:val="21"/>
          <w:szCs w:val="21"/>
          <w:u w:val="single"/>
        </w:rPr>
        <w:t>powerClass</w:t>
      </w:r>
    </w:p>
    <w:p w:rsidR="00DF01D2" w:rsidRPr="00BA7054" w:rsidRDefault="0076612E">
      <w:pPr>
        <w:rPr>
          <w:rFonts w:eastAsia="宋体"/>
        </w:rPr>
      </w:pPr>
      <w:r w:rsidRPr="00BA7054">
        <w:rPr>
          <w:rFonts w:eastAsia="宋体"/>
        </w:rPr>
        <w:t xml:space="preserve">For the legacy per BC power class, there is a clarification on the relationship with </w:t>
      </w:r>
      <w:r w:rsidRPr="00BA7054">
        <w:rPr>
          <w:rFonts w:eastAsia="宋体"/>
          <w:i/>
          <w:iCs/>
        </w:rPr>
        <w:t>ue-PowerClass</w:t>
      </w:r>
      <w:r w:rsidRPr="00BA7054">
        <w:rPr>
          <w:rFonts w:eastAsia="宋体"/>
        </w:rPr>
        <w:t xml:space="preserve"> as below:</w:t>
      </w:r>
    </w:p>
    <w:tbl>
      <w:tblPr>
        <w:tblW w:w="993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149"/>
        <w:gridCol w:w="783"/>
      </w:tblGrid>
      <w:tr w:rsidR="00DF01D2" w:rsidRPr="00BA7054">
        <w:trPr>
          <w:cantSplit/>
          <w:tblHeader/>
        </w:trPr>
        <w:tc>
          <w:tcPr>
            <w:tcW w:w="9149" w:type="dxa"/>
          </w:tcPr>
          <w:p w:rsidR="00DF01D2" w:rsidRPr="00BA7054" w:rsidRDefault="0076612E">
            <w:pPr>
              <w:pStyle w:val="TAL"/>
              <w:rPr>
                <w:rFonts w:ascii="Times New Roman" w:hAnsi="Times New Roman" w:cs="Times New Roman"/>
                <w:b/>
                <w:i/>
              </w:rPr>
            </w:pPr>
            <w:r w:rsidRPr="00BA7054">
              <w:rPr>
                <w:rFonts w:ascii="Times New Roman" w:hAnsi="Times New Roman" w:cs="Times New Roman"/>
                <w:b/>
                <w:i/>
              </w:rPr>
              <w:t>powerClass, powerClass-v1610</w:t>
            </w:r>
          </w:p>
          <w:p w:rsidR="00DF01D2" w:rsidRPr="00BA7054" w:rsidRDefault="0076612E">
            <w:pPr>
              <w:pStyle w:val="TAL"/>
              <w:rPr>
                <w:rFonts w:ascii="Times New Roman" w:hAnsi="Times New Roman" w:cs="Times New Roman"/>
              </w:rPr>
            </w:pPr>
            <w:r w:rsidRPr="00BA7054">
              <w:rPr>
                <w:rFonts w:ascii="Times New Roman" w:hAnsi="Times New Roman" w:cs="Times New Roman"/>
              </w:rPr>
              <w:t>Indicates power class the UE supports when operating according to this band combination. If the field is absent, the U</w:t>
            </w:r>
            <w:r w:rsidRPr="00BA7054">
              <w:rPr>
                <w:rFonts w:ascii="Times New Roman" w:hAnsi="Times New Roman" w:cs="Times New Roman"/>
              </w:rPr>
              <w:t xml:space="preserve">E supports the default power class. </w:t>
            </w:r>
            <w:r w:rsidRPr="00BA7054">
              <w:rPr>
                <w:rFonts w:ascii="Times New Roman" w:hAnsi="Times New Roman" w:cs="Times New Roman"/>
                <w:color w:val="FF0000"/>
              </w:rPr>
              <w:t>If this power class is higher than the power class that the UE supports on the individual bands of this band combination (</w:t>
            </w:r>
            <w:r w:rsidRPr="00BA7054">
              <w:rPr>
                <w:rFonts w:ascii="Times New Roman" w:hAnsi="Times New Roman" w:cs="Times New Roman"/>
                <w:i/>
                <w:color w:val="FF0000"/>
              </w:rPr>
              <w:t>ue-PowerClass</w:t>
            </w:r>
            <w:r w:rsidRPr="00BA7054">
              <w:rPr>
                <w:rFonts w:ascii="Times New Roman" w:hAnsi="Times New Roman" w:cs="Times New Roman"/>
                <w:color w:val="FF0000"/>
              </w:rPr>
              <w:t xml:space="preserve"> in </w:t>
            </w:r>
            <w:r w:rsidRPr="00BA7054">
              <w:rPr>
                <w:rFonts w:ascii="Times New Roman" w:hAnsi="Times New Roman" w:cs="Times New Roman"/>
                <w:i/>
                <w:color w:val="FF0000"/>
              </w:rPr>
              <w:t>BandNR</w:t>
            </w:r>
            <w:r w:rsidRPr="00BA7054">
              <w:rPr>
                <w:rFonts w:ascii="Times New Roman" w:hAnsi="Times New Roman" w:cs="Times New Roman"/>
                <w:color w:val="FF0000"/>
              </w:rPr>
              <w:t xml:space="preserve">), the latter determines maximum TX power available in each band. </w:t>
            </w:r>
            <w:r w:rsidRPr="00BA7054">
              <w:rPr>
                <w:rFonts w:ascii="Times New Roman" w:hAnsi="Times New Roman" w:cs="Times New Roman"/>
              </w:rPr>
              <w:t>The UE se</w:t>
            </w:r>
            <w:r w:rsidRPr="00BA7054">
              <w:rPr>
                <w:rFonts w:ascii="Times New Roman" w:hAnsi="Times New Roman" w:cs="Times New Roman"/>
              </w:rPr>
              <w:t xml:space="preserve">ts the power class parameter only in band combinations that are applicable as specified in </w:t>
            </w:r>
            <w:r w:rsidRPr="00BA7054">
              <w:rPr>
                <w:rFonts w:ascii="Times New Roman" w:hAnsi="Times New Roman" w:cs="Times New Roman"/>
                <w:bCs/>
                <w:iCs/>
              </w:rPr>
              <w:t xml:space="preserve">TS 38.101-1 [2] and </w:t>
            </w:r>
            <w:r w:rsidRPr="00BA7054">
              <w:rPr>
                <w:rFonts w:ascii="Times New Roman" w:hAnsi="Times New Roman" w:cs="Times New Roman"/>
              </w:rPr>
              <w:t>TS 38.101-3 [4].</w:t>
            </w:r>
            <w:r w:rsidRPr="00BA7054">
              <w:rPr>
                <w:rFonts w:ascii="Times New Roman" w:hAnsi="Times New Roman" w:cs="Times New Roman"/>
                <w:bCs/>
                <w:iCs/>
              </w:rPr>
              <w:t xml:space="preserve"> Thi</w:t>
            </w:r>
            <w:r w:rsidRPr="00BA7054">
              <w:rPr>
                <w:rFonts w:ascii="Times New Roman" w:hAnsi="Times New Roman" w:cs="Times New Roman"/>
                <w:bCs/>
                <w:iCs/>
              </w:rPr>
              <w:t>s capability is not applicable to IAB-MT.</w:t>
            </w:r>
          </w:p>
        </w:tc>
        <w:tc>
          <w:tcPr>
            <w:tcW w:w="783" w:type="dxa"/>
          </w:tcPr>
          <w:p w:rsidR="00DF01D2" w:rsidRPr="00BA7054" w:rsidRDefault="0076612E">
            <w:pPr>
              <w:pStyle w:val="TAL"/>
              <w:jc w:val="center"/>
              <w:rPr>
                <w:rFonts w:ascii="Times New Roman" w:hAnsi="Times New Roman" w:cs="Times New Roman"/>
              </w:rPr>
            </w:pPr>
            <w:r w:rsidRPr="00BA7054">
              <w:rPr>
                <w:rFonts w:ascii="Times New Roman" w:hAnsi="Times New Roman" w:cs="Times New Roman"/>
              </w:rPr>
              <w:t>BC</w:t>
            </w:r>
          </w:p>
        </w:tc>
      </w:tr>
    </w:tbl>
    <w:p w:rsidR="00DF01D2" w:rsidRPr="00BA7054" w:rsidRDefault="0076612E">
      <w:pPr>
        <w:rPr>
          <w:rFonts w:eastAsia="宋体"/>
        </w:rPr>
      </w:pPr>
      <w:r w:rsidRPr="00BA7054">
        <w:rPr>
          <w:rFonts w:eastAsia="宋体"/>
        </w:rPr>
        <w:t xml:space="preserve">In the legacy description, for a dedicated band, the maximum Tx power would be </w:t>
      </w:r>
      <w:r w:rsidRPr="00BA7054">
        <w:rPr>
          <w:rFonts w:eastAsia="宋体"/>
        </w:rPr>
        <w:t xml:space="preserve">determined by </w:t>
      </w:r>
      <w:r w:rsidRPr="00BA7054">
        <w:rPr>
          <w:rFonts w:eastAsia="宋体"/>
        </w:rPr>
        <w:t>min {</w:t>
      </w:r>
      <w:r w:rsidRPr="00BA7054">
        <w:rPr>
          <w:rFonts w:eastAsia="宋体"/>
        </w:rPr>
        <w:t>ue-PowerClass</w:t>
      </w:r>
      <w:r w:rsidRPr="00BA7054">
        <w:rPr>
          <w:rFonts w:eastAsia="宋体"/>
        </w:rPr>
        <w:t>(-v1610/1700)</w:t>
      </w:r>
      <w:r w:rsidRPr="00BA7054">
        <w:rPr>
          <w:rFonts w:eastAsia="宋体"/>
        </w:rPr>
        <w:t>,</w:t>
      </w:r>
      <w:r w:rsidRPr="00BA7054">
        <w:rPr>
          <w:rFonts w:eastAsia="宋体"/>
        </w:rPr>
        <w:t xml:space="preserve"> powerClass(powerClass-v1610)}</w:t>
      </w:r>
      <w:r w:rsidRPr="00BA7054">
        <w:rPr>
          <w:rFonts w:eastAsia="宋体"/>
        </w:rPr>
        <w:t>. However, the legacy per band power class (</w:t>
      </w:r>
      <w:r w:rsidRPr="00BA7054">
        <w:rPr>
          <w:rFonts w:eastAsia="宋体"/>
        </w:rPr>
        <w:t>ue-PowerClass</w:t>
      </w:r>
      <w:r w:rsidRPr="00BA7054">
        <w:rPr>
          <w:rFonts w:eastAsia="宋体"/>
        </w:rPr>
        <w:t>&lt;</w:t>
      </w:r>
      <w:r w:rsidRPr="00BA7054">
        <w:rPr>
          <w:rFonts w:eastAsia="宋体"/>
        </w:rPr>
        <w:t>-v1610/1700</w:t>
      </w:r>
      <w:r w:rsidRPr="00BA7054">
        <w:rPr>
          <w:rFonts w:eastAsia="宋体"/>
        </w:rPr>
        <w:t>&gt;) can</w:t>
      </w:r>
      <w:r w:rsidRPr="00BA7054">
        <w:rPr>
          <w:rFonts w:eastAsia="宋体"/>
        </w:rPr>
        <w:t>’</w:t>
      </w:r>
      <w:r w:rsidRPr="00BA7054">
        <w:rPr>
          <w:rFonts w:eastAsia="宋体"/>
        </w:rPr>
        <w:t xml:space="preserve">t indicate the per band power class in different BCs, the </w:t>
      </w:r>
      <w:r w:rsidRPr="00BA7054">
        <w:rPr>
          <w:rFonts w:eastAsia="宋体"/>
          <w:i/>
          <w:iCs/>
        </w:rPr>
        <w:t>ue-PowerClassPerBandPerBC-r17</w:t>
      </w:r>
      <w:r w:rsidRPr="00BA7054">
        <w:rPr>
          <w:rFonts w:eastAsia="宋体"/>
        </w:rPr>
        <w:t xml:space="preserve"> was introduced to solve this issue. So </w:t>
      </w:r>
      <w:r w:rsidRPr="00BA7054">
        <w:rPr>
          <w:rFonts w:eastAsia="宋体"/>
        </w:rPr>
        <w:t xml:space="preserve">if </w:t>
      </w:r>
      <w:r w:rsidRPr="00BA7054">
        <w:rPr>
          <w:rFonts w:eastAsia="宋体"/>
          <w:i/>
          <w:iCs/>
        </w:rPr>
        <w:t xml:space="preserve">ue-PowerClassPerBandPerBC-r17 </w:t>
      </w:r>
      <w:r w:rsidRPr="00BA7054">
        <w:rPr>
          <w:rFonts w:eastAsia="宋体"/>
        </w:rPr>
        <w:t>is reported, the network shall also take it into consideration as below:</w:t>
      </w:r>
    </w:p>
    <w:tbl>
      <w:tblPr>
        <w:tblStyle w:val="af5"/>
        <w:tblW w:w="0" w:type="auto"/>
        <w:tblLook w:val="04A0" w:firstRow="1" w:lastRow="0" w:firstColumn="1" w:lastColumn="0" w:noHBand="0" w:noVBand="1"/>
      </w:tblPr>
      <w:tblGrid>
        <w:gridCol w:w="9771"/>
      </w:tblGrid>
      <w:tr w:rsidR="00DF01D2" w:rsidRPr="00BA7054">
        <w:trPr>
          <w:trHeight w:val="2452"/>
        </w:trPr>
        <w:tc>
          <w:tcPr>
            <w:tcW w:w="9997" w:type="dxa"/>
          </w:tcPr>
          <w:p w:rsidR="00DF01D2" w:rsidRPr="00BA7054" w:rsidRDefault="0076612E">
            <w:pPr>
              <w:pStyle w:val="TAL"/>
              <w:numPr>
                <w:ilvl w:val="0"/>
                <w:numId w:val="5"/>
              </w:numPr>
              <w:rPr>
                <w:rFonts w:ascii="Times New Roman" w:eastAsia="宋体" w:hAnsi="Times New Roman" w:cs="Times New Roman"/>
                <w:i/>
                <w:iCs/>
                <w:color w:val="7030A0"/>
                <w:sz w:val="21"/>
                <w:szCs w:val="21"/>
                <w:lang w:val="en-US"/>
              </w:rPr>
            </w:pPr>
            <w:r w:rsidRPr="00BA7054">
              <w:rPr>
                <w:rFonts w:ascii="Times New Roman" w:eastAsia="宋体" w:hAnsi="Times New Roman" w:cs="Times New Roman"/>
                <w:i/>
                <w:iCs/>
                <w:color w:val="7030A0"/>
                <w:sz w:val="21"/>
                <w:szCs w:val="21"/>
                <w:lang w:val="en-US"/>
              </w:rPr>
              <w:t>If</w:t>
            </w:r>
            <w:r w:rsidRPr="00BA7054">
              <w:rPr>
                <w:rFonts w:ascii="Times New Roman" w:eastAsia="宋体" w:hAnsi="Times New Roman" w:cs="Times New Roman"/>
                <w:i/>
                <w:iCs/>
                <w:color w:val="7030A0"/>
                <w:sz w:val="21"/>
                <w:szCs w:val="21"/>
                <w:lang w:val="en-US"/>
              </w:rPr>
              <w:t xml:space="preserve"> the</w:t>
            </w:r>
            <w:r w:rsidRPr="00BA7054">
              <w:rPr>
                <w:rFonts w:ascii="Times New Roman" w:eastAsia="宋体" w:hAnsi="Times New Roman" w:cs="Times New Roman"/>
                <w:i/>
                <w:iCs/>
                <w:color w:val="7030A0"/>
                <w:sz w:val="21"/>
                <w:szCs w:val="21"/>
                <w:lang w:val="en-US"/>
              </w:rPr>
              <w:t xml:space="preserve"> ue-PowerClassPerBandPerBC-r17</w:t>
            </w:r>
            <w:r w:rsidRPr="00BA7054">
              <w:rPr>
                <w:rFonts w:ascii="Times New Roman" w:eastAsia="宋体" w:hAnsi="Times New Roman" w:cs="Times New Roman"/>
                <w:i/>
                <w:iCs/>
                <w:color w:val="7030A0"/>
                <w:sz w:val="21"/>
                <w:szCs w:val="21"/>
                <w:lang w:val="en-US"/>
              </w:rPr>
              <w:t xml:space="preserve"> is present  (newly added)</w:t>
            </w:r>
          </w:p>
          <w:p w:rsidR="00DF01D2" w:rsidRPr="00BA7054" w:rsidRDefault="0076612E">
            <w:pPr>
              <w:pStyle w:val="TAL"/>
              <w:ind w:left="840" w:hangingChars="400" w:hanging="840"/>
              <w:rPr>
                <w:rFonts w:ascii="Times New Roman" w:eastAsia="宋体" w:hAnsi="Times New Roman" w:cs="Times New Roman"/>
                <w:i/>
                <w:iCs/>
                <w:color w:val="7030A0"/>
                <w:sz w:val="21"/>
                <w:szCs w:val="21"/>
                <w:lang w:val="en-US"/>
              </w:rPr>
            </w:pPr>
            <w:r w:rsidRPr="00BA7054">
              <w:rPr>
                <w:rFonts w:ascii="Times New Roman" w:eastAsia="宋体" w:hAnsi="Times New Roman" w:cs="Times New Roman"/>
                <w:i/>
                <w:iCs/>
                <w:color w:val="7030A0"/>
                <w:sz w:val="21"/>
                <w:szCs w:val="21"/>
                <w:lang w:val="en-US"/>
              </w:rPr>
              <w:t xml:space="preserve">    2&gt;</w:t>
            </w:r>
            <w:r w:rsidRPr="00BA7054">
              <w:rPr>
                <w:rFonts w:ascii="Times New Roman" w:eastAsia="宋体" w:hAnsi="Times New Roman" w:cs="Times New Roman"/>
                <w:i/>
                <w:iCs/>
                <w:color w:val="7030A0"/>
                <w:sz w:val="21"/>
                <w:szCs w:val="21"/>
                <w:lang w:val="en-US"/>
              </w:rPr>
              <w:t xml:space="preserve"> maximum TX power</w:t>
            </w:r>
            <w:r w:rsidRPr="00BA7054">
              <w:rPr>
                <w:rFonts w:ascii="Times New Roman" w:eastAsia="宋体" w:hAnsi="Times New Roman" w:cs="Times New Roman"/>
                <w:i/>
                <w:iCs/>
                <w:color w:val="7030A0"/>
                <w:sz w:val="21"/>
                <w:szCs w:val="21"/>
                <w:lang w:val="en-US"/>
              </w:rPr>
              <w:t xml:space="preserve"> </w:t>
            </w:r>
            <w:r w:rsidRPr="00BA7054">
              <w:rPr>
                <w:rFonts w:ascii="Times New Roman" w:eastAsia="宋体" w:hAnsi="Times New Roman" w:cs="Times New Roman"/>
                <w:i/>
                <w:iCs/>
                <w:color w:val="7030A0"/>
                <w:sz w:val="21"/>
                <w:szCs w:val="21"/>
                <w:lang w:val="en-US"/>
              </w:rPr>
              <w:t xml:space="preserve">available in </w:t>
            </w:r>
            <w:r w:rsidRPr="00BA7054">
              <w:rPr>
                <w:rFonts w:ascii="Times New Roman" w:eastAsia="宋体" w:hAnsi="Times New Roman" w:cs="Times New Roman"/>
                <w:i/>
                <w:iCs/>
                <w:color w:val="7030A0"/>
                <w:sz w:val="21"/>
                <w:szCs w:val="21"/>
                <w:lang w:val="en-US"/>
              </w:rPr>
              <w:t xml:space="preserve">the corresponding </w:t>
            </w:r>
            <w:r w:rsidRPr="00BA7054">
              <w:rPr>
                <w:rFonts w:ascii="Times New Roman" w:eastAsia="宋体" w:hAnsi="Times New Roman" w:cs="Times New Roman"/>
                <w:i/>
                <w:iCs/>
                <w:color w:val="7030A0"/>
                <w:sz w:val="21"/>
                <w:szCs w:val="21"/>
                <w:lang w:val="en-US"/>
              </w:rPr>
              <w:t>ban</w:t>
            </w:r>
            <w:r w:rsidRPr="00BA7054">
              <w:rPr>
                <w:rFonts w:ascii="Times New Roman" w:eastAsia="宋体" w:hAnsi="Times New Roman" w:cs="Times New Roman"/>
                <w:i/>
                <w:iCs/>
                <w:color w:val="7030A0"/>
                <w:sz w:val="21"/>
                <w:szCs w:val="21"/>
                <w:lang w:val="en-US"/>
              </w:rPr>
              <w:t xml:space="preserve">d =  </w:t>
            </w:r>
            <w:r w:rsidRPr="00BA7054">
              <w:rPr>
                <w:rFonts w:ascii="Times New Roman" w:eastAsia="Times New Roman" w:hAnsi="Times New Roman" w:cs="Times New Roman"/>
                <w:i/>
                <w:color w:val="7030A0"/>
                <w:sz w:val="21"/>
                <w:szCs w:val="21"/>
                <w:lang w:val="en-US"/>
              </w:rPr>
              <w:t>min {</w:t>
            </w:r>
            <w:r w:rsidRPr="00BA7054">
              <w:rPr>
                <w:rFonts w:ascii="Times New Roman" w:eastAsia="Times New Roman" w:hAnsi="Times New Roman" w:cs="Times New Roman"/>
                <w:i/>
                <w:color w:val="7030A0"/>
                <w:sz w:val="21"/>
                <w:szCs w:val="21"/>
                <w:lang w:val="en-US"/>
              </w:rPr>
              <w:t>PowerClassPerBandPerBC-r17</w:t>
            </w:r>
            <w:r w:rsidRPr="00BA7054">
              <w:rPr>
                <w:rFonts w:ascii="Times New Roman" w:eastAsia="Times New Roman" w:hAnsi="Times New Roman" w:cs="Times New Roman"/>
                <w:i/>
                <w:color w:val="7030A0"/>
                <w:sz w:val="21"/>
                <w:szCs w:val="21"/>
                <w:lang w:val="en-US"/>
              </w:rPr>
              <w:t>, powerClass(powerClass-v1610</w:t>
            </w:r>
            <w:r w:rsidRPr="00BA7054">
              <w:rPr>
                <w:rFonts w:ascii="Times New Roman" w:eastAsia="宋体" w:hAnsi="Times New Roman" w:cs="Times New Roman"/>
                <w:i/>
                <w:color w:val="7030A0"/>
                <w:sz w:val="21"/>
                <w:szCs w:val="21"/>
                <w:lang w:val="en-US"/>
              </w:rPr>
              <w:t>)</w:t>
            </w:r>
            <w:r w:rsidRPr="00BA7054">
              <w:rPr>
                <w:rFonts w:ascii="Times New Roman" w:eastAsia="Times New Roman" w:hAnsi="Times New Roman" w:cs="Times New Roman"/>
                <w:i/>
                <w:color w:val="7030A0"/>
                <w:sz w:val="21"/>
                <w:szCs w:val="21"/>
                <w:lang w:val="en-US"/>
              </w:rPr>
              <w:t>}</w:t>
            </w:r>
            <w:r w:rsidRPr="00BA7054">
              <w:rPr>
                <w:rFonts w:ascii="Times New Roman" w:eastAsia="宋体" w:hAnsi="Times New Roman" w:cs="Times New Roman"/>
                <w:i/>
                <w:color w:val="7030A0"/>
                <w:sz w:val="21"/>
                <w:szCs w:val="21"/>
                <w:lang w:val="en-US"/>
              </w:rPr>
              <w:t xml:space="preserve"> </w:t>
            </w:r>
          </w:p>
          <w:p w:rsidR="00DF01D2" w:rsidRPr="00BA7054" w:rsidRDefault="0076612E">
            <w:pPr>
              <w:pStyle w:val="TAL"/>
              <w:rPr>
                <w:rFonts w:ascii="Times New Roman" w:eastAsia="宋体" w:hAnsi="Times New Roman" w:cs="Times New Roman"/>
                <w:i/>
                <w:iCs/>
                <w:color w:val="7030A0"/>
                <w:sz w:val="21"/>
                <w:szCs w:val="21"/>
                <w:lang w:val="en-US"/>
              </w:rPr>
            </w:pPr>
            <w:r w:rsidRPr="00BA7054">
              <w:rPr>
                <w:rFonts w:ascii="Times New Roman" w:eastAsia="宋体" w:hAnsi="Times New Roman" w:cs="Times New Roman"/>
                <w:i/>
                <w:iCs/>
                <w:color w:val="7030A0"/>
                <w:sz w:val="21"/>
                <w:szCs w:val="21"/>
                <w:lang w:val="en-US"/>
              </w:rPr>
              <w:t xml:space="preserve">1&gt;else </w:t>
            </w:r>
          </w:p>
          <w:p w:rsidR="00DF01D2" w:rsidRPr="00BA7054" w:rsidRDefault="0076612E">
            <w:pPr>
              <w:pStyle w:val="TAL"/>
              <w:ind w:leftChars="170" w:left="567" w:hangingChars="100" w:hanging="210"/>
              <w:rPr>
                <w:rFonts w:ascii="Times New Roman" w:eastAsia="宋体" w:hAnsi="Times New Roman" w:cs="Times New Roman"/>
                <w:i/>
                <w:iCs/>
                <w:color w:val="00B050"/>
                <w:sz w:val="21"/>
                <w:szCs w:val="21"/>
                <w:lang w:val="en-US"/>
              </w:rPr>
            </w:pPr>
            <w:r w:rsidRPr="00BA7054">
              <w:rPr>
                <w:rFonts w:ascii="Times New Roman" w:eastAsia="宋体" w:hAnsi="Times New Roman" w:cs="Times New Roman"/>
                <w:i/>
                <w:iCs/>
                <w:color w:val="00B050"/>
                <w:sz w:val="21"/>
                <w:szCs w:val="21"/>
                <w:lang w:val="en-US"/>
              </w:rPr>
              <w:t>2&gt;</w:t>
            </w:r>
            <w:r w:rsidRPr="00BA7054">
              <w:rPr>
                <w:rFonts w:ascii="Times New Roman" w:eastAsia="宋体" w:hAnsi="Times New Roman" w:cs="Times New Roman"/>
                <w:i/>
                <w:iCs/>
                <w:color w:val="00B050"/>
                <w:sz w:val="21"/>
                <w:szCs w:val="21"/>
                <w:lang w:val="en-US"/>
              </w:rPr>
              <w:t>maximum TX power</w:t>
            </w:r>
            <w:r w:rsidRPr="00BA7054">
              <w:rPr>
                <w:rFonts w:ascii="Times New Roman" w:eastAsia="宋体" w:hAnsi="Times New Roman" w:cs="Times New Roman"/>
                <w:i/>
                <w:iCs/>
                <w:color w:val="00B050"/>
                <w:sz w:val="21"/>
                <w:szCs w:val="21"/>
                <w:lang w:val="en-US"/>
              </w:rPr>
              <w:t xml:space="preserve"> </w:t>
            </w:r>
            <w:r w:rsidRPr="00BA7054">
              <w:rPr>
                <w:rFonts w:ascii="Times New Roman" w:eastAsia="宋体" w:hAnsi="Times New Roman" w:cs="Times New Roman"/>
                <w:i/>
                <w:iCs/>
                <w:color w:val="00B050"/>
                <w:sz w:val="21"/>
                <w:szCs w:val="21"/>
                <w:lang w:val="en-US"/>
              </w:rPr>
              <w:t xml:space="preserve">available in </w:t>
            </w:r>
            <w:r w:rsidRPr="00BA7054">
              <w:rPr>
                <w:rFonts w:ascii="Times New Roman" w:eastAsia="宋体" w:hAnsi="Times New Roman" w:cs="Times New Roman"/>
                <w:i/>
                <w:iCs/>
                <w:color w:val="00B050"/>
                <w:sz w:val="21"/>
                <w:szCs w:val="21"/>
                <w:lang w:val="en-US"/>
              </w:rPr>
              <w:t xml:space="preserve">the corresponding </w:t>
            </w:r>
            <w:r w:rsidRPr="00BA7054">
              <w:rPr>
                <w:rFonts w:ascii="Times New Roman" w:eastAsia="宋体" w:hAnsi="Times New Roman" w:cs="Times New Roman"/>
                <w:i/>
                <w:iCs/>
                <w:color w:val="00B050"/>
                <w:sz w:val="21"/>
                <w:szCs w:val="21"/>
                <w:lang w:val="en-US"/>
              </w:rPr>
              <w:t>ban</w:t>
            </w:r>
            <w:r w:rsidRPr="00BA7054">
              <w:rPr>
                <w:rFonts w:ascii="Times New Roman" w:eastAsia="宋体" w:hAnsi="Times New Roman" w:cs="Times New Roman"/>
                <w:i/>
                <w:iCs/>
                <w:color w:val="00B050"/>
                <w:sz w:val="21"/>
                <w:szCs w:val="21"/>
                <w:lang w:val="en-US"/>
              </w:rPr>
              <w:t xml:space="preserve">d = </w:t>
            </w:r>
            <w:r w:rsidRPr="00BA7054">
              <w:rPr>
                <w:rFonts w:ascii="Times New Roman" w:eastAsia="Times New Roman" w:hAnsi="Times New Roman" w:cs="Times New Roman"/>
                <w:i/>
                <w:color w:val="00B050"/>
                <w:sz w:val="21"/>
                <w:szCs w:val="21"/>
                <w:lang w:val="en-US"/>
              </w:rPr>
              <w:t xml:space="preserve"> min {</w:t>
            </w:r>
            <w:r w:rsidRPr="00BA7054">
              <w:rPr>
                <w:rFonts w:ascii="Times New Roman" w:eastAsia="Times New Roman" w:hAnsi="Times New Roman" w:cs="Times New Roman"/>
                <w:i/>
                <w:color w:val="00B050"/>
                <w:sz w:val="21"/>
                <w:szCs w:val="21"/>
                <w:lang w:val="en-US"/>
              </w:rPr>
              <w:t>ue-PowerClass</w:t>
            </w:r>
            <w:r w:rsidRPr="00BA7054">
              <w:rPr>
                <w:rFonts w:ascii="Times New Roman" w:eastAsia="Times New Roman" w:hAnsi="Times New Roman" w:cs="Times New Roman"/>
                <w:i/>
                <w:color w:val="00B050"/>
                <w:sz w:val="21"/>
                <w:szCs w:val="21"/>
                <w:lang w:val="en-US"/>
              </w:rPr>
              <w:t>(-v1610/1700) powerClass(powerClass-v1610)}</w:t>
            </w:r>
            <w:r w:rsidRPr="00BA7054">
              <w:rPr>
                <w:rFonts w:ascii="Times New Roman" w:eastAsia="宋体" w:hAnsi="Times New Roman" w:cs="Times New Roman"/>
                <w:i/>
                <w:color w:val="00B050"/>
                <w:sz w:val="21"/>
                <w:szCs w:val="21"/>
                <w:lang w:val="en-US"/>
              </w:rPr>
              <w:t xml:space="preserve"> (legacy)</w:t>
            </w:r>
          </w:p>
          <w:p w:rsidR="00DF01D2" w:rsidRPr="00BA7054" w:rsidRDefault="0076612E">
            <w:pPr>
              <w:pStyle w:val="TAL"/>
              <w:ind w:firstLineChars="200" w:firstLine="360"/>
              <w:jc w:val="center"/>
              <w:rPr>
                <w:rFonts w:ascii="Times New Roman" w:eastAsia="宋体" w:hAnsi="Times New Roman" w:cs="Times New Roman"/>
                <w:i/>
                <w:iCs/>
                <w:lang w:val="en-US"/>
              </w:rPr>
            </w:pPr>
            <w:r w:rsidRPr="00BA7054">
              <w:rPr>
                <w:rFonts w:ascii="Times New Roman" w:eastAsia="宋体" w:hAnsi="Times New Roman" w:cs="Times New Roman"/>
                <w:i/>
                <w:iCs/>
                <w:lang w:val="en-US"/>
              </w:rPr>
              <w:object w:dxaOrig="6703" w:dyaOrig="3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85pt;height:161.65pt" o:ole="">
                  <v:imagedata r:id="rId9" o:title=""/>
                  <o:lock v:ext="edit" aspectratio="f"/>
                </v:shape>
                <o:OLEObject Type="Embed" ProgID="Visio.Drawing.15" ShapeID="_x0000_i1025" DrawAspect="Content" ObjectID="_1726064462" r:id="rId10"/>
              </w:object>
            </w:r>
          </w:p>
        </w:tc>
      </w:tr>
    </w:tbl>
    <w:p w:rsidR="00DF01D2" w:rsidRPr="00BA7054" w:rsidRDefault="0076612E">
      <w:pPr>
        <w:rPr>
          <w:rFonts w:eastAsia="宋体"/>
          <w:b/>
          <w:bCs/>
        </w:rPr>
      </w:pPr>
      <w:r w:rsidRPr="00BA7054">
        <w:rPr>
          <w:rFonts w:eastAsia="宋体"/>
          <w:b/>
          <w:bCs/>
        </w:rPr>
        <w:t xml:space="preserve">Proposal 2: </w:t>
      </w:r>
      <w:r w:rsidRPr="00BA7054">
        <w:rPr>
          <w:rFonts w:eastAsia="宋体"/>
          <w:b/>
          <w:bCs/>
        </w:rPr>
        <w:t>If</w:t>
      </w:r>
      <w:r w:rsidRPr="00BA7054">
        <w:rPr>
          <w:rFonts w:eastAsia="宋体"/>
          <w:b/>
          <w:bCs/>
        </w:rPr>
        <w:t xml:space="preserve"> the</w:t>
      </w:r>
      <w:r w:rsidRPr="00BA7054">
        <w:rPr>
          <w:rFonts w:eastAsia="宋体"/>
          <w:b/>
          <w:bCs/>
        </w:rPr>
        <w:t xml:space="preserve"> ue-PowerClassPerBandPerBC-r17</w:t>
      </w:r>
      <w:r w:rsidRPr="00BA7054">
        <w:rPr>
          <w:rFonts w:eastAsia="宋体"/>
          <w:b/>
          <w:bCs/>
        </w:rPr>
        <w:t xml:space="preserve"> was reported, </w:t>
      </w:r>
      <w:r w:rsidRPr="00BA7054">
        <w:rPr>
          <w:rFonts w:eastAsia="宋体"/>
          <w:b/>
          <w:bCs/>
        </w:rPr>
        <w:t>the</w:t>
      </w:r>
      <w:r w:rsidRPr="00BA7054">
        <w:rPr>
          <w:rFonts w:eastAsia="宋体"/>
          <w:b/>
          <w:bCs/>
        </w:rPr>
        <w:t xml:space="preserve"> minimum value of </w:t>
      </w:r>
      <w:r w:rsidRPr="00BA7054">
        <w:rPr>
          <w:rFonts w:eastAsia="宋体"/>
          <w:b/>
          <w:bCs/>
        </w:rPr>
        <w:t>ue-PowerClassPerBandPerBC-r17</w:t>
      </w:r>
      <w:r w:rsidRPr="00BA7054">
        <w:rPr>
          <w:rFonts w:eastAsia="宋体"/>
          <w:b/>
          <w:bCs/>
        </w:rPr>
        <w:t xml:space="preserve"> and </w:t>
      </w:r>
      <w:r w:rsidRPr="00BA7054">
        <w:rPr>
          <w:rFonts w:eastAsia="宋体"/>
          <w:b/>
          <w:bCs/>
        </w:rPr>
        <w:t>powerClass(powerClass-v1610</w:t>
      </w:r>
      <w:r w:rsidRPr="00BA7054">
        <w:rPr>
          <w:rFonts w:eastAsia="宋体"/>
          <w:b/>
          <w:bCs/>
        </w:rPr>
        <w:t xml:space="preserve">) </w:t>
      </w:r>
      <w:r w:rsidRPr="00BA7054">
        <w:rPr>
          <w:rFonts w:eastAsia="宋体"/>
          <w:b/>
          <w:bCs/>
        </w:rPr>
        <w:t xml:space="preserve">determines maximum TX power available in </w:t>
      </w:r>
      <w:r w:rsidRPr="00BA7054">
        <w:rPr>
          <w:rFonts w:eastAsia="宋体"/>
          <w:b/>
          <w:bCs/>
        </w:rPr>
        <w:t xml:space="preserve">the corresponding </w:t>
      </w:r>
      <w:r w:rsidRPr="00BA7054">
        <w:rPr>
          <w:rFonts w:eastAsia="宋体"/>
          <w:b/>
          <w:bCs/>
        </w:rPr>
        <w:t xml:space="preserve">band. </w:t>
      </w:r>
    </w:p>
    <w:p w:rsidR="00DF01D2" w:rsidRPr="00BA7054" w:rsidRDefault="0076612E">
      <w:pPr>
        <w:rPr>
          <w:rFonts w:eastAsia="宋体"/>
          <w:b/>
          <w:bCs/>
        </w:rPr>
      </w:pPr>
      <w:r w:rsidRPr="00BA7054">
        <w:rPr>
          <w:rFonts w:eastAsia="宋体"/>
          <w:b/>
          <w:bCs/>
        </w:rPr>
        <w:t xml:space="preserve">Proposal 2a: </w:t>
      </w:r>
      <w:r w:rsidRPr="00BA7054">
        <w:rPr>
          <w:rFonts w:eastAsia="宋体"/>
          <w:b/>
          <w:bCs/>
        </w:rPr>
        <w:t>If</w:t>
      </w:r>
      <w:r w:rsidRPr="00BA7054">
        <w:rPr>
          <w:rFonts w:eastAsia="宋体"/>
          <w:b/>
          <w:bCs/>
        </w:rPr>
        <w:t xml:space="preserve"> the</w:t>
      </w:r>
      <w:r w:rsidRPr="00BA7054">
        <w:rPr>
          <w:rFonts w:eastAsia="宋体"/>
          <w:b/>
          <w:bCs/>
        </w:rPr>
        <w:t xml:space="preserve"> ue-PowerClassPerBandPerBC-r17</w:t>
      </w:r>
      <w:r w:rsidRPr="00BA7054">
        <w:rPr>
          <w:rFonts w:eastAsia="宋体"/>
          <w:b/>
          <w:bCs/>
        </w:rPr>
        <w:t xml:space="preserve"> was not reported, </w:t>
      </w:r>
      <w:r w:rsidRPr="00BA7054">
        <w:rPr>
          <w:rFonts w:eastAsia="宋体"/>
          <w:b/>
          <w:bCs/>
        </w:rPr>
        <w:t>the</w:t>
      </w:r>
      <w:r w:rsidRPr="00BA7054">
        <w:rPr>
          <w:rFonts w:eastAsia="宋体"/>
          <w:b/>
          <w:bCs/>
        </w:rPr>
        <w:t xml:space="preserve"> minimum value of </w:t>
      </w:r>
      <w:r w:rsidRPr="00BA7054">
        <w:rPr>
          <w:rFonts w:eastAsia="宋体"/>
          <w:b/>
          <w:bCs/>
        </w:rPr>
        <w:t>ue-PowerClass</w:t>
      </w:r>
      <w:r w:rsidRPr="00BA7054">
        <w:rPr>
          <w:rFonts w:eastAsia="宋体"/>
          <w:b/>
          <w:bCs/>
        </w:rPr>
        <w:t xml:space="preserve">(-v1610/1700) </w:t>
      </w:r>
      <w:r w:rsidRPr="00BA7054">
        <w:rPr>
          <w:rFonts w:eastAsia="宋体"/>
          <w:b/>
          <w:bCs/>
        </w:rPr>
        <w:t xml:space="preserve"> and </w:t>
      </w:r>
      <w:r w:rsidRPr="00BA7054">
        <w:rPr>
          <w:rFonts w:eastAsia="宋体"/>
          <w:b/>
          <w:bCs/>
        </w:rPr>
        <w:t>powerClass(powerClass-v1610</w:t>
      </w:r>
      <w:r w:rsidRPr="00BA7054">
        <w:rPr>
          <w:rFonts w:eastAsia="宋体"/>
          <w:b/>
          <w:bCs/>
        </w:rPr>
        <w:t xml:space="preserve">) </w:t>
      </w:r>
      <w:r w:rsidRPr="00BA7054">
        <w:rPr>
          <w:rFonts w:eastAsia="宋体"/>
          <w:b/>
          <w:bCs/>
        </w:rPr>
        <w:t xml:space="preserve">determines maximum TX power available in </w:t>
      </w:r>
      <w:r w:rsidRPr="00BA7054">
        <w:rPr>
          <w:rFonts w:eastAsia="宋体"/>
          <w:b/>
          <w:bCs/>
        </w:rPr>
        <w:t xml:space="preserve">the corresponding </w:t>
      </w:r>
      <w:r w:rsidRPr="00BA7054">
        <w:rPr>
          <w:rFonts w:eastAsia="宋体"/>
          <w:b/>
          <w:bCs/>
        </w:rPr>
        <w:t xml:space="preserve">band. </w:t>
      </w:r>
    </w:p>
    <w:p w:rsidR="00DF01D2" w:rsidRPr="00BA7054" w:rsidRDefault="0076612E">
      <w:pPr>
        <w:rPr>
          <w:rFonts w:eastAsia="宋体"/>
        </w:rPr>
      </w:pPr>
      <w:r w:rsidRPr="00BA7054">
        <w:rPr>
          <w:rFonts w:eastAsia="宋体"/>
        </w:rPr>
        <w:lastRenderedPageBreak/>
        <w:t>A related CR was also provided as in [2].</w:t>
      </w:r>
    </w:p>
    <w:p w:rsidR="00DF01D2" w:rsidRPr="00BA7054" w:rsidRDefault="0076612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b w:val="0"/>
          <w:bCs w:val="0"/>
          <w:kern w:val="0"/>
          <w:sz w:val="32"/>
          <w:szCs w:val="36"/>
        </w:rPr>
      </w:pPr>
      <w:r w:rsidRPr="00BA7054">
        <w:rPr>
          <w:b w:val="0"/>
          <w:bCs w:val="0"/>
          <w:kern w:val="0"/>
          <w:sz w:val="32"/>
          <w:szCs w:val="36"/>
        </w:rPr>
        <w:t>C</w:t>
      </w:r>
      <w:r w:rsidRPr="00BA7054">
        <w:rPr>
          <w:b w:val="0"/>
          <w:bCs w:val="0"/>
          <w:kern w:val="0"/>
          <w:sz w:val="32"/>
          <w:szCs w:val="36"/>
        </w:rPr>
        <w:t>onclusion</w:t>
      </w:r>
      <w:r w:rsidRPr="00BA7054">
        <w:rPr>
          <w:b w:val="0"/>
          <w:bCs w:val="0"/>
          <w:kern w:val="0"/>
          <w:sz w:val="32"/>
          <w:szCs w:val="36"/>
        </w:rPr>
        <w:t xml:space="preserve"> and pr</w:t>
      </w:r>
      <w:r w:rsidRPr="00BA7054">
        <w:rPr>
          <w:b w:val="0"/>
          <w:bCs w:val="0"/>
          <w:kern w:val="0"/>
          <w:sz w:val="32"/>
          <w:szCs w:val="36"/>
        </w:rPr>
        <w:t>oposals</w:t>
      </w:r>
    </w:p>
    <w:p w:rsidR="00DF01D2" w:rsidRPr="00BA7054" w:rsidRDefault="0076612E">
      <w:pPr>
        <w:spacing w:beforeLines="50" w:before="156"/>
      </w:pPr>
      <w:r w:rsidRPr="00BA7054">
        <w:t xml:space="preserve">With the above analysis, we have the following </w:t>
      </w:r>
      <w:r w:rsidRPr="00BA7054">
        <w:t>proposals</w:t>
      </w:r>
      <w:r w:rsidRPr="00BA7054">
        <w:t>:</w:t>
      </w:r>
    </w:p>
    <w:p w:rsidR="00DF01D2" w:rsidRPr="00BA7054" w:rsidRDefault="0076612E">
      <w:pPr>
        <w:rPr>
          <w:rFonts w:eastAsia="宋体"/>
          <w:b/>
          <w:bCs/>
        </w:rPr>
      </w:pPr>
      <w:r w:rsidRPr="00BA7054">
        <w:rPr>
          <w:rFonts w:eastAsia="宋体"/>
          <w:b/>
          <w:bCs/>
        </w:rPr>
        <w:t>Proposal 1: F</w:t>
      </w:r>
      <w:r w:rsidRPr="00BA7054">
        <w:rPr>
          <w:rFonts w:eastAsia="宋体"/>
          <w:b/>
          <w:bCs/>
          <w:lang w:eastAsia="en-GB"/>
        </w:rPr>
        <w:t>or</w:t>
      </w:r>
      <w:r w:rsidRPr="00BA7054">
        <w:rPr>
          <w:rFonts w:eastAsia="宋体"/>
          <w:b/>
          <w:bCs/>
        </w:rPr>
        <w:t xml:space="preserve"> MR-DC BCs containing only single CC or intra-band CA in NR side, </w:t>
      </w:r>
      <w:r w:rsidRPr="00BA7054">
        <w:rPr>
          <w:rStyle w:val="af6"/>
          <w:rFonts w:eastAsia="宋体"/>
          <w:color w:val="000000"/>
          <w:szCs w:val="21"/>
        </w:rPr>
        <w:t>the</w:t>
      </w:r>
      <w:r w:rsidRPr="00BA7054">
        <w:rPr>
          <w:rStyle w:val="af6"/>
          <w:rFonts w:eastAsia="宋体"/>
          <w:i/>
          <w:iCs/>
          <w:color w:val="000000"/>
          <w:szCs w:val="21"/>
        </w:rPr>
        <w:t> </w:t>
      </w:r>
      <w:r w:rsidRPr="00BA7054">
        <w:rPr>
          <w:rStyle w:val="af6"/>
          <w:rFonts w:eastAsia="sans-serif"/>
          <w:i/>
          <w:iCs/>
          <w:color w:val="000000"/>
          <w:szCs w:val="21"/>
        </w:rPr>
        <w:t>ue-PowerClassPerBandPerBC-r17</w:t>
      </w:r>
      <w:r w:rsidRPr="00BA7054">
        <w:rPr>
          <w:rStyle w:val="af6"/>
          <w:rFonts w:eastAsia="宋体"/>
          <w:color w:val="000000"/>
          <w:szCs w:val="21"/>
        </w:rPr>
        <w:t xml:space="preserve">shall be aligned </w:t>
      </w:r>
      <w:r w:rsidRPr="00BA7054">
        <w:rPr>
          <w:rStyle w:val="af6"/>
          <w:rFonts w:eastAsia="宋体"/>
          <w:color w:val="000000"/>
          <w:szCs w:val="21"/>
        </w:rPr>
        <w:t xml:space="preserve">to </w:t>
      </w:r>
      <w:r w:rsidRPr="00BA7054">
        <w:rPr>
          <w:rStyle w:val="af6"/>
          <w:rFonts w:eastAsia="宋体"/>
          <w:color w:val="000000"/>
          <w:szCs w:val="21"/>
        </w:rPr>
        <w:t xml:space="preserve">the corresponding </w:t>
      </w:r>
      <w:r w:rsidRPr="00BA7054">
        <w:rPr>
          <w:rStyle w:val="af6"/>
          <w:rFonts w:eastAsia="宋体"/>
          <w:i/>
          <w:iCs/>
          <w:color w:val="000000"/>
          <w:szCs w:val="21"/>
        </w:rPr>
        <w:t>powerClassNRPart-r16</w:t>
      </w:r>
      <w:r w:rsidRPr="00BA7054">
        <w:rPr>
          <w:rStyle w:val="af6"/>
          <w:rFonts w:eastAsia="宋体"/>
          <w:color w:val="000000"/>
          <w:szCs w:val="21"/>
        </w:rPr>
        <w:t>.</w:t>
      </w:r>
    </w:p>
    <w:p w:rsidR="00DF01D2" w:rsidRPr="00BA7054" w:rsidRDefault="0076612E">
      <w:pPr>
        <w:rPr>
          <w:rFonts w:eastAsia="宋体"/>
          <w:b/>
          <w:bCs/>
        </w:rPr>
      </w:pPr>
      <w:r w:rsidRPr="00BA7054">
        <w:rPr>
          <w:rFonts w:eastAsia="宋体"/>
          <w:b/>
          <w:bCs/>
        </w:rPr>
        <w:t xml:space="preserve">Proposal 2: </w:t>
      </w:r>
      <w:r w:rsidRPr="00BA7054">
        <w:rPr>
          <w:rFonts w:eastAsia="宋体"/>
          <w:b/>
          <w:bCs/>
        </w:rPr>
        <w:t>If</w:t>
      </w:r>
      <w:r w:rsidRPr="00BA7054">
        <w:rPr>
          <w:rFonts w:eastAsia="宋体"/>
          <w:b/>
          <w:bCs/>
        </w:rPr>
        <w:t xml:space="preserve"> the</w:t>
      </w:r>
      <w:r w:rsidRPr="00BA7054">
        <w:rPr>
          <w:rFonts w:eastAsia="宋体"/>
          <w:b/>
          <w:bCs/>
        </w:rPr>
        <w:t xml:space="preserve"> ue-PowerClassPerBandPerBC-r17</w:t>
      </w:r>
      <w:r w:rsidRPr="00BA7054">
        <w:rPr>
          <w:rFonts w:eastAsia="宋体"/>
          <w:b/>
          <w:bCs/>
        </w:rPr>
        <w:t xml:space="preserve"> was reported, </w:t>
      </w:r>
      <w:r w:rsidRPr="00BA7054">
        <w:rPr>
          <w:rFonts w:eastAsia="宋体"/>
          <w:b/>
          <w:bCs/>
        </w:rPr>
        <w:t>the</w:t>
      </w:r>
      <w:r w:rsidRPr="00BA7054">
        <w:rPr>
          <w:rFonts w:eastAsia="宋体"/>
          <w:b/>
          <w:bCs/>
        </w:rPr>
        <w:t xml:space="preserve"> minimum value of </w:t>
      </w:r>
      <w:r w:rsidRPr="00BA7054">
        <w:rPr>
          <w:rFonts w:eastAsia="宋体"/>
          <w:b/>
          <w:bCs/>
        </w:rPr>
        <w:t>ue-PowerClassPerBandPerBC-r17</w:t>
      </w:r>
      <w:r w:rsidRPr="00BA7054">
        <w:rPr>
          <w:rFonts w:eastAsia="宋体"/>
          <w:b/>
          <w:bCs/>
        </w:rPr>
        <w:t xml:space="preserve"> and </w:t>
      </w:r>
      <w:r w:rsidRPr="00BA7054">
        <w:rPr>
          <w:rFonts w:eastAsia="宋体"/>
          <w:b/>
          <w:bCs/>
        </w:rPr>
        <w:t>powerClass</w:t>
      </w:r>
      <w:bookmarkStart w:id="3" w:name="_GoBack"/>
      <w:bookmarkEnd w:id="3"/>
      <w:r w:rsidRPr="00BA7054">
        <w:rPr>
          <w:rFonts w:eastAsia="宋体"/>
          <w:b/>
          <w:bCs/>
        </w:rPr>
        <w:t>(powerClass-v1610</w:t>
      </w:r>
      <w:r w:rsidRPr="00BA7054">
        <w:rPr>
          <w:rFonts w:eastAsia="宋体"/>
          <w:b/>
          <w:bCs/>
        </w:rPr>
        <w:t xml:space="preserve">) </w:t>
      </w:r>
      <w:r w:rsidRPr="00BA7054">
        <w:rPr>
          <w:rFonts w:eastAsia="宋体"/>
          <w:b/>
          <w:bCs/>
        </w:rPr>
        <w:t xml:space="preserve">determines maximum TX power available in </w:t>
      </w:r>
      <w:r w:rsidRPr="00BA7054">
        <w:rPr>
          <w:rFonts w:eastAsia="宋体"/>
          <w:b/>
          <w:bCs/>
        </w:rPr>
        <w:t xml:space="preserve">the corresponding </w:t>
      </w:r>
      <w:r w:rsidRPr="00BA7054">
        <w:rPr>
          <w:rFonts w:eastAsia="宋体"/>
          <w:b/>
          <w:bCs/>
        </w:rPr>
        <w:t xml:space="preserve">band. </w:t>
      </w:r>
    </w:p>
    <w:p w:rsidR="00DF01D2" w:rsidRPr="00BA7054" w:rsidRDefault="0076612E">
      <w:r w:rsidRPr="00BA7054">
        <w:rPr>
          <w:rFonts w:eastAsia="宋体"/>
          <w:b/>
          <w:bCs/>
        </w:rPr>
        <w:t xml:space="preserve">Proposal 2a: </w:t>
      </w:r>
      <w:r w:rsidRPr="00BA7054">
        <w:rPr>
          <w:rFonts w:eastAsia="宋体"/>
          <w:b/>
          <w:bCs/>
        </w:rPr>
        <w:t>If</w:t>
      </w:r>
      <w:r w:rsidRPr="00BA7054">
        <w:rPr>
          <w:rFonts w:eastAsia="宋体"/>
          <w:b/>
          <w:bCs/>
        </w:rPr>
        <w:t xml:space="preserve"> the</w:t>
      </w:r>
      <w:r w:rsidRPr="00BA7054">
        <w:rPr>
          <w:rFonts w:eastAsia="宋体"/>
          <w:b/>
          <w:bCs/>
        </w:rPr>
        <w:t xml:space="preserve"> ue-PowerClassPerBandPerBC-r17</w:t>
      </w:r>
      <w:r w:rsidRPr="00BA7054">
        <w:rPr>
          <w:rFonts w:eastAsia="宋体"/>
          <w:b/>
          <w:bCs/>
        </w:rPr>
        <w:t xml:space="preserve"> was not reported, </w:t>
      </w:r>
      <w:r w:rsidRPr="00BA7054">
        <w:rPr>
          <w:rFonts w:eastAsia="宋体"/>
          <w:b/>
          <w:bCs/>
        </w:rPr>
        <w:t>the</w:t>
      </w:r>
      <w:r w:rsidRPr="00BA7054">
        <w:rPr>
          <w:rFonts w:eastAsia="宋体"/>
          <w:b/>
          <w:bCs/>
        </w:rPr>
        <w:t xml:space="preserve"> minimum value of </w:t>
      </w:r>
      <w:r w:rsidRPr="00BA7054">
        <w:rPr>
          <w:rFonts w:eastAsia="宋体"/>
          <w:b/>
          <w:bCs/>
        </w:rPr>
        <w:t>ue-PowerClass</w:t>
      </w:r>
      <w:r w:rsidRPr="00BA7054">
        <w:rPr>
          <w:rFonts w:eastAsia="宋体"/>
          <w:b/>
          <w:bCs/>
        </w:rPr>
        <w:t xml:space="preserve">(-v1610/1700) </w:t>
      </w:r>
      <w:r w:rsidRPr="00BA7054">
        <w:rPr>
          <w:rFonts w:eastAsia="宋体"/>
          <w:b/>
          <w:bCs/>
        </w:rPr>
        <w:t xml:space="preserve"> and </w:t>
      </w:r>
      <w:r w:rsidRPr="00BA7054">
        <w:rPr>
          <w:rFonts w:eastAsia="宋体"/>
          <w:b/>
          <w:bCs/>
        </w:rPr>
        <w:t>powerClass(powerClass-v1610</w:t>
      </w:r>
      <w:r w:rsidRPr="00BA7054">
        <w:rPr>
          <w:rFonts w:eastAsia="宋体"/>
          <w:b/>
          <w:bCs/>
        </w:rPr>
        <w:t xml:space="preserve">) </w:t>
      </w:r>
      <w:r w:rsidRPr="00BA7054">
        <w:rPr>
          <w:rFonts w:eastAsia="宋体"/>
          <w:b/>
          <w:bCs/>
        </w:rPr>
        <w:t xml:space="preserve">determines maximum TX power available in </w:t>
      </w:r>
      <w:r w:rsidRPr="00BA7054">
        <w:rPr>
          <w:rFonts w:eastAsia="宋体"/>
          <w:b/>
          <w:bCs/>
        </w:rPr>
        <w:t xml:space="preserve">the corresponding </w:t>
      </w:r>
      <w:r w:rsidRPr="00BA7054">
        <w:rPr>
          <w:rFonts w:eastAsia="宋体"/>
          <w:b/>
          <w:bCs/>
        </w:rPr>
        <w:t xml:space="preserve">band. </w:t>
      </w:r>
    </w:p>
    <w:p w:rsidR="00DF01D2" w:rsidRPr="00BA7054" w:rsidRDefault="0076612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b w:val="0"/>
          <w:bCs w:val="0"/>
          <w:kern w:val="0"/>
          <w:sz w:val="32"/>
          <w:szCs w:val="36"/>
        </w:rPr>
      </w:pPr>
      <w:r w:rsidRPr="00BA7054">
        <w:rPr>
          <w:b w:val="0"/>
          <w:bCs w:val="0"/>
          <w:kern w:val="0"/>
          <w:sz w:val="32"/>
          <w:szCs w:val="36"/>
        </w:rPr>
        <w:t>Reference</w:t>
      </w:r>
    </w:p>
    <w:p w:rsidR="00DF01D2" w:rsidRPr="00BA7054" w:rsidRDefault="0076612E">
      <w:pPr>
        <w:numPr>
          <w:ilvl w:val="0"/>
          <w:numId w:val="6"/>
        </w:numPr>
        <w:spacing w:beforeLines="50" w:before="156"/>
        <w:rPr>
          <w:lang w:val="en-GB"/>
        </w:rPr>
      </w:pPr>
      <w:r w:rsidRPr="00BA7054">
        <w:t>R2-2209173       LS on Rel-17 RAN4 UE feature list for NR (R4-2215144; contact:</w:t>
      </w:r>
      <w:r w:rsidRPr="00BA7054">
        <w:t xml:space="preserve"> CMCC)</w:t>
      </w:r>
    </w:p>
    <w:p w:rsidR="00DF01D2" w:rsidRPr="00BA7054" w:rsidRDefault="0076612E">
      <w:pPr>
        <w:numPr>
          <w:ilvl w:val="0"/>
          <w:numId w:val="6"/>
        </w:numPr>
        <w:spacing w:beforeLines="50" w:before="156"/>
        <w:rPr>
          <w:lang w:val="en-GB"/>
        </w:rPr>
      </w:pPr>
      <w:r w:rsidRPr="00BA7054">
        <w:t>R2-2210</w:t>
      </w:r>
      <w:r w:rsidRPr="00BA7054">
        <w:t xml:space="preserve">661   </w:t>
      </w:r>
      <w:r w:rsidRPr="00BA7054">
        <w:t>CR on the ue-PowerClassPerBandPerBC-r17</w:t>
      </w:r>
      <w:r w:rsidRPr="00BA7054">
        <w:t xml:space="preserve">  </w:t>
      </w:r>
      <w:r w:rsidRPr="00BA7054">
        <w:t>ZTE Corporation, Sanechips</w:t>
      </w:r>
      <w:r w:rsidRPr="00BA7054">
        <w:t xml:space="preserve"> </w:t>
      </w:r>
      <w:r w:rsidRPr="00BA7054">
        <w:t xml:space="preserve"> </w:t>
      </w:r>
      <w:r w:rsidRPr="00BA7054">
        <w:t>38.306</w:t>
      </w:r>
      <w:r w:rsidRPr="00BA7054">
        <w:tab/>
        <w:t>17.2.0</w:t>
      </w:r>
      <w:r w:rsidRPr="00BA7054">
        <w:t xml:space="preserve"> </w:t>
      </w:r>
    </w:p>
    <w:p w:rsidR="00DF01D2" w:rsidRPr="00BA7054" w:rsidRDefault="00DF01D2"/>
    <w:sectPr w:rsidR="00DF01D2" w:rsidRPr="00BA7054">
      <w:headerReference w:type="default"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12E" w:rsidRDefault="0076612E">
      <w:pPr>
        <w:spacing w:line="240" w:lineRule="auto"/>
      </w:pPr>
      <w:r>
        <w:separator/>
      </w:r>
    </w:p>
  </w:endnote>
  <w:endnote w:type="continuationSeparator" w:id="0">
    <w:p w:rsidR="0076612E" w:rsidRDefault="007661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ans-serif">
    <w:altName w:val="Segoe Print"/>
    <w:charset w:val="00"/>
    <w:family w:val="auto"/>
    <w:pitch w:val="default"/>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1D2" w:rsidRDefault="00DF01D2">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12E" w:rsidRDefault="0076612E">
      <w:pPr>
        <w:spacing w:after="0"/>
      </w:pPr>
      <w:r>
        <w:separator/>
      </w:r>
    </w:p>
  </w:footnote>
  <w:footnote w:type="continuationSeparator" w:id="0">
    <w:p w:rsidR="0076612E" w:rsidRDefault="0076612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1D2" w:rsidRDefault="00DF01D2">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6A4B54B"/>
    <w:multiLevelType w:val="singleLevel"/>
    <w:tmpl w:val="F6A4B54B"/>
    <w:lvl w:ilvl="0">
      <w:start w:val="1"/>
      <w:numFmt w:val="decimal"/>
      <w:lvlText w:val="[%1]"/>
      <w:lvlJc w:val="left"/>
      <w:pPr>
        <w:tabs>
          <w:tab w:val="left" w:pos="312"/>
        </w:tabs>
      </w:p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D4D9E61"/>
    <w:multiLevelType w:val="singleLevel"/>
    <w:tmpl w:val="7D4D9E61"/>
    <w:lvl w:ilvl="0">
      <w:start w:val="1"/>
      <w:numFmt w:val="decimal"/>
      <w:suff w:val="nothing"/>
      <w:lvlText w:val="%1&gt;"/>
      <w:lvlJc w:val="left"/>
    </w:lvl>
  </w:abstractNum>
  <w:num w:numId="1">
    <w:abstractNumId w:val="1"/>
  </w:num>
  <w:num w:numId="2">
    <w:abstractNumId w:val="4"/>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8CC"/>
    <w:rsid w:val="00443D84"/>
    <w:rsid w:val="00444390"/>
    <w:rsid w:val="00444F7D"/>
    <w:rsid w:val="00445007"/>
    <w:rsid w:val="00446A9B"/>
    <w:rsid w:val="00453750"/>
    <w:rsid w:val="00456668"/>
    <w:rsid w:val="0046088D"/>
    <w:rsid w:val="00460FF4"/>
    <w:rsid w:val="004617CA"/>
    <w:rsid w:val="00462F02"/>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6612E"/>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7054"/>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1D2"/>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15675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1B7A1C"/>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EB75B0"/>
    <w:rsid w:val="17F5084F"/>
    <w:rsid w:val="17FD7216"/>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3A0E15"/>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CE119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31B94"/>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B7F13"/>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A51EBA"/>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47DAD"/>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830D82"/>
    <w:rsid w:val="568A7FA4"/>
    <w:rsid w:val="568E1B18"/>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73852"/>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1F42B1"/>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44021C"/>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FDDF3D-E789-48DF-9C3B-8F3452B2A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08DEE0-608D-4016-BAFE-9295DE418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1102</Words>
  <Characters>6286</Characters>
  <Application>Microsoft Office Word</Application>
  <DocSecurity>0</DocSecurity>
  <Lines>52</Lines>
  <Paragraphs>14</Paragraphs>
  <ScaleCrop>false</ScaleCrop>
  <Company>www.zte.com.cn</Company>
  <LinksUpToDate>false</LinksUpToDate>
  <CharactersWithSpaces>7374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5</cp:revision>
  <cp:lastPrinted>2113-01-01T00:00:00Z</cp:lastPrinted>
  <dcterms:created xsi:type="dcterms:W3CDTF">2022-08-10T06:25:00Z</dcterms:created>
  <dcterms:modified xsi:type="dcterms:W3CDTF">2022-09-30T09:35:00Z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