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EDB6A02" w:rsidR="00A209D6" w:rsidRPr="00B266B0" w:rsidRDefault="00A209D6" w:rsidP="00EB18F3">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993CAF">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B83324">
        <w:rPr>
          <w:bCs/>
          <w:noProof w:val="0"/>
          <w:sz w:val="24"/>
          <w:szCs w:val="24"/>
        </w:rPr>
        <w:t>10075</w:t>
      </w:r>
    </w:p>
    <w:p w14:paraId="11776FA6" w14:textId="081F183E" w:rsidR="00A209D6" w:rsidRPr="00465587" w:rsidRDefault="00A36F5F" w:rsidP="00EB18F3">
      <w:pPr>
        <w:pStyle w:val="Header"/>
        <w:tabs>
          <w:tab w:val="right" w:pos="9639"/>
        </w:tabs>
        <w:jc w:val="both"/>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993CAF">
        <w:rPr>
          <w:rFonts w:eastAsia="SimSun"/>
          <w:bCs/>
          <w:sz w:val="24"/>
          <w:szCs w:val="24"/>
          <w:lang w:eastAsia="zh-CN"/>
        </w:rPr>
        <w:t>0</w:t>
      </w:r>
      <w:r w:rsidR="005C7CD5" w:rsidRPr="005C7CD5">
        <w:rPr>
          <w:rFonts w:eastAsia="SimSun"/>
          <w:bCs/>
          <w:sz w:val="24"/>
          <w:szCs w:val="24"/>
          <w:lang w:eastAsia="zh-CN"/>
        </w:rPr>
        <w:t xml:space="preserve"> – </w:t>
      </w:r>
      <w:r w:rsidR="00993CAF">
        <w:rPr>
          <w:rFonts w:eastAsia="SimSun"/>
          <w:bCs/>
          <w:sz w:val="24"/>
          <w:szCs w:val="24"/>
          <w:lang w:eastAsia="zh-CN"/>
        </w:rPr>
        <w:t>19</w:t>
      </w:r>
      <w:r w:rsidR="005C7CD5" w:rsidRPr="005C7CD5">
        <w:rPr>
          <w:rFonts w:eastAsia="SimSun"/>
          <w:bCs/>
          <w:sz w:val="24"/>
          <w:szCs w:val="24"/>
          <w:lang w:eastAsia="zh-CN"/>
        </w:rPr>
        <w:t xml:space="preserve"> </w:t>
      </w:r>
      <w:r w:rsidR="00993CAF">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EB18F3">
      <w:pPr>
        <w:pStyle w:val="Header"/>
        <w:jc w:val="both"/>
        <w:rPr>
          <w:bCs/>
          <w:noProof w:val="0"/>
          <w:sz w:val="24"/>
        </w:rPr>
      </w:pPr>
    </w:p>
    <w:p w14:paraId="403CB9C0" w14:textId="77777777" w:rsidR="00A209D6" w:rsidRPr="00595CD9" w:rsidRDefault="00A209D6" w:rsidP="00EB18F3">
      <w:pPr>
        <w:pStyle w:val="Header"/>
        <w:jc w:val="both"/>
        <w:rPr>
          <w:sz w:val="24"/>
          <w:lang w:val="en-US"/>
        </w:rPr>
      </w:pPr>
    </w:p>
    <w:p w14:paraId="310B92C9" w14:textId="274ACC65" w:rsidR="00446C3A" w:rsidRPr="00B266B0" w:rsidRDefault="00446C3A" w:rsidP="00EB18F3">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174BF">
        <w:rPr>
          <w:rFonts w:cs="Arial"/>
          <w:b/>
          <w:bCs/>
          <w:sz w:val="24"/>
          <w:lang w:eastAsia="ja-JP"/>
        </w:rPr>
        <w:t>7</w:t>
      </w:r>
      <w:r w:rsidR="00CC52E4" w:rsidRPr="00CC52E4">
        <w:rPr>
          <w:rFonts w:cs="Arial"/>
          <w:b/>
          <w:bCs/>
          <w:sz w:val="24"/>
          <w:lang w:eastAsia="ja-JP"/>
        </w:rPr>
        <w:t>.</w:t>
      </w:r>
      <w:r w:rsidR="004174BF">
        <w:rPr>
          <w:rFonts w:cs="Arial"/>
          <w:b/>
          <w:bCs/>
          <w:sz w:val="24"/>
          <w:lang w:eastAsia="ja-JP"/>
        </w:rPr>
        <w:t>2</w:t>
      </w:r>
      <w:r w:rsidR="00CC52E4" w:rsidRPr="00CC52E4">
        <w:rPr>
          <w:rFonts w:cs="Arial"/>
          <w:b/>
          <w:bCs/>
          <w:sz w:val="24"/>
          <w:lang w:eastAsia="ja-JP"/>
        </w:rPr>
        <w:t>.</w:t>
      </w:r>
      <w:r w:rsidR="004174BF">
        <w:rPr>
          <w:rFonts w:cs="Arial"/>
          <w:b/>
          <w:bCs/>
          <w:sz w:val="24"/>
          <w:lang w:eastAsia="ja-JP"/>
        </w:rPr>
        <w:t>1</w:t>
      </w:r>
    </w:p>
    <w:p w14:paraId="73188B46" w14:textId="77777777" w:rsidR="00446C3A" w:rsidRPr="00B266B0" w:rsidRDefault="00446C3A" w:rsidP="00EB18F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92C34E1" w:rsidR="00446C3A" w:rsidRDefault="00446C3A" w:rsidP="00EB18F3">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8430878"/>
      <w:r w:rsidR="00F80724">
        <w:rPr>
          <w:rFonts w:ascii="Arial" w:hAnsi="Arial" w:cs="Arial"/>
          <w:b/>
          <w:bCs/>
          <w:sz w:val="24"/>
        </w:rPr>
        <w:t>CN impacts for TN and NTN capabilities of IoT-NTN UE</w:t>
      </w:r>
    </w:p>
    <w:bookmarkEnd w:id="0"/>
    <w:p w14:paraId="25F387E8" w14:textId="12F708DB" w:rsidR="00446C3A" w:rsidRPr="00B266B0" w:rsidRDefault="00446C3A" w:rsidP="00EB18F3">
      <w:pPr>
        <w:ind w:left="1985" w:hanging="1985"/>
        <w:jc w:val="both"/>
        <w:rPr>
          <w:rFonts w:ascii="Arial" w:hAnsi="Arial" w:cs="Arial"/>
          <w:b/>
          <w:bCs/>
          <w:sz w:val="24"/>
        </w:rPr>
      </w:pPr>
      <w:r>
        <w:rPr>
          <w:rFonts w:ascii="Arial" w:hAnsi="Arial" w:cs="Arial"/>
          <w:b/>
          <w:bCs/>
          <w:sz w:val="24"/>
        </w:rPr>
        <w:t>WID:</w:t>
      </w:r>
      <w:r>
        <w:rPr>
          <w:rFonts w:ascii="Arial" w:hAnsi="Arial" w:cs="Arial"/>
          <w:b/>
          <w:bCs/>
          <w:sz w:val="24"/>
        </w:rPr>
        <w:tab/>
      </w:r>
      <w:r w:rsidR="00021FD4">
        <w:rPr>
          <w:rFonts w:ascii="Arial" w:hAnsi="Arial" w:cs="Arial"/>
          <w:b/>
          <w:bCs/>
          <w:sz w:val="24"/>
        </w:rPr>
        <w:t>IoT-NTN-Enhancements</w:t>
      </w:r>
    </w:p>
    <w:p w14:paraId="6FEB19D6" w14:textId="77777777" w:rsidR="00446C3A" w:rsidRPr="00B266B0" w:rsidRDefault="00446C3A" w:rsidP="00EB18F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16AF37" w:rsidR="00A209D6" w:rsidRDefault="00A209D6" w:rsidP="00EB18F3">
      <w:pPr>
        <w:pStyle w:val="Heading1"/>
        <w:numPr>
          <w:ilvl w:val="0"/>
          <w:numId w:val="18"/>
        </w:numPr>
        <w:jc w:val="both"/>
      </w:pPr>
      <w:r>
        <w:t>Introduction</w:t>
      </w:r>
    </w:p>
    <w:p w14:paraId="351CC017" w14:textId="6BD95FD3" w:rsidR="00E223F4" w:rsidRDefault="00201F61" w:rsidP="00EB18F3">
      <w:pPr>
        <w:jc w:val="both"/>
      </w:pPr>
      <w:r>
        <w:t>In the reply LS to RAN2 on the TN and NTN capabilities of IoT-NTN UE</w:t>
      </w:r>
      <w:r w:rsidR="00032E96">
        <w:t xml:space="preserve"> [1]</w:t>
      </w:r>
      <w:r>
        <w:t>, SA2 has raised some concerns related to storage two capabilities at MME. SA2 also proposed some existing mechanisms to mitigate the impact for the same.</w:t>
      </w:r>
    </w:p>
    <w:p w14:paraId="4225356B" w14:textId="3D8B1B75" w:rsidR="00201F61" w:rsidRDefault="00201F61" w:rsidP="00EB18F3">
      <w:pPr>
        <w:jc w:val="both"/>
      </w:pPr>
      <w:r>
        <w:t>In this discussion paper</w:t>
      </w:r>
      <w:r w:rsidR="005C3828">
        <w:t>,</w:t>
      </w:r>
      <w:r>
        <w:t xml:space="preserve"> we further </w:t>
      </w:r>
      <w:r w:rsidR="005C3828">
        <w:t>analyze</w:t>
      </w:r>
      <w:r>
        <w:t xml:space="preserve"> the issues indicated in the LS for RAN2 impacts and </w:t>
      </w:r>
      <w:r w:rsidR="00EE1CF6">
        <w:t xml:space="preserve">a </w:t>
      </w:r>
      <w:r>
        <w:t xml:space="preserve">possible </w:t>
      </w:r>
      <w:r w:rsidR="00C3408D">
        <w:t>way forward</w:t>
      </w:r>
      <w:r>
        <w:t xml:space="preserve"> from RAN2 perspective.</w:t>
      </w:r>
    </w:p>
    <w:p w14:paraId="5FDBBA7C" w14:textId="3F9D2C62" w:rsidR="00F80724" w:rsidRDefault="00E223F4" w:rsidP="00201F61">
      <w:pPr>
        <w:pStyle w:val="Heading1"/>
        <w:numPr>
          <w:ilvl w:val="0"/>
          <w:numId w:val="18"/>
        </w:numPr>
        <w:jc w:val="both"/>
      </w:pPr>
      <w:r>
        <w:t>Discussion</w:t>
      </w:r>
    </w:p>
    <w:p w14:paraId="54C807C4" w14:textId="6C9D3949" w:rsidR="007E10CF" w:rsidRDefault="007E10CF" w:rsidP="006F4109">
      <w:r>
        <w:t xml:space="preserve">For </w:t>
      </w:r>
      <w:r w:rsidR="007A1ACA">
        <w:t xml:space="preserve">the </w:t>
      </w:r>
      <w:r>
        <w:t xml:space="preserve">below observation in the LS </w:t>
      </w:r>
    </w:p>
    <w:p w14:paraId="4E1DBC25" w14:textId="77777777" w:rsidR="007E10CF" w:rsidRPr="007E10CF" w:rsidRDefault="007E10CF" w:rsidP="007E10CF">
      <w:pPr>
        <w:ind w:left="568"/>
        <w:rPr>
          <w:rFonts w:ascii="Arial" w:hAnsi="Arial" w:cs="Arial"/>
          <w:i/>
          <w:iCs/>
          <w:lang w:eastAsia="zh-CN"/>
        </w:rPr>
      </w:pPr>
      <w:r w:rsidRPr="007E10CF">
        <w:rPr>
          <w:rFonts w:ascii="Arial" w:hAnsi="Arial" w:cs="Arial"/>
          <w:i/>
          <w:iCs/>
          <w:lang w:eastAsia="zh-CN"/>
        </w:rPr>
        <w:t>The downside of what is described in the agreements of the LS and TS 36.331 is that it impacts the MME, requiring it to store multiple containers, and impacts the operation of RACS for eMTC (RACS is not applicable to NB-IoT). Therefore the preferred solution is for E-UTRAN to provide a single container to the MME for all non-NB-IoT RATs (and network types i.e. TN, NTN) and a single container for NB-IoT including both TN and NTN capabilities. From communication using the RAN 2 reflector, SA 2 understands that this approach is what has been adopted for NR-NTN.</w:t>
      </w:r>
    </w:p>
    <w:p w14:paraId="7E839892" w14:textId="4BD1CD3E" w:rsidR="007E10CF" w:rsidRDefault="007E10CF" w:rsidP="006F4109">
      <w:r>
        <w:t xml:space="preserve">RAN2 initially analyzed the option of having two parameters for each capability to indicate the support for TN and NTN access in a single container. This was not considered as this option increases the signaling message size for UE capability and also significant changes to the RRC message definition. This single container is mainly needed to support mobility between TN and NTN. As specification changes related to TN-NTN mobility is not the </w:t>
      </w:r>
      <w:r w:rsidR="007A1ACA">
        <w:t xml:space="preserve">main </w:t>
      </w:r>
      <w:r>
        <w:t xml:space="preserve">scope for Rel-17, RAN2 has agreed for having separate UE capability for TN and NTN and each of these capabilities is only applicable in the serving </w:t>
      </w:r>
      <w:r w:rsidR="007A1ACA">
        <w:t>network (TN or NTN)</w:t>
      </w:r>
      <w:r>
        <w:t>.</w:t>
      </w:r>
      <w:r w:rsidR="005B6484">
        <w:t xml:space="preserve"> </w:t>
      </w:r>
      <w:r w:rsidR="007A1ACA">
        <w:t xml:space="preserve"> </w:t>
      </w:r>
      <w:r w:rsidR="005B6484">
        <w:t xml:space="preserve">RAN2 has </w:t>
      </w:r>
      <w:r w:rsidR="007A1ACA">
        <w:t xml:space="preserve">also </w:t>
      </w:r>
      <w:r w:rsidR="005B6484">
        <w:t>analysed the minor impacts to TN-NTN connected mode mobility and concluded that there is no specification changes needed to optimise the behaviour for this impact.</w:t>
      </w:r>
    </w:p>
    <w:p w14:paraId="742ADAAF" w14:textId="609F887D" w:rsidR="00621876" w:rsidRPr="00621876" w:rsidRDefault="00621876" w:rsidP="00621876">
      <w:pPr>
        <w:rPr>
          <w:b/>
          <w:bCs/>
        </w:rPr>
      </w:pPr>
      <w:r w:rsidRPr="00621876">
        <w:rPr>
          <w:b/>
          <w:bCs/>
        </w:rPr>
        <w:t xml:space="preserve">Observation 1: Single container for TN and NTN capability requires high specification efforts for Rel-17 where TN-NTN mobility </w:t>
      </w:r>
      <w:r>
        <w:rPr>
          <w:b/>
          <w:bCs/>
        </w:rPr>
        <w:t>optimization</w:t>
      </w:r>
      <w:r w:rsidRPr="00621876">
        <w:rPr>
          <w:b/>
          <w:bCs/>
        </w:rPr>
        <w:t xml:space="preserve"> was not considered in the </w:t>
      </w:r>
      <w:r>
        <w:rPr>
          <w:b/>
          <w:bCs/>
        </w:rPr>
        <w:t>work</w:t>
      </w:r>
      <w:r w:rsidR="007A1ACA">
        <w:rPr>
          <w:b/>
          <w:bCs/>
        </w:rPr>
        <w:t xml:space="preserve">. </w:t>
      </w:r>
    </w:p>
    <w:p w14:paraId="33F74438" w14:textId="7D211042" w:rsidR="00C3408D" w:rsidRDefault="005B6484" w:rsidP="006F4109">
      <w:r>
        <w:t>Eventhough separate</w:t>
      </w:r>
      <w:r w:rsidR="00C3408D">
        <w:t xml:space="preserve"> </w:t>
      </w:r>
      <w:r>
        <w:t>capabilities</w:t>
      </w:r>
      <w:r w:rsidR="00C3408D">
        <w:t xml:space="preserve"> for TN and NTN </w:t>
      </w:r>
      <w:r w:rsidR="007E10CF">
        <w:t>networks</w:t>
      </w:r>
      <w:r>
        <w:t xml:space="preserve"> are configured at UE</w:t>
      </w:r>
      <w:r w:rsidR="00C3408D">
        <w:t xml:space="preserve">, only one of the capabilities will be active at UE depending on the RAT it is camped on. The UE also </w:t>
      </w:r>
      <w:r w:rsidR="007E10CF">
        <w:t>reports</w:t>
      </w:r>
      <w:r w:rsidR="00C3408D">
        <w:t xml:space="preserve"> the capability </w:t>
      </w:r>
      <w:r w:rsidR="007E10CF">
        <w:t>corresponding</w:t>
      </w:r>
      <w:r w:rsidR="00C3408D">
        <w:t xml:space="preserve"> to the serving network when ENB triggers the capability </w:t>
      </w:r>
      <w:r w:rsidR="007E10CF">
        <w:t>inquiry</w:t>
      </w:r>
      <w:r w:rsidR="00C3408D">
        <w:t xml:space="preserve"> procedure. </w:t>
      </w:r>
    </w:p>
    <w:p w14:paraId="0BBC825F" w14:textId="779786DE" w:rsidR="006F4109" w:rsidRDefault="00C3408D" w:rsidP="006F4109">
      <w:r>
        <w:t xml:space="preserve">For storage of the capability at MME, it is possible for the MME to know whether the UE is connecting via TN or NTN cell based on the information provided by ENB in the S1 message prior to context creation. </w:t>
      </w:r>
      <w:r w:rsidR="006F4109">
        <w:t xml:space="preserve">Based on this information, MME can trigger UE capability inquiry procedure by any one of the methods specified in TS23.401 and replace the UE capability with the latest information received from the current cell. </w:t>
      </w:r>
      <w:r>
        <w:t xml:space="preserve">In this way, </w:t>
      </w:r>
      <w:r w:rsidR="006F4109">
        <w:t>MME can avoid storing two UE capability containers in this way.</w:t>
      </w:r>
      <w:r>
        <w:t xml:space="preserve"> If separate tracking areas are assigned for TN and NTN cell, MME can obtain the latest capability </w:t>
      </w:r>
      <w:r w:rsidR="00250862">
        <w:t xml:space="preserve">as part of tracking area change procedure in </w:t>
      </w:r>
      <w:r w:rsidR="007E10CF">
        <w:t>a</w:t>
      </w:r>
      <w:r w:rsidR="00250862">
        <w:t xml:space="preserve"> similar manner.</w:t>
      </w:r>
    </w:p>
    <w:p w14:paraId="30AA10EC" w14:textId="496BA27B" w:rsidR="006F4109" w:rsidRDefault="006F4109" w:rsidP="006F4109">
      <w:pPr>
        <w:rPr>
          <w:b/>
          <w:bCs/>
        </w:rPr>
      </w:pPr>
      <w:r w:rsidRPr="00EE1CF6">
        <w:rPr>
          <w:b/>
          <w:bCs/>
        </w:rPr>
        <w:t xml:space="preserve">Observation </w:t>
      </w:r>
      <w:r w:rsidR="005B6484">
        <w:rPr>
          <w:b/>
          <w:bCs/>
        </w:rPr>
        <w:t>2</w:t>
      </w:r>
      <w:r w:rsidRPr="00EE1CF6">
        <w:rPr>
          <w:b/>
          <w:bCs/>
        </w:rPr>
        <w:t>:</w:t>
      </w:r>
      <w:r>
        <w:rPr>
          <w:b/>
          <w:bCs/>
        </w:rPr>
        <w:t xml:space="preserve"> MME can acquire the UE capability for the current serving cell based on the cell type information (NTN or TN) received from </w:t>
      </w:r>
      <w:r w:rsidR="00250862">
        <w:rPr>
          <w:b/>
          <w:bCs/>
        </w:rPr>
        <w:t>g</w:t>
      </w:r>
      <w:r>
        <w:rPr>
          <w:b/>
          <w:bCs/>
        </w:rPr>
        <w:t>NB</w:t>
      </w:r>
      <w:r w:rsidR="007E10CF">
        <w:rPr>
          <w:b/>
          <w:bCs/>
        </w:rPr>
        <w:t xml:space="preserve"> </w:t>
      </w:r>
      <w:r>
        <w:rPr>
          <w:b/>
          <w:bCs/>
        </w:rPr>
        <w:t>by using the available methods for re-acquiring UE capability in the new cell.</w:t>
      </w:r>
    </w:p>
    <w:p w14:paraId="346E4511" w14:textId="13CB0BDF" w:rsidR="00443C10" w:rsidRPr="00021FD4" w:rsidRDefault="00443C10" w:rsidP="006F4109">
      <w:r>
        <w:t xml:space="preserve">MME uses the </w:t>
      </w:r>
      <w:r w:rsidR="007A1ACA" w:rsidRPr="002E729F">
        <w:rPr>
          <w:i/>
          <w:iCs/>
        </w:rPr>
        <w:t>UE-</w:t>
      </w:r>
      <w:r w:rsidR="007A1ACA">
        <w:rPr>
          <w:i/>
          <w:iCs/>
        </w:rPr>
        <w:t>R</w:t>
      </w:r>
      <w:r w:rsidR="007A1ACA" w:rsidRPr="002E729F">
        <w:rPr>
          <w:i/>
          <w:iCs/>
        </w:rPr>
        <w:t>adiopaging-Info</w:t>
      </w:r>
      <w:r w:rsidR="007A1ACA">
        <w:t xml:space="preserve"> </w:t>
      </w:r>
      <w:r>
        <w:t xml:space="preserve">capability from the stored values for paging the IDLE mode UE. </w:t>
      </w:r>
      <w:r w:rsidR="005B6484">
        <w:t xml:space="preserve">With </w:t>
      </w:r>
      <w:r w:rsidR="007A1ACA">
        <w:t xml:space="preserve">a </w:t>
      </w:r>
      <w:r w:rsidR="005B6484">
        <w:t xml:space="preserve">single capability maintained at MME for TN and NTN, </w:t>
      </w:r>
      <w:r>
        <w:t xml:space="preserve">it is possible that MME may use the </w:t>
      </w:r>
      <w:r w:rsidR="002E729F" w:rsidRPr="002E729F">
        <w:rPr>
          <w:i/>
          <w:iCs/>
        </w:rPr>
        <w:t>UE-</w:t>
      </w:r>
      <w:r w:rsidR="002E729F">
        <w:rPr>
          <w:i/>
          <w:iCs/>
        </w:rPr>
        <w:t>R</w:t>
      </w:r>
      <w:r w:rsidRPr="002E729F">
        <w:rPr>
          <w:i/>
          <w:iCs/>
        </w:rPr>
        <w:t>adiopaging</w:t>
      </w:r>
      <w:r w:rsidR="002E729F" w:rsidRPr="002E729F">
        <w:rPr>
          <w:i/>
          <w:iCs/>
        </w:rPr>
        <w:t>-Info</w:t>
      </w:r>
      <w:r>
        <w:t xml:space="preserve"> capability </w:t>
      </w:r>
      <w:r>
        <w:lastRenderedPageBreak/>
        <w:t xml:space="preserve">received from TN </w:t>
      </w:r>
      <w:r w:rsidR="007A1ACA">
        <w:t>cells</w:t>
      </w:r>
      <w:r>
        <w:t xml:space="preserve"> also for paging towards NTN cells</w:t>
      </w:r>
      <w:r w:rsidR="007A1ACA">
        <w:t xml:space="preserve"> if they are in the same TA</w:t>
      </w:r>
      <w:r>
        <w:t xml:space="preserve">. If the UE capability for TN and NTN differs in </w:t>
      </w:r>
      <w:r w:rsidR="002E729F" w:rsidRPr="002E729F">
        <w:rPr>
          <w:i/>
          <w:iCs/>
        </w:rPr>
        <w:t>UE-</w:t>
      </w:r>
      <w:r w:rsidR="002E729F">
        <w:rPr>
          <w:i/>
          <w:iCs/>
        </w:rPr>
        <w:t>R</w:t>
      </w:r>
      <w:r w:rsidR="002E729F" w:rsidRPr="002E729F">
        <w:rPr>
          <w:i/>
          <w:iCs/>
        </w:rPr>
        <w:t>adiopaging-Info</w:t>
      </w:r>
      <w:r w:rsidR="002E729F">
        <w:t xml:space="preserve"> </w:t>
      </w:r>
      <w:r>
        <w:t xml:space="preserve">capability the paging reception at UE </w:t>
      </w:r>
      <w:r w:rsidR="007A1ACA">
        <w:t>may fail in some cases</w:t>
      </w:r>
      <w:r>
        <w:t xml:space="preserve">. This issue is possible only if TN and NTN cells are configured with </w:t>
      </w:r>
      <w:r w:rsidR="007A1ACA">
        <w:t xml:space="preserve">the </w:t>
      </w:r>
      <w:r>
        <w:t xml:space="preserve">same tracking area. In Rel-17, the paging is not optimized for </w:t>
      </w:r>
      <w:r w:rsidR="00021FD4">
        <w:t xml:space="preserve">idle mode TN-NTN mobility within the same tracking area. So the </w:t>
      </w:r>
      <w:r w:rsidR="007A1ACA">
        <w:t>preferred</w:t>
      </w:r>
      <w:r w:rsidR="00021FD4">
        <w:t xml:space="preserve"> network configuration for supporting TN and NTN cells in deployment in Rel-17 is to configure them as different tracking areas. For this deployment configuration, the </w:t>
      </w:r>
      <w:r w:rsidR="007A1ACA">
        <w:t>MME</w:t>
      </w:r>
      <w:r w:rsidR="00021FD4">
        <w:t xml:space="preserve"> will have the </w:t>
      </w:r>
      <w:r w:rsidR="002E729F" w:rsidRPr="002E729F">
        <w:rPr>
          <w:i/>
          <w:iCs/>
        </w:rPr>
        <w:t>UE-</w:t>
      </w:r>
      <w:r w:rsidR="002E729F">
        <w:rPr>
          <w:i/>
          <w:iCs/>
        </w:rPr>
        <w:t>R</w:t>
      </w:r>
      <w:r w:rsidR="002E729F" w:rsidRPr="002E729F">
        <w:rPr>
          <w:i/>
          <w:iCs/>
        </w:rPr>
        <w:t>adiopaging-Info</w:t>
      </w:r>
      <w:r w:rsidR="002E729F">
        <w:t xml:space="preserve"> </w:t>
      </w:r>
      <w:r w:rsidR="00021FD4">
        <w:t xml:space="preserve">capability of </w:t>
      </w:r>
      <w:r w:rsidR="007A1ACA">
        <w:t xml:space="preserve">the </w:t>
      </w:r>
      <w:r w:rsidR="00021FD4">
        <w:t>current TA at any time and it can be used for paging.</w:t>
      </w:r>
    </w:p>
    <w:p w14:paraId="2DDD4FFA" w14:textId="151E0C96" w:rsidR="005C3828" w:rsidRDefault="005C3828" w:rsidP="005C3828">
      <w:pPr>
        <w:rPr>
          <w:b/>
          <w:bCs/>
        </w:rPr>
      </w:pPr>
      <w:r w:rsidRPr="00EE1CF6">
        <w:rPr>
          <w:b/>
          <w:bCs/>
        </w:rPr>
        <w:t xml:space="preserve">Observation </w:t>
      </w:r>
      <w:r w:rsidR="005B6484">
        <w:rPr>
          <w:b/>
          <w:bCs/>
        </w:rPr>
        <w:t>3</w:t>
      </w:r>
      <w:r w:rsidRPr="00EE1CF6">
        <w:rPr>
          <w:b/>
          <w:bCs/>
        </w:rPr>
        <w:t>:</w:t>
      </w:r>
      <w:r>
        <w:rPr>
          <w:b/>
          <w:bCs/>
        </w:rPr>
        <w:t xml:space="preserve"> Separate Radio paging capabilities for TN and NTN is not required for Rel-17 as the paging scenario covering both TN and NTN is </w:t>
      </w:r>
      <w:r w:rsidR="007A1ACA">
        <w:rPr>
          <w:b/>
          <w:bCs/>
        </w:rPr>
        <w:t xml:space="preserve">same TA </w:t>
      </w:r>
      <w:r>
        <w:rPr>
          <w:b/>
          <w:bCs/>
        </w:rPr>
        <w:t>not addressed in Rel-17.</w:t>
      </w:r>
    </w:p>
    <w:p w14:paraId="70D1351A" w14:textId="77777777" w:rsidR="001F6598" w:rsidRPr="00171A31" w:rsidRDefault="001F6598" w:rsidP="001F6598">
      <w:r>
        <w:t>During connected mode mobility if supported between TN and NTN, the target node can trigger the capability inquiry procedure before further proceeding with RRC connection. This may have some restrictions in the UE functionality for a short duration during handover and RAN2 agreed not to further optimize in Rel-17. RAN can also update the new capability to MME which can replace the earlier stored values. Hence RAN2 doesn’t foresee an issue for having the different capability for TN and NTN to connected mode mobility.</w:t>
      </w:r>
    </w:p>
    <w:p w14:paraId="24EF10C5" w14:textId="546690D3" w:rsidR="001F6598" w:rsidRDefault="001F6598" w:rsidP="001F6598">
      <w:pPr>
        <w:rPr>
          <w:b/>
          <w:bCs/>
        </w:rPr>
      </w:pPr>
      <w:r w:rsidRPr="00EE1CF6">
        <w:rPr>
          <w:b/>
          <w:bCs/>
        </w:rPr>
        <w:t xml:space="preserve">Observation </w:t>
      </w:r>
      <w:r w:rsidR="005B6484">
        <w:rPr>
          <w:b/>
          <w:bCs/>
        </w:rPr>
        <w:t>4</w:t>
      </w:r>
      <w:r w:rsidRPr="00EE1CF6">
        <w:rPr>
          <w:b/>
          <w:bCs/>
        </w:rPr>
        <w:t>:</w:t>
      </w:r>
      <w:r>
        <w:rPr>
          <w:b/>
          <w:bCs/>
        </w:rPr>
        <w:t xml:space="preserve"> No connected mode impacts are foreseen for UE having separate capabilities for TN and NTN. In this case, MME can replace the latest capability obtained from UE</w:t>
      </w:r>
      <w:r w:rsidR="007A1ACA">
        <w:rPr>
          <w:b/>
          <w:bCs/>
        </w:rPr>
        <w:t xml:space="preserve"> in the target cell</w:t>
      </w:r>
      <w:r>
        <w:rPr>
          <w:b/>
          <w:bCs/>
        </w:rPr>
        <w:t>.</w:t>
      </w:r>
    </w:p>
    <w:p w14:paraId="55C2AAFC" w14:textId="77777777" w:rsidR="00B60F67" w:rsidRDefault="00B60F67" w:rsidP="00B60F67">
      <w:r w:rsidRPr="001F6598">
        <w:t>Based on the above observations</w:t>
      </w:r>
      <w:r>
        <w:t>, it is possible to have different capabilities for TN and NTN in the network configured with different tracking areas for TN and NTN cells in Rel-17. So RAN2 can confirm that the use of different tracking areas for TN and NTN cells can be used to mitigate the issues related to having separate capabilities for TN and NTN for IoT-NTN UE.</w:t>
      </w:r>
    </w:p>
    <w:p w14:paraId="4103CD29" w14:textId="7AD7B902" w:rsidR="001F6598" w:rsidRDefault="001F6598" w:rsidP="005C3828">
      <w:pPr>
        <w:rPr>
          <w:b/>
          <w:bCs/>
        </w:rPr>
      </w:pPr>
      <w:r>
        <w:rPr>
          <w:b/>
          <w:bCs/>
        </w:rPr>
        <w:t xml:space="preserve">Proposal </w:t>
      </w:r>
      <w:r w:rsidR="00AB129A">
        <w:rPr>
          <w:b/>
          <w:bCs/>
        </w:rPr>
        <w:t>1</w:t>
      </w:r>
      <w:r w:rsidRPr="00EE1CF6">
        <w:rPr>
          <w:b/>
          <w:bCs/>
        </w:rPr>
        <w:t>:</w:t>
      </w:r>
      <w:r>
        <w:rPr>
          <w:b/>
          <w:bCs/>
        </w:rPr>
        <w:t xml:space="preserve"> It is possible for IoT-NTN UE can have separate UE capability for TN and NTN without additional impacts</w:t>
      </w:r>
      <w:r w:rsidR="00021FD4">
        <w:rPr>
          <w:b/>
          <w:bCs/>
        </w:rPr>
        <w:t xml:space="preserve"> to MME for Rel-17</w:t>
      </w:r>
      <w:r w:rsidR="00AB129A">
        <w:rPr>
          <w:b/>
          <w:bCs/>
        </w:rPr>
        <w:t xml:space="preserve"> using Network configuration for TA across TN and NTN cells.  Specification changes are not required in this case.</w:t>
      </w:r>
    </w:p>
    <w:p w14:paraId="57C7FA61" w14:textId="3C5E5826" w:rsidR="005C3828" w:rsidRPr="00EE1CF6" w:rsidRDefault="005C3828" w:rsidP="00337758"/>
    <w:p w14:paraId="05936509" w14:textId="7EA2642E" w:rsidR="00AB129A" w:rsidRDefault="00032E96" w:rsidP="00AB129A">
      <w:pPr>
        <w:pStyle w:val="Heading1"/>
        <w:jc w:val="both"/>
      </w:pPr>
      <w:r>
        <w:t xml:space="preserve">3 </w:t>
      </w:r>
      <w:r w:rsidR="00AB129A">
        <w:t>Conclusion</w:t>
      </w:r>
    </w:p>
    <w:p w14:paraId="0B224A8A" w14:textId="1D1A977A" w:rsidR="00AB129A" w:rsidRDefault="00AB129A" w:rsidP="00AB129A">
      <w:r>
        <w:t>In this paper</w:t>
      </w:r>
      <w:r w:rsidR="00D75C55">
        <w:t>,</w:t>
      </w:r>
      <w:r>
        <w:t xml:space="preserve"> we </w:t>
      </w:r>
      <w:r w:rsidR="00D75C55">
        <w:t>analyse</w:t>
      </w:r>
      <w:r>
        <w:t xml:space="preserve"> the impact to MME on </w:t>
      </w:r>
      <w:r w:rsidR="00D75C55">
        <w:t xml:space="preserve">the </w:t>
      </w:r>
      <w:r>
        <w:t xml:space="preserve">storage of UE capability for </w:t>
      </w:r>
      <w:r w:rsidR="00D75C55">
        <w:t>IoT</w:t>
      </w:r>
      <w:r>
        <w:t xml:space="preserve">-NTN UE having separate UE capability for TN and NTN networks. Based on the analysis we make </w:t>
      </w:r>
      <w:r w:rsidR="00D75C55">
        <w:t xml:space="preserve">the </w:t>
      </w:r>
      <w:r>
        <w:t>following observations and proposals.</w:t>
      </w:r>
    </w:p>
    <w:p w14:paraId="7123D016" w14:textId="423982D9" w:rsidR="005B6484" w:rsidRPr="005B6484" w:rsidRDefault="005B6484" w:rsidP="005B6484">
      <w:pPr>
        <w:rPr>
          <w:i/>
          <w:iCs/>
        </w:rPr>
      </w:pPr>
      <w:r w:rsidRPr="005B6484">
        <w:rPr>
          <w:i/>
          <w:iCs/>
        </w:rPr>
        <w:t>Observation 1:</w:t>
      </w:r>
      <w:r w:rsidR="00621876">
        <w:rPr>
          <w:i/>
          <w:iCs/>
        </w:rPr>
        <w:t xml:space="preserve"> Single container for TN and NTN capability requires high specification efforts for Rel-17 where TN-NTN mobility optimization was not considered in the work..</w:t>
      </w:r>
    </w:p>
    <w:p w14:paraId="4F1BBA81" w14:textId="26A8C7D3" w:rsidR="00AB129A" w:rsidRPr="00AB129A" w:rsidRDefault="00AB129A" w:rsidP="00AB129A">
      <w:pPr>
        <w:rPr>
          <w:i/>
          <w:iCs/>
        </w:rPr>
      </w:pPr>
      <w:r w:rsidRPr="00AB129A">
        <w:rPr>
          <w:i/>
          <w:iCs/>
        </w:rPr>
        <w:t xml:space="preserve">Observation </w:t>
      </w:r>
      <w:r w:rsidR="005B6484">
        <w:rPr>
          <w:i/>
          <w:iCs/>
        </w:rPr>
        <w:t>2</w:t>
      </w:r>
      <w:r w:rsidRPr="00AB129A">
        <w:rPr>
          <w:i/>
          <w:iCs/>
        </w:rPr>
        <w:t>: MME can acquire the UE capability for the current serving cell based on the cell type information (NTN or TN) received from gNB</w:t>
      </w:r>
      <w:r w:rsidR="00621876">
        <w:rPr>
          <w:i/>
          <w:iCs/>
        </w:rPr>
        <w:t xml:space="preserve"> </w:t>
      </w:r>
      <w:r w:rsidRPr="00AB129A">
        <w:rPr>
          <w:i/>
          <w:iCs/>
        </w:rPr>
        <w:t>by using the available methods for re-acquiring UE capability in the new cell.</w:t>
      </w:r>
    </w:p>
    <w:p w14:paraId="7E4D6C23" w14:textId="4A11253C" w:rsidR="00AB129A" w:rsidRPr="00AB129A" w:rsidRDefault="00AB129A" w:rsidP="00AB129A">
      <w:pPr>
        <w:rPr>
          <w:i/>
          <w:iCs/>
        </w:rPr>
      </w:pPr>
      <w:r w:rsidRPr="00AB129A">
        <w:rPr>
          <w:i/>
          <w:iCs/>
        </w:rPr>
        <w:t xml:space="preserve">Observation </w:t>
      </w:r>
      <w:r w:rsidR="005B6484">
        <w:rPr>
          <w:i/>
          <w:iCs/>
        </w:rPr>
        <w:t>3</w:t>
      </w:r>
      <w:r w:rsidRPr="00AB129A">
        <w:rPr>
          <w:i/>
          <w:iCs/>
        </w:rPr>
        <w:t>: Separate Radio paging capabilities for TN and NTN is not required for Rel-17 as the paging scenario covering both TN and NTN is not addressed in Rel-17.</w:t>
      </w:r>
    </w:p>
    <w:p w14:paraId="33C71A04" w14:textId="77777777" w:rsidR="007A1ACA" w:rsidRPr="007A1ACA" w:rsidRDefault="007A1ACA" w:rsidP="007A1ACA">
      <w:pPr>
        <w:rPr>
          <w:i/>
          <w:iCs/>
        </w:rPr>
      </w:pPr>
      <w:r w:rsidRPr="007A1ACA">
        <w:rPr>
          <w:i/>
          <w:iCs/>
        </w:rPr>
        <w:t>Observation 4: No connected mode impacts are foreseen for UE having separate capabilities for TN and NTN. In this case, MME can replace the latest capability obtained from UE in the target cell.</w:t>
      </w:r>
    </w:p>
    <w:p w14:paraId="6A2A3F17" w14:textId="357589F7" w:rsidR="00570329" w:rsidRDefault="00AB129A" w:rsidP="00032E96">
      <w:pPr>
        <w:ind w:left="284"/>
      </w:pPr>
      <w:r>
        <w:rPr>
          <w:b/>
          <w:bCs/>
        </w:rPr>
        <w:t>Proposal 1</w:t>
      </w:r>
      <w:r w:rsidRPr="00EE1CF6">
        <w:rPr>
          <w:b/>
          <w:bCs/>
        </w:rPr>
        <w:t>:</w:t>
      </w:r>
      <w:r>
        <w:rPr>
          <w:b/>
          <w:bCs/>
        </w:rPr>
        <w:t xml:space="preserve"> It is possible for IoT-NTN UE can have separate UE capability for TN and NTN without additional impacts to MME for Rel-17 using Network configuration for TA across TN and NTN cells.  </w:t>
      </w:r>
      <w:r w:rsidR="00032E96">
        <w:rPr>
          <w:b/>
          <w:bCs/>
        </w:rPr>
        <w:t xml:space="preserve">Draft LS response to SA2 </w:t>
      </w:r>
      <w:r w:rsidR="003F3AE4">
        <w:rPr>
          <w:b/>
          <w:bCs/>
        </w:rPr>
        <w:t>in line</w:t>
      </w:r>
      <w:r w:rsidR="00032E96">
        <w:rPr>
          <w:b/>
          <w:bCs/>
        </w:rPr>
        <w:t xml:space="preserve"> with the above proposal is provided in [2].</w:t>
      </w:r>
    </w:p>
    <w:p w14:paraId="60C7C582" w14:textId="73C83C85" w:rsidR="00905064" w:rsidRDefault="00905064" w:rsidP="00EB18F3">
      <w:pPr>
        <w:pStyle w:val="Heading1"/>
        <w:jc w:val="both"/>
      </w:pPr>
      <w:r>
        <w:t>References</w:t>
      </w:r>
    </w:p>
    <w:p w14:paraId="63C6A83C" w14:textId="109E22A5" w:rsidR="00032E96" w:rsidRDefault="00032E96" w:rsidP="00032E96">
      <w:r>
        <w:t xml:space="preserve">[1] </w:t>
      </w:r>
      <w:r w:rsidR="003F3AE4">
        <w:t xml:space="preserve">R2-2209197       </w:t>
      </w:r>
      <w:r>
        <w:t xml:space="preserve">LS Reply from SA2 on IoT-NTN UE capabilities </w:t>
      </w:r>
    </w:p>
    <w:p w14:paraId="206DD028" w14:textId="0B3B0BF7" w:rsidR="00032E96" w:rsidRPr="00032E96" w:rsidRDefault="00032E96" w:rsidP="00032E96">
      <w:r>
        <w:t>[2] R2-22</w:t>
      </w:r>
      <w:r w:rsidR="00B466E8">
        <w:t>10076</w:t>
      </w:r>
      <w:r>
        <w:t xml:space="preserve"> – Draft LS Response to SA2 on CN impacts for IoT-NTN UE capabilities</w:t>
      </w:r>
    </w:p>
    <w:p w14:paraId="10F1ED9E" w14:textId="77777777" w:rsidR="00E223F4" w:rsidRDefault="00E223F4" w:rsidP="00F80724">
      <w:pPr>
        <w:overflowPunct w:val="0"/>
        <w:autoSpaceDE w:val="0"/>
        <w:autoSpaceDN w:val="0"/>
        <w:adjustRightInd w:val="0"/>
        <w:ind w:left="357"/>
        <w:jc w:val="both"/>
        <w:textAlignment w:val="baseline"/>
      </w:pPr>
    </w:p>
    <w:sectPr w:rsidR="00E223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2700F" w14:textId="77777777" w:rsidR="009E6D82" w:rsidRDefault="009E6D82">
      <w:r>
        <w:separator/>
      </w:r>
    </w:p>
  </w:endnote>
  <w:endnote w:type="continuationSeparator" w:id="0">
    <w:p w14:paraId="689A7024" w14:textId="77777777" w:rsidR="009E6D82" w:rsidRDefault="009E6D82">
      <w:r>
        <w:continuationSeparator/>
      </w:r>
    </w:p>
  </w:endnote>
  <w:endnote w:type="continuationNotice" w:id="1">
    <w:p w14:paraId="5CBFB5FD" w14:textId="77777777" w:rsidR="009E6D82" w:rsidRDefault="009E6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BE573" w14:textId="77777777" w:rsidR="009E6D82" w:rsidRDefault="009E6D82">
      <w:r>
        <w:separator/>
      </w:r>
    </w:p>
  </w:footnote>
  <w:footnote w:type="continuationSeparator" w:id="0">
    <w:p w14:paraId="007ECB02" w14:textId="77777777" w:rsidR="009E6D82" w:rsidRDefault="009E6D82">
      <w:r>
        <w:continuationSeparator/>
      </w:r>
    </w:p>
  </w:footnote>
  <w:footnote w:type="continuationNotice" w:id="1">
    <w:p w14:paraId="50232C1C" w14:textId="77777777" w:rsidR="009E6D82" w:rsidRDefault="009E6D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E1961"/>
    <w:multiLevelType w:val="multilevel"/>
    <w:tmpl w:val="BF465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8082B"/>
    <w:multiLevelType w:val="hybridMultilevel"/>
    <w:tmpl w:val="11181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A13C7C"/>
    <w:multiLevelType w:val="multilevel"/>
    <w:tmpl w:val="5F6E9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B75E05"/>
    <w:multiLevelType w:val="multilevel"/>
    <w:tmpl w:val="8094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3A0D17"/>
    <w:multiLevelType w:val="hybridMultilevel"/>
    <w:tmpl w:val="BFA24134"/>
    <w:lvl w:ilvl="0" w:tplc="B0FAE9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733928"/>
    <w:multiLevelType w:val="hybridMultilevel"/>
    <w:tmpl w:val="CE1824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7F6543"/>
    <w:multiLevelType w:val="multilevel"/>
    <w:tmpl w:val="09B002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C756471"/>
    <w:multiLevelType w:val="multilevel"/>
    <w:tmpl w:val="199CE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4857EC"/>
    <w:multiLevelType w:val="hybridMultilevel"/>
    <w:tmpl w:val="9D74D8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9577E7"/>
    <w:multiLevelType w:val="hybridMultilevel"/>
    <w:tmpl w:val="5668589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2B3C633D"/>
    <w:multiLevelType w:val="multilevel"/>
    <w:tmpl w:val="B172F4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255370F"/>
    <w:multiLevelType w:val="multilevel"/>
    <w:tmpl w:val="F490F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1469B"/>
    <w:multiLevelType w:val="multilevel"/>
    <w:tmpl w:val="BDCEF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774241"/>
    <w:multiLevelType w:val="hybridMultilevel"/>
    <w:tmpl w:val="0EDECC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B125D29"/>
    <w:multiLevelType w:val="multilevel"/>
    <w:tmpl w:val="7BB405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C4C669F"/>
    <w:multiLevelType w:val="multilevel"/>
    <w:tmpl w:val="A01E4F9E"/>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ED81F09"/>
    <w:multiLevelType w:val="multilevel"/>
    <w:tmpl w:val="9DD6B81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FA1D9F"/>
    <w:multiLevelType w:val="multilevel"/>
    <w:tmpl w:val="044426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EF521BA"/>
    <w:multiLevelType w:val="multilevel"/>
    <w:tmpl w:val="3A566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4C078E"/>
    <w:multiLevelType w:val="multilevel"/>
    <w:tmpl w:val="22381F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3A7A20"/>
    <w:multiLevelType w:val="hybridMultilevel"/>
    <w:tmpl w:val="C03C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3300BF"/>
    <w:multiLevelType w:val="multilevel"/>
    <w:tmpl w:val="82DEE5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E4E6A17"/>
    <w:multiLevelType w:val="hybridMultilevel"/>
    <w:tmpl w:val="7B6084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1495"/>
        </w:tabs>
        <w:ind w:left="1495"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D1562D"/>
    <w:multiLevelType w:val="hybridMultilevel"/>
    <w:tmpl w:val="8B4C8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180A4F"/>
    <w:multiLevelType w:val="hybridMultilevel"/>
    <w:tmpl w:val="4AAE4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8"/>
  </w:num>
  <w:num w:numId="6">
    <w:abstractNumId w:val="27"/>
  </w:num>
  <w:num w:numId="7">
    <w:abstractNumId w:val="28"/>
  </w:num>
  <w:num w:numId="8">
    <w:abstractNumId w:val="32"/>
  </w:num>
  <w:num w:numId="9">
    <w:abstractNumId w:val="21"/>
  </w:num>
  <w:num w:numId="10">
    <w:abstractNumId w:val="42"/>
  </w:num>
  <w:num w:numId="11">
    <w:abstractNumId w:val="26"/>
  </w:num>
  <w:num w:numId="12">
    <w:abstractNumId w:val="36"/>
  </w:num>
  <w:num w:numId="13">
    <w:abstractNumId w:val="8"/>
  </w:num>
  <w:num w:numId="14">
    <w:abstractNumId w:val="14"/>
  </w:num>
  <w:num w:numId="15">
    <w:abstractNumId w:val="34"/>
  </w:num>
  <w:num w:numId="16">
    <w:abstractNumId w:val="4"/>
  </w:num>
  <w:num w:numId="17">
    <w:abstractNumId w:val="29"/>
  </w:num>
  <w:num w:numId="18">
    <w:abstractNumId w:val="24"/>
  </w:num>
  <w:num w:numId="19">
    <w:abstractNumId w:val="39"/>
  </w:num>
  <w:num w:numId="20">
    <w:abstractNumId w:val="7"/>
  </w:num>
  <w:num w:numId="21">
    <w:abstractNumId w:val="25"/>
  </w:num>
  <w:num w:numId="22">
    <w:abstractNumId w:val="16"/>
  </w:num>
  <w:num w:numId="23">
    <w:abstractNumId w:val="37"/>
  </w:num>
  <w:num w:numId="24">
    <w:abstractNumId w:val="11"/>
  </w:num>
  <w:num w:numId="25">
    <w:abstractNumId w:val="23"/>
  </w:num>
  <w:num w:numId="26">
    <w:abstractNumId w:val="30"/>
  </w:num>
  <w:num w:numId="27">
    <w:abstractNumId w:val="20"/>
  </w:num>
  <w:num w:numId="28">
    <w:abstractNumId w:val="12"/>
  </w:num>
  <w:num w:numId="29">
    <w:abstractNumId w:val="2"/>
  </w:num>
  <w:num w:numId="30">
    <w:abstractNumId w:val="33"/>
  </w:num>
  <w:num w:numId="31">
    <w:abstractNumId w:val="17"/>
  </w:num>
  <w:num w:numId="32">
    <w:abstractNumId w:val="43"/>
  </w:num>
  <w:num w:numId="33">
    <w:abstractNumId w:val="3"/>
  </w:num>
  <w:num w:numId="34">
    <w:abstractNumId w:val="41"/>
  </w:num>
  <w:num w:numId="35">
    <w:abstractNumId w:val="10"/>
  </w:num>
  <w:num w:numId="36">
    <w:abstractNumId w:val="22"/>
  </w:num>
  <w:num w:numId="37">
    <w:abstractNumId w:val="13"/>
  </w:num>
  <w:num w:numId="38">
    <w:abstractNumId w:val="31"/>
  </w:num>
  <w:num w:numId="39">
    <w:abstractNumId w:val="31"/>
  </w:num>
  <w:num w:numId="40">
    <w:abstractNumId w:val="5"/>
  </w:num>
  <w:num w:numId="41">
    <w:abstractNumId w:val="35"/>
  </w:num>
  <w:num w:numId="42">
    <w:abstractNumId w:val="6"/>
  </w:num>
  <w:num w:numId="43">
    <w:abstractNumId w:val="40"/>
  </w:num>
  <w:num w:numId="44">
    <w:abstractNumId w:val="9"/>
  </w:num>
  <w:num w:numId="45">
    <w:abstractNumId w:val="15"/>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45"/>
    <w:rsid w:val="000013CD"/>
    <w:rsid w:val="00006C10"/>
    <w:rsid w:val="00006FEB"/>
    <w:rsid w:val="00016557"/>
    <w:rsid w:val="00021FD4"/>
    <w:rsid w:val="00023C40"/>
    <w:rsid w:val="00026030"/>
    <w:rsid w:val="00032E96"/>
    <w:rsid w:val="00033397"/>
    <w:rsid w:val="00034F30"/>
    <w:rsid w:val="00035B5A"/>
    <w:rsid w:val="00037DB0"/>
    <w:rsid w:val="00040095"/>
    <w:rsid w:val="00040B1B"/>
    <w:rsid w:val="00043E64"/>
    <w:rsid w:val="00052FEF"/>
    <w:rsid w:val="00054AC6"/>
    <w:rsid w:val="00060517"/>
    <w:rsid w:val="00064660"/>
    <w:rsid w:val="00065268"/>
    <w:rsid w:val="00065DE7"/>
    <w:rsid w:val="00071806"/>
    <w:rsid w:val="00073C9C"/>
    <w:rsid w:val="000749ED"/>
    <w:rsid w:val="00076412"/>
    <w:rsid w:val="000775EE"/>
    <w:rsid w:val="00080512"/>
    <w:rsid w:val="00083FC6"/>
    <w:rsid w:val="00087DFE"/>
    <w:rsid w:val="00090468"/>
    <w:rsid w:val="00094568"/>
    <w:rsid w:val="00095E6C"/>
    <w:rsid w:val="000A074B"/>
    <w:rsid w:val="000A325A"/>
    <w:rsid w:val="000A412B"/>
    <w:rsid w:val="000A4DDA"/>
    <w:rsid w:val="000A4E0C"/>
    <w:rsid w:val="000B7BCF"/>
    <w:rsid w:val="000B7BEF"/>
    <w:rsid w:val="000C0007"/>
    <w:rsid w:val="000C025F"/>
    <w:rsid w:val="000C1678"/>
    <w:rsid w:val="000C17F8"/>
    <w:rsid w:val="000C4FE3"/>
    <w:rsid w:val="000C522B"/>
    <w:rsid w:val="000C5370"/>
    <w:rsid w:val="000C6484"/>
    <w:rsid w:val="000D2898"/>
    <w:rsid w:val="000D3ED1"/>
    <w:rsid w:val="000D5527"/>
    <w:rsid w:val="000D58AB"/>
    <w:rsid w:val="000D6E36"/>
    <w:rsid w:val="000F5CB2"/>
    <w:rsid w:val="000F65D7"/>
    <w:rsid w:val="0011043F"/>
    <w:rsid w:val="0011083B"/>
    <w:rsid w:val="00112F1A"/>
    <w:rsid w:val="00114385"/>
    <w:rsid w:val="0011502E"/>
    <w:rsid w:val="00120B16"/>
    <w:rsid w:val="00122477"/>
    <w:rsid w:val="0012274D"/>
    <w:rsid w:val="001327BD"/>
    <w:rsid w:val="00134762"/>
    <w:rsid w:val="00145075"/>
    <w:rsid w:val="00152401"/>
    <w:rsid w:val="001572B1"/>
    <w:rsid w:val="00160B7A"/>
    <w:rsid w:val="00161B18"/>
    <w:rsid w:val="00164A74"/>
    <w:rsid w:val="00171A31"/>
    <w:rsid w:val="00172F3A"/>
    <w:rsid w:val="001741A0"/>
    <w:rsid w:val="00175123"/>
    <w:rsid w:val="00175EB4"/>
    <w:rsid w:val="00175FA0"/>
    <w:rsid w:val="0017647F"/>
    <w:rsid w:val="00176F04"/>
    <w:rsid w:val="00177F47"/>
    <w:rsid w:val="00177FE7"/>
    <w:rsid w:val="0018110C"/>
    <w:rsid w:val="001826DC"/>
    <w:rsid w:val="001832D1"/>
    <w:rsid w:val="00187D61"/>
    <w:rsid w:val="00190DD5"/>
    <w:rsid w:val="00194CD0"/>
    <w:rsid w:val="001A638A"/>
    <w:rsid w:val="001A6C10"/>
    <w:rsid w:val="001B1FA8"/>
    <w:rsid w:val="001B4233"/>
    <w:rsid w:val="001B49C9"/>
    <w:rsid w:val="001B57CE"/>
    <w:rsid w:val="001B7BB1"/>
    <w:rsid w:val="001C23F4"/>
    <w:rsid w:val="001C2E2E"/>
    <w:rsid w:val="001C4F79"/>
    <w:rsid w:val="001C5DEB"/>
    <w:rsid w:val="001C62D1"/>
    <w:rsid w:val="001D1F4E"/>
    <w:rsid w:val="001D3D71"/>
    <w:rsid w:val="001D56C7"/>
    <w:rsid w:val="001D5EFB"/>
    <w:rsid w:val="001E15A7"/>
    <w:rsid w:val="001E1A6E"/>
    <w:rsid w:val="001F168B"/>
    <w:rsid w:val="001F44CA"/>
    <w:rsid w:val="001F531E"/>
    <w:rsid w:val="001F633A"/>
    <w:rsid w:val="001F6598"/>
    <w:rsid w:val="001F70A9"/>
    <w:rsid w:val="001F7831"/>
    <w:rsid w:val="00201F61"/>
    <w:rsid w:val="00204045"/>
    <w:rsid w:val="0020523D"/>
    <w:rsid w:val="002056E1"/>
    <w:rsid w:val="0020712B"/>
    <w:rsid w:val="002103BD"/>
    <w:rsid w:val="002173FB"/>
    <w:rsid w:val="00217F50"/>
    <w:rsid w:val="00221598"/>
    <w:rsid w:val="002216A4"/>
    <w:rsid w:val="0022274D"/>
    <w:rsid w:val="0022606D"/>
    <w:rsid w:val="00231728"/>
    <w:rsid w:val="00232F34"/>
    <w:rsid w:val="0024270F"/>
    <w:rsid w:val="002442D9"/>
    <w:rsid w:val="00244A05"/>
    <w:rsid w:val="00245AF2"/>
    <w:rsid w:val="00246DB7"/>
    <w:rsid w:val="00250003"/>
    <w:rsid w:val="00250404"/>
    <w:rsid w:val="00250862"/>
    <w:rsid w:val="002514C4"/>
    <w:rsid w:val="00251980"/>
    <w:rsid w:val="0025243B"/>
    <w:rsid w:val="00255774"/>
    <w:rsid w:val="00256B74"/>
    <w:rsid w:val="0025752E"/>
    <w:rsid w:val="002610D8"/>
    <w:rsid w:val="00262545"/>
    <w:rsid w:val="0026493A"/>
    <w:rsid w:val="00270507"/>
    <w:rsid w:val="002731A1"/>
    <w:rsid w:val="00273845"/>
    <w:rsid w:val="00273CBC"/>
    <w:rsid w:val="002747EC"/>
    <w:rsid w:val="002820F0"/>
    <w:rsid w:val="002833A5"/>
    <w:rsid w:val="002855BF"/>
    <w:rsid w:val="002922FE"/>
    <w:rsid w:val="00292934"/>
    <w:rsid w:val="00292FAA"/>
    <w:rsid w:val="002A3CF3"/>
    <w:rsid w:val="002B2988"/>
    <w:rsid w:val="002B2F1F"/>
    <w:rsid w:val="002B3A01"/>
    <w:rsid w:val="002B4F63"/>
    <w:rsid w:val="002C209C"/>
    <w:rsid w:val="002C30B7"/>
    <w:rsid w:val="002C64B2"/>
    <w:rsid w:val="002D3316"/>
    <w:rsid w:val="002D54BC"/>
    <w:rsid w:val="002D7B0A"/>
    <w:rsid w:val="002E131C"/>
    <w:rsid w:val="002E42C3"/>
    <w:rsid w:val="002E5263"/>
    <w:rsid w:val="002E5E3F"/>
    <w:rsid w:val="002E729F"/>
    <w:rsid w:val="002F04D9"/>
    <w:rsid w:val="002F0D22"/>
    <w:rsid w:val="002F27ED"/>
    <w:rsid w:val="002F5CA6"/>
    <w:rsid w:val="0030352D"/>
    <w:rsid w:val="00304D6F"/>
    <w:rsid w:val="00304F63"/>
    <w:rsid w:val="00310E3E"/>
    <w:rsid w:val="00311B17"/>
    <w:rsid w:val="0031263F"/>
    <w:rsid w:val="0031293C"/>
    <w:rsid w:val="00313ECF"/>
    <w:rsid w:val="00315251"/>
    <w:rsid w:val="00316BD0"/>
    <w:rsid w:val="003172DC"/>
    <w:rsid w:val="00321592"/>
    <w:rsid w:val="00323F01"/>
    <w:rsid w:val="003253B0"/>
    <w:rsid w:val="00325AE3"/>
    <w:rsid w:val="00326069"/>
    <w:rsid w:val="00327BA6"/>
    <w:rsid w:val="00331ED6"/>
    <w:rsid w:val="00336BE1"/>
    <w:rsid w:val="00337758"/>
    <w:rsid w:val="00341142"/>
    <w:rsid w:val="00342442"/>
    <w:rsid w:val="003452D7"/>
    <w:rsid w:val="00352984"/>
    <w:rsid w:val="0035462D"/>
    <w:rsid w:val="0035663D"/>
    <w:rsid w:val="0036132B"/>
    <w:rsid w:val="0036459E"/>
    <w:rsid w:val="00364B41"/>
    <w:rsid w:val="00366A6D"/>
    <w:rsid w:val="003732AC"/>
    <w:rsid w:val="00380120"/>
    <w:rsid w:val="00381498"/>
    <w:rsid w:val="003815FC"/>
    <w:rsid w:val="00381CE9"/>
    <w:rsid w:val="00383096"/>
    <w:rsid w:val="003849CD"/>
    <w:rsid w:val="00387768"/>
    <w:rsid w:val="003914C1"/>
    <w:rsid w:val="0039238C"/>
    <w:rsid w:val="00392842"/>
    <w:rsid w:val="0039346C"/>
    <w:rsid w:val="00396B35"/>
    <w:rsid w:val="00397018"/>
    <w:rsid w:val="003A41EF"/>
    <w:rsid w:val="003A5F51"/>
    <w:rsid w:val="003A6D50"/>
    <w:rsid w:val="003B3107"/>
    <w:rsid w:val="003B3F6F"/>
    <w:rsid w:val="003B40AD"/>
    <w:rsid w:val="003C016D"/>
    <w:rsid w:val="003C4E37"/>
    <w:rsid w:val="003D654B"/>
    <w:rsid w:val="003E082F"/>
    <w:rsid w:val="003E16BE"/>
    <w:rsid w:val="003E5B9A"/>
    <w:rsid w:val="003E6A2E"/>
    <w:rsid w:val="003F0225"/>
    <w:rsid w:val="003F12B2"/>
    <w:rsid w:val="003F3AE4"/>
    <w:rsid w:val="003F4E28"/>
    <w:rsid w:val="003F56C8"/>
    <w:rsid w:val="003F5940"/>
    <w:rsid w:val="003F7861"/>
    <w:rsid w:val="004006E8"/>
    <w:rsid w:val="00401855"/>
    <w:rsid w:val="004022C0"/>
    <w:rsid w:val="00403AB8"/>
    <w:rsid w:val="00407F65"/>
    <w:rsid w:val="00411D8D"/>
    <w:rsid w:val="004174BF"/>
    <w:rsid w:val="00423CF0"/>
    <w:rsid w:val="00434239"/>
    <w:rsid w:val="00436114"/>
    <w:rsid w:val="00440602"/>
    <w:rsid w:val="00443885"/>
    <w:rsid w:val="00443C10"/>
    <w:rsid w:val="00446C3A"/>
    <w:rsid w:val="00446F38"/>
    <w:rsid w:val="00450FC7"/>
    <w:rsid w:val="00451326"/>
    <w:rsid w:val="00453B27"/>
    <w:rsid w:val="00454237"/>
    <w:rsid w:val="00454B76"/>
    <w:rsid w:val="00455B76"/>
    <w:rsid w:val="00456A81"/>
    <w:rsid w:val="00457427"/>
    <w:rsid w:val="00464782"/>
    <w:rsid w:val="00465587"/>
    <w:rsid w:val="004674A7"/>
    <w:rsid w:val="00474755"/>
    <w:rsid w:val="00477455"/>
    <w:rsid w:val="00486F4E"/>
    <w:rsid w:val="0048760E"/>
    <w:rsid w:val="004936EA"/>
    <w:rsid w:val="004A0CE5"/>
    <w:rsid w:val="004A11D3"/>
    <w:rsid w:val="004A1F7B"/>
    <w:rsid w:val="004B00B0"/>
    <w:rsid w:val="004B3936"/>
    <w:rsid w:val="004B4CBC"/>
    <w:rsid w:val="004B5B88"/>
    <w:rsid w:val="004C0B78"/>
    <w:rsid w:val="004C44D2"/>
    <w:rsid w:val="004C7454"/>
    <w:rsid w:val="004C78C9"/>
    <w:rsid w:val="004D17EE"/>
    <w:rsid w:val="004D3578"/>
    <w:rsid w:val="004D380D"/>
    <w:rsid w:val="004D3C70"/>
    <w:rsid w:val="004D6BFA"/>
    <w:rsid w:val="004E213A"/>
    <w:rsid w:val="004E6F2C"/>
    <w:rsid w:val="004F2421"/>
    <w:rsid w:val="004F4540"/>
    <w:rsid w:val="004F73A7"/>
    <w:rsid w:val="004F7BDE"/>
    <w:rsid w:val="005007DE"/>
    <w:rsid w:val="00503171"/>
    <w:rsid w:val="00506C28"/>
    <w:rsid w:val="005245F1"/>
    <w:rsid w:val="00524DFD"/>
    <w:rsid w:val="005250BC"/>
    <w:rsid w:val="005252F1"/>
    <w:rsid w:val="00527DE1"/>
    <w:rsid w:val="00532EFD"/>
    <w:rsid w:val="005340D8"/>
    <w:rsid w:val="00534656"/>
    <w:rsid w:val="00534DA0"/>
    <w:rsid w:val="00535EBA"/>
    <w:rsid w:val="0054094B"/>
    <w:rsid w:val="00541954"/>
    <w:rsid w:val="00543E6C"/>
    <w:rsid w:val="005445C4"/>
    <w:rsid w:val="00545BB0"/>
    <w:rsid w:val="005460CB"/>
    <w:rsid w:val="005504C2"/>
    <w:rsid w:val="00557A20"/>
    <w:rsid w:val="00561505"/>
    <w:rsid w:val="00562245"/>
    <w:rsid w:val="00564A72"/>
    <w:rsid w:val="00565087"/>
    <w:rsid w:val="0056573F"/>
    <w:rsid w:val="0056594D"/>
    <w:rsid w:val="00570329"/>
    <w:rsid w:val="00571279"/>
    <w:rsid w:val="00572D44"/>
    <w:rsid w:val="00586992"/>
    <w:rsid w:val="00595CD9"/>
    <w:rsid w:val="00596F42"/>
    <w:rsid w:val="005A13AB"/>
    <w:rsid w:val="005A1DBB"/>
    <w:rsid w:val="005A1F52"/>
    <w:rsid w:val="005A3A65"/>
    <w:rsid w:val="005A49C6"/>
    <w:rsid w:val="005A5219"/>
    <w:rsid w:val="005A7E53"/>
    <w:rsid w:val="005B308D"/>
    <w:rsid w:val="005B3B60"/>
    <w:rsid w:val="005B6484"/>
    <w:rsid w:val="005B7AC1"/>
    <w:rsid w:val="005C037E"/>
    <w:rsid w:val="005C26C4"/>
    <w:rsid w:val="005C3828"/>
    <w:rsid w:val="005C766E"/>
    <w:rsid w:val="005C7CD5"/>
    <w:rsid w:val="005D06A4"/>
    <w:rsid w:val="005D53F6"/>
    <w:rsid w:val="005D6DCF"/>
    <w:rsid w:val="005D71C5"/>
    <w:rsid w:val="005E090D"/>
    <w:rsid w:val="005E0BF0"/>
    <w:rsid w:val="005E434F"/>
    <w:rsid w:val="005E57B3"/>
    <w:rsid w:val="005E65F6"/>
    <w:rsid w:val="005F0DED"/>
    <w:rsid w:val="005F37F7"/>
    <w:rsid w:val="00600D82"/>
    <w:rsid w:val="00611566"/>
    <w:rsid w:val="006119C4"/>
    <w:rsid w:val="006123DE"/>
    <w:rsid w:val="00621876"/>
    <w:rsid w:val="006230AE"/>
    <w:rsid w:val="006251AC"/>
    <w:rsid w:val="00633C7F"/>
    <w:rsid w:val="00644633"/>
    <w:rsid w:val="00646D99"/>
    <w:rsid w:val="00653708"/>
    <w:rsid w:val="00656908"/>
    <w:rsid w:val="00656910"/>
    <w:rsid w:val="006574C0"/>
    <w:rsid w:val="006631D3"/>
    <w:rsid w:val="00663F1F"/>
    <w:rsid w:val="00664071"/>
    <w:rsid w:val="006662B0"/>
    <w:rsid w:val="00675889"/>
    <w:rsid w:val="006810E5"/>
    <w:rsid w:val="00683EFD"/>
    <w:rsid w:val="00684DC4"/>
    <w:rsid w:val="006908E8"/>
    <w:rsid w:val="00696821"/>
    <w:rsid w:val="006A0E8D"/>
    <w:rsid w:val="006A3427"/>
    <w:rsid w:val="006B09C0"/>
    <w:rsid w:val="006B5626"/>
    <w:rsid w:val="006B5764"/>
    <w:rsid w:val="006C284A"/>
    <w:rsid w:val="006C66D8"/>
    <w:rsid w:val="006C7033"/>
    <w:rsid w:val="006C7335"/>
    <w:rsid w:val="006D0DA2"/>
    <w:rsid w:val="006D1E24"/>
    <w:rsid w:val="006D35DE"/>
    <w:rsid w:val="006D37B0"/>
    <w:rsid w:val="006D42AB"/>
    <w:rsid w:val="006D5CD6"/>
    <w:rsid w:val="006E1057"/>
    <w:rsid w:val="006E1417"/>
    <w:rsid w:val="006E2269"/>
    <w:rsid w:val="006E2F78"/>
    <w:rsid w:val="006F1680"/>
    <w:rsid w:val="006F4109"/>
    <w:rsid w:val="006F5217"/>
    <w:rsid w:val="006F54BB"/>
    <w:rsid w:val="006F634D"/>
    <w:rsid w:val="006F6A2C"/>
    <w:rsid w:val="007069DC"/>
    <w:rsid w:val="00710201"/>
    <w:rsid w:val="007113F6"/>
    <w:rsid w:val="0071329E"/>
    <w:rsid w:val="0072073A"/>
    <w:rsid w:val="007249C2"/>
    <w:rsid w:val="00732162"/>
    <w:rsid w:val="007342B5"/>
    <w:rsid w:val="00734A5B"/>
    <w:rsid w:val="007449FA"/>
    <w:rsid w:val="00744E76"/>
    <w:rsid w:val="0074513A"/>
    <w:rsid w:val="007555C6"/>
    <w:rsid w:val="00757D40"/>
    <w:rsid w:val="00760C96"/>
    <w:rsid w:val="00763C2C"/>
    <w:rsid w:val="007662B5"/>
    <w:rsid w:val="00766FD1"/>
    <w:rsid w:val="007772EA"/>
    <w:rsid w:val="007817FB"/>
    <w:rsid w:val="00781F0F"/>
    <w:rsid w:val="00784BAD"/>
    <w:rsid w:val="0078727C"/>
    <w:rsid w:val="00787E37"/>
    <w:rsid w:val="0079049D"/>
    <w:rsid w:val="00791062"/>
    <w:rsid w:val="00793110"/>
    <w:rsid w:val="00793DC5"/>
    <w:rsid w:val="007953DE"/>
    <w:rsid w:val="00796823"/>
    <w:rsid w:val="007A1ACA"/>
    <w:rsid w:val="007A2106"/>
    <w:rsid w:val="007A2E55"/>
    <w:rsid w:val="007A3E92"/>
    <w:rsid w:val="007A4192"/>
    <w:rsid w:val="007A6D44"/>
    <w:rsid w:val="007A7C00"/>
    <w:rsid w:val="007B0491"/>
    <w:rsid w:val="007B086E"/>
    <w:rsid w:val="007B189F"/>
    <w:rsid w:val="007B18D8"/>
    <w:rsid w:val="007B4D8C"/>
    <w:rsid w:val="007B5860"/>
    <w:rsid w:val="007B7010"/>
    <w:rsid w:val="007C095F"/>
    <w:rsid w:val="007C2DD0"/>
    <w:rsid w:val="007C3432"/>
    <w:rsid w:val="007C73B6"/>
    <w:rsid w:val="007D2612"/>
    <w:rsid w:val="007D6380"/>
    <w:rsid w:val="007D79FC"/>
    <w:rsid w:val="007E041C"/>
    <w:rsid w:val="007E10CF"/>
    <w:rsid w:val="007E1894"/>
    <w:rsid w:val="007E4D3A"/>
    <w:rsid w:val="007E574E"/>
    <w:rsid w:val="007E7612"/>
    <w:rsid w:val="007E7A6C"/>
    <w:rsid w:val="007F2E08"/>
    <w:rsid w:val="007F46EE"/>
    <w:rsid w:val="007F4760"/>
    <w:rsid w:val="007F6551"/>
    <w:rsid w:val="0080054F"/>
    <w:rsid w:val="008024FA"/>
    <w:rsid w:val="008028A4"/>
    <w:rsid w:val="008034D3"/>
    <w:rsid w:val="00803623"/>
    <w:rsid w:val="00806A92"/>
    <w:rsid w:val="00807703"/>
    <w:rsid w:val="0081107C"/>
    <w:rsid w:val="00813245"/>
    <w:rsid w:val="00813765"/>
    <w:rsid w:val="00816C0D"/>
    <w:rsid w:val="00816CBD"/>
    <w:rsid w:val="00821D85"/>
    <w:rsid w:val="00824FDA"/>
    <w:rsid w:val="008322BB"/>
    <w:rsid w:val="0084007B"/>
    <w:rsid w:val="0084058A"/>
    <w:rsid w:val="00840DE0"/>
    <w:rsid w:val="00842F34"/>
    <w:rsid w:val="008444F9"/>
    <w:rsid w:val="008450D7"/>
    <w:rsid w:val="0084729B"/>
    <w:rsid w:val="00847CD0"/>
    <w:rsid w:val="00851CF8"/>
    <w:rsid w:val="00855108"/>
    <w:rsid w:val="00857F30"/>
    <w:rsid w:val="008607A8"/>
    <w:rsid w:val="00862011"/>
    <w:rsid w:val="00862E03"/>
    <w:rsid w:val="0086354A"/>
    <w:rsid w:val="0086467E"/>
    <w:rsid w:val="008659C6"/>
    <w:rsid w:val="00865F03"/>
    <w:rsid w:val="00872A4A"/>
    <w:rsid w:val="00874C00"/>
    <w:rsid w:val="00874DF3"/>
    <w:rsid w:val="008768CA"/>
    <w:rsid w:val="00877EE5"/>
    <w:rsid w:val="00877EF9"/>
    <w:rsid w:val="00880559"/>
    <w:rsid w:val="00881EB2"/>
    <w:rsid w:val="008913DB"/>
    <w:rsid w:val="0089338A"/>
    <w:rsid w:val="008948D7"/>
    <w:rsid w:val="008954D7"/>
    <w:rsid w:val="008977F7"/>
    <w:rsid w:val="008A02E3"/>
    <w:rsid w:val="008A7E1E"/>
    <w:rsid w:val="008B1578"/>
    <w:rsid w:val="008B5306"/>
    <w:rsid w:val="008C0527"/>
    <w:rsid w:val="008C0639"/>
    <w:rsid w:val="008C2E2A"/>
    <w:rsid w:val="008C3057"/>
    <w:rsid w:val="008C35E7"/>
    <w:rsid w:val="008C4E49"/>
    <w:rsid w:val="008C642A"/>
    <w:rsid w:val="008D2C3D"/>
    <w:rsid w:val="008D2E4D"/>
    <w:rsid w:val="008D626F"/>
    <w:rsid w:val="008E0BE0"/>
    <w:rsid w:val="008E2B56"/>
    <w:rsid w:val="008E311B"/>
    <w:rsid w:val="008E58A4"/>
    <w:rsid w:val="008E6FAC"/>
    <w:rsid w:val="008E7A77"/>
    <w:rsid w:val="008F0298"/>
    <w:rsid w:val="008F396F"/>
    <w:rsid w:val="008F3DCD"/>
    <w:rsid w:val="00900C20"/>
    <w:rsid w:val="0090271F"/>
    <w:rsid w:val="00902DB9"/>
    <w:rsid w:val="0090466A"/>
    <w:rsid w:val="00905064"/>
    <w:rsid w:val="00907910"/>
    <w:rsid w:val="009079FF"/>
    <w:rsid w:val="0091326C"/>
    <w:rsid w:val="009135E7"/>
    <w:rsid w:val="00922F3A"/>
    <w:rsid w:val="00923655"/>
    <w:rsid w:val="00925435"/>
    <w:rsid w:val="00926C00"/>
    <w:rsid w:val="009308ED"/>
    <w:rsid w:val="009339CB"/>
    <w:rsid w:val="00936071"/>
    <w:rsid w:val="00937345"/>
    <w:rsid w:val="009376CD"/>
    <w:rsid w:val="00937D83"/>
    <w:rsid w:val="00940212"/>
    <w:rsid w:val="009429E7"/>
    <w:rsid w:val="00942EC2"/>
    <w:rsid w:val="00943CD9"/>
    <w:rsid w:val="00944907"/>
    <w:rsid w:val="00944A30"/>
    <w:rsid w:val="0094561D"/>
    <w:rsid w:val="0095032F"/>
    <w:rsid w:val="0095543F"/>
    <w:rsid w:val="00961B32"/>
    <w:rsid w:val="00962509"/>
    <w:rsid w:val="00970DB3"/>
    <w:rsid w:val="00974BB0"/>
    <w:rsid w:val="00975BCD"/>
    <w:rsid w:val="00982BE1"/>
    <w:rsid w:val="00987FF9"/>
    <w:rsid w:val="00990310"/>
    <w:rsid w:val="009928A9"/>
    <w:rsid w:val="00993CAF"/>
    <w:rsid w:val="009A0AF3"/>
    <w:rsid w:val="009A3D38"/>
    <w:rsid w:val="009A4B27"/>
    <w:rsid w:val="009A5BE4"/>
    <w:rsid w:val="009B07CD"/>
    <w:rsid w:val="009B0E6B"/>
    <w:rsid w:val="009B3589"/>
    <w:rsid w:val="009B388C"/>
    <w:rsid w:val="009C065F"/>
    <w:rsid w:val="009C19E9"/>
    <w:rsid w:val="009C2F6B"/>
    <w:rsid w:val="009C69AA"/>
    <w:rsid w:val="009D162C"/>
    <w:rsid w:val="009D28C4"/>
    <w:rsid w:val="009D60EB"/>
    <w:rsid w:val="009D74A6"/>
    <w:rsid w:val="009E0E87"/>
    <w:rsid w:val="009E54CC"/>
    <w:rsid w:val="009E5B89"/>
    <w:rsid w:val="009E6D82"/>
    <w:rsid w:val="009F2682"/>
    <w:rsid w:val="009F6566"/>
    <w:rsid w:val="009F6B29"/>
    <w:rsid w:val="009F7FBB"/>
    <w:rsid w:val="00A0531E"/>
    <w:rsid w:val="00A069AD"/>
    <w:rsid w:val="00A10F02"/>
    <w:rsid w:val="00A12E41"/>
    <w:rsid w:val="00A13630"/>
    <w:rsid w:val="00A1713B"/>
    <w:rsid w:val="00A17B69"/>
    <w:rsid w:val="00A204CA"/>
    <w:rsid w:val="00A209D6"/>
    <w:rsid w:val="00A21586"/>
    <w:rsid w:val="00A22738"/>
    <w:rsid w:val="00A252B3"/>
    <w:rsid w:val="00A26D4E"/>
    <w:rsid w:val="00A27697"/>
    <w:rsid w:val="00A30806"/>
    <w:rsid w:val="00A31E7A"/>
    <w:rsid w:val="00A33E99"/>
    <w:rsid w:val="00A36F5F"/>
    <w:rsid w:val="00A3772E"/>
    <w:rsid w:val="00A430EC"/>
    <w:rsid w:val="00A51159"/>
    <w:rsid w:val="00A53724"/>
    <w:rsid w:val="00A53BCE"/>
    <w:rsid w:val="00A54B2B"/>
    <w:rsid w:val="00A55C40"/>
    <w:rsid w:val="00A635A4"/>
    <w:rsid w:val="00A640D6"/>
    <w:rsid w:val="00A6775F"/>
    <w:rsid w:val="00A703B6"/>
    <w:rsid w:val="00A72114"/>
    <w:rsid w:val="00A75F1E"/>
    <w:rsid w:val="00A82090"/>
    <w:rsid w:val="00A82346"/>
    <w:rsid w:val="00A83E67"/>
    <w:rsid w:val="00A959CE"/>
    <w:rsid w:val="00A9671C"/>
    <w:rsid w:val="00AA1553"/>
    <w:rsid w:val="00AA195B"/>
    <w:rsid w:val="00AA2D73"/>
    <w:rsid w:val="00AA5888"/>
    <w:rsid w:val="00AB129A"/>
    <w:rsid w:val="00AB19E9"/>
    <w:rsid w:val="00AB6758"/>
    <w:rsid w:val="00AB7BAF"/>
    <w:rsid w:val="00AC1377"/>
    <w:rsid w:val="00AC3171"/>
    <w:rsid w:val="00AC4C8B"/>
    <w:rsid w:val="00AC5E01"/>
    <w:rsid w:val="00AC7C2E"/>
    <w:rsid w:val="00AD4CBF"/>
    <w:rsid w:val="00AD5E87"/>
    <w:rsid w:val="00AE6197"/>
    <w:rsid w:val="00AE7976"/>
    <w:rsid w:val="00AF307F"/>
    <w:rsid w:val="00AF5231"/>
    <w:rsid w:val="00AF7FCD"/>
    <w:rsid w:val="00B0087E"/>
    <w:rsid w:val="00B014FF"/>
    <w:rsid w:val="00B05380"/>
    <w:rsid w:val="00B05962"/>
    <w:rsid w:val="00B07617"/>
    <w:rsid w:val="00B12500"/>
    <w:rsid w:val="00B144A3"/>
    <w:rsid w:val="00B15347"/>
    <w:rsid w:val="00B15449"/>
    <w:rsid w:val="00B154EA"/>
    <w:rsid w:val="00B162FC"/>
    <w:rsid w:val="00B16BE3"/>
    <w:rsid w:val="00B16C2F"/>
    <w:rsid w:val="00B1797C"/>
    <w:rsid w:val="00B179A8"/>
    <w:rsid w:val="00B17CD4"/>
    <w:rsid w:val="00B20AE3"/>
    <w:rsid w:val="00B27303"/>
    <w:rsid w:val="00B3574D"/>
    <w:rsid w:val="00B36AAF"/>
    <w:rsid w:val="00B466E8"/>
    <w:rsid w:val="00B46852"/>
    <w:rsid w:val="00B47FD1"/>
    <w:rsid w:val="00B502BA"/>
    <w:rsid w:val="00B516BB"/>
    <w:rsid w:val="00B53F25"/>
    <w:rsid w:val="00B568D2"/>
    <w:rsid w:val="00B57208"/>
    <w:rsid w:val="00B60F67"/>
    <w:rsid w:val="00B62259"/>
    <w:rsid w:val="00B63D4F"/>
    <w:rsid w:val="00B63E1E"/>
    <w:rsid w:val="00B64CE4"/>
    <w:rsid w:val="00B67287"/>
    <w:rsid w:val="00B717DD"/>
    <w:rsid w:val="00B71E3E"/>
    <w:rsid w:val="00B74BE4"/>
    <w:rsid w:val="00B7538C"/>
    <w:rsid w:val="00B83324"/>
    <w:rsid w:val="00B8465F"/>
    <w:rsid w:val="00B84DB2"/>
    <w:rsid w:val="00B85A17"/>
    <w:rsid w:val="00B8633B"/>
    <w:rsid w:val="00B86DB3"/>
    <w:rsid w:val="00B951E0"/>
    <w:rsid w:val="00BA12FE"/>
    <w:rsid w:val="00BA3E3B"/>
    <w:rsid w:val="00BA402D"/>
    <w:rsid w:val="00BA4F74"/>
    <w:rsid w:val="00BA7BCC"/>
    <w:rsid w:val="00BB03DB"/>
    <w:rsid w:val="00BB30B4"/>
    <w:rsid w:val="00BB5D81"/>
    <w:rsid w:val="00BC3555"/>
    <w:rsid w:val="00BC5BF6"/>
    <w:rsid w:val="00BC785E"/>
    <w:rsid w:val="00BC7F7C"/>
    <w:rsid w:val="00BD0646"/>
    <w:rsid w:val="00BD15ED"/>
    <w:rsid w:val="00BD4F77"/>
    <w:rsid w:val="00BD7961"/>
    <w:rsid w:val="00BE0A36"/>
    <w:rsid w:val="00BE465A"/>
    <w:rsid w:val="00C0326F"/>
    <w:rsid w:val="00C037E9"/>
    <w:rsid w:val="00C05C6C"/>
    <w:rsid w:val="00C10323"/>
    <w:rsid w:val="00C12B51"/>
    <w:rsid w:val="00C12DC2"/>
    <w:rsid w:val="00C1643D"/>
    <w:rsid w:val="00C24650"/>
    <w:rsid w:val="00C25465"/>
    <w:rsid w:val="00C25BD4"/>
    <w:rsid w:val="00C32B4C"/>
    <w:rsid w:val="00C32F19"/>
    <w:rsid w:val="00C33079"/>
    <w:rsid w:val="00C3365E"/>
    <w:rsid w:val="00C3408D"/>
    <w:rsid w:val="00C37616"/>
    <w:rsid w:val="00C51AF8"/>
    <w:rsid w:val="00C53C30"/>
    <w:rsid w:val="00C53F86"/>
    <w:rsid w:val="00C54BF4"/>
    <w:rsid w:val="00C55A12"/>
    <w:rsid w:val="00C56427"/>
    <w:rsid w:val="00C56864"/>
    <w:rsid w:val="00C634B4"/>
    <w:rsid w:val="00C642E0"/>
    <w:rsid w:val="00C6553E"/>
    <w:rsid w:val="00C6768A"/>
    <w:rsid w:val="00C72768"/>
    <w:rsid w:val="00C76250"/>
    <w:rsid w:val="00C83A13"/>
    <w:rsid w:val="00C84E1E"/>
    <w:rsid w:val="00C85619"/>
    <w:rsid w:val="00C86F10"/>
    <w:rsid w:val="00C9068C"/>
    <w:rsid w:val="00C92967"/>
    <w:rsid w:val="00C92E61"/>
    <w:rsid w:val="00C94905"/>
    <w:rsid w:val="00CA1F02"/>
    <w:rsid w:val="00CA3D0C"/>
    <w:rsid w:val="00CA41DF"/>
    <w:rsid w:val="00CA47B8"/>
    <w:rsid w:val="00CA654B"/>
    <w:rsid w:val="00CB17A3"/>
    <w:rsid w:val="00CB3288"/>
    <w:rsid w:val="00CB38BD"/>
    <w:rsid w:val="00CB3B3B"/>
    <w:rsid w:val="00CB4C60"/>
    <w:rsid w:val="00CB4F4D"/>
    <w:rsid w:val="00CB59E0"/>
    <w:rsid w:val="00CB72B8"/>
    <w:rsid w:val="00CC0750"/>
    <w:rsid w:val="00CC52E4"/>
    <w:rsid w:val="00CC7733"/>
    <w:rsid w:val="00CC7856"/>
    <w:rsid w:val="00CC7C19"/>
    <w:rsid w:val="00CD0BA8"/>
    <w:rsid w:val="00CD35BE"/>
    <w:rsid w:val="00CD3787"/>
    <w:rsid w:val="00CD4C7B"/>
    <w:rsid w:val="00CD58FE"/>
    <w:rsid w:val="00CD6FF2"/>
    <w:rsid w:val="00CD6FFB"/>
    <w:rsid w:val="00CE06E0"/>
    <w:rsid w:val="00CE3AFF"/>
    <w:rsid w:val="00CE5D82"/>
    <w:rsid w:val="00D022F1"/>
    <w:rsid w:val="00D07E52"/>
    <w:rsid w:val="00D14DC1"/>
    <w:rsid w:val="00D1517D"/>
    <w:rsid w:val="00D1542A"/>
    <w:rsid w:val="00D15C84"/>
    <w:rsid w:val="00D21B67"/>
    <w:rsid w:val="00D23204"/>
    <w:rsid w:val="00D23674"/>
    <w:rsid w:val="00D2719C"/>
    <w:rsid w:val="00D32E58"/>
    <w:rsid w:val="00D33BD5"/>
    <w:rsid w:val="00D33BE3"/>
    <w:rsid w:val="00D3527B"/>
    <w:rsid w:val="00D3792D"/>
    <w:rsid w:val="00D47832"/>
    <w:rsid w:val="00D47BD8"/>
    <w:rsid w:val="00D50DFA"/>
    <w:rsid w:val="00D510D4"/>
    <w:rsid w:val="00D539A4"/>
    <w:rsid w:val="00D5412F"/>
    <w:rsid w:val="00D55E47"/>
    <w:rsid w:val="00D60D8F"/>
    <w:rsid w:val="00D61F1F"/>
    <w:rsid w:val="00D62E19"/>
    <w:rsid w:val="00D631FE"/>
    <w:rsid w:val="00D65AE3"/>
    <w:rsid w:val="00D67CD1"/>
    <w:rsid w:val="00D67D06"/>
    <w:rsid w:val="00D70C06"/>
    <w:rsid w:val="00D71712"/>
    <w:rsid w:val="00D717CF"/>
    <w:rsid w:val="00D738D6"/>
    <w:rsid w:val="00D75426"/>
    <w:rsid w:val="00D75C55"/>
    <w:rsid w:val="00D76842"/>
    <w:rsid w:val="00D80795"/>
    <w:rsid w:val="00D82DDD"/>
    <w:rsid w:val="00D854BE"/>
    <w:rsid w:val="00D87E00"/>
    <w:rsid w:val="00D9134D"/>
    <w:rsid w:val="00D96171"/>
    <w:rsid w:val="00D96D11"/>
    <w:rsid w:val="00DA7A03"/>
    <w:rsid w:val="00DB028C"/>
    <w:rsid w:val="00DB0DB8"/>
    <w:rsid w:val="00DB1818"/>
    <w:rsid w:val="00DB1F0F"/>
    <w:rsid w:val="00DB37D1"/>
    <w:rsid w:val="00DC1669"/>
    <w:rsid w:val="00DC309B"/>
    <w:rsid w:val="00DC48E1"/>
    <w:rsid w:val="00DC4DA2"/>
    <w:rsid w:val="00DC5261"/>
    <w:rsid w:val="00DC60FA"/>
    <w:rsid w:val="00DC7F5D"/>
    <w:rsid w:val="00DD1179"/>
    <w:rsid w:val="00DE25D2"/>
    <w:rsid w:val="00DE7570"/>
    <w:rsid w:val="00DF1F64"/>
    <w:rsid w:val="00DF3BFC"/>
    <w:rsid w:val="00DF492D"/>
    <w:rsid w:val="00DF5577"/>
    <w:rsid w:val="00DF628B"/>
    <w:rsid w:val="00DF7C20"/>
    <w:rsid w:val="00E00998"/>
    <w:rsid w:val="00E03D18"/>
    <w:rsid w:val="00E0751B"/>
    <w:rsid w:val="00E07FC2"/>
    <w:rsid w:val="00E11856"/>
    <w:rsid w:val="00E168F7"/>
    <w:rsid w:val="00E178C5"/>
    <w:rsid w:val="00E212B2"/>
    <w:rsid w:val="00E223F4"/>
    <w:rsid w:val="00E3766E"/>
    <w:rsid w:val="00E40DBC"/>
    <w:rsid w:val="00E40DE0"/>
    <w:rsid w:val="00E45587"/>
    <w:rsid w:val="00E464E5"/>
    <w:rsid w:val="00E46C08"/>
    <w:rsid w:val="00E4706B"/>
    <w:rsid w:val="00E471CF"/>
    <w:rsid w:val="00E531A5"/>
    <w:rsid w:val="00E54EB3"/>
    <w:rsid w:val="00E55434"/>
    <w:rsid w:val="00E556EB"/>
    <w:rsid w:val="00E621E6"/>
    <w:rsid w:val="00E62835"/>
    <w:rsid w:val="00E63002"/>
    <w:rsid w:val="00E63E6A"/>
    <w:rsid w:val="00E65583"/>
    <w:rsid w:val="00E65718"/>
    <w:rsid w:val="00E701FC"/>
    <w:rsid w:val="00E713B1"/>
    <w:rsid w:val="00E731C7"/>
    <w:rsid w:val="00E749CB"/>
    <w:rsid w:val="00E77645"/>
    <w:rsid w:val="00E83697"/>
    <w:rsid w:val="00E847B0"/>
    <w:rsid w:val="00E8520A"/>
    <w:rsid w:val="00E859B6"/>
    <w:rsid w:val="00E91042"/>
    <w:rsid w:val="00E93ACA"/>
    <w:rsid w:val="00EA21EB"/>
    <w:rsid w:val="00EA5A28"/>
    <w:rsid w:val="00EA5FA5"/>
    <w:rsid w:val="00EA66C9"/>
    <w:rsid w:val="00EB18F3"/>
    <w:rsid w:val="00EB3075"/>
    <w:rsid w:val="00EB3465"/>
    <w:rsid w:val="00EB45F3"/>
    <w:rsid w:val="00EB5D32"/>
    <w:rsid w:val="00EB752C"/>
    <w:rsid w:val="00EC4A25"/>
    <w:rsid w:val="00EC6E0F"/>
    <w:rsid w:val="00ED4469"/>
    <w:rsid w:val="00ED6768"/>
    <w:rsid w:val="00EE1CF6"/>
    <w:rsid w:val="00EE23E8"/>
    <w:rsid w:val="00EE29DA"/>
    <w:rsid w:val="00EF612C"/>
    <w:rsid w:val="00F00A0C"/>
    <w:rsid w:val="00F010C1"/>
    <w:rsid w:val="00F025A2"/>
    <w:rsid w:val="00F02624"/>
    <w:rsid w:val="00F02E8F"/>
    <w:rsid w:val="00F02F08"/>
    <w:rsid w:val="00F031C6"/>
    <w:rsid w:val="00F036E9"/>
    <w:rsid w:val="00F07388"/>
    <w:rsid w:val="00F1368C"/>
    <w:rsid w:val="00F14019"/>
    <w:rsid w:val="00F16ED2"/>
    <w:rsid w:val="00F1772D"/>
    <w:rsid w:val="00F2026E"/>
    <w:rsid w:val="00F20B4D"/>
    <w:rsid w:val="00F20E38"/>
    <w:rsid w:val="00F2210A"/>
    <w:rsid w:val="00F24023"/>
    <w:rsid w:val="00F31372"/>
    <w:rsid w:val="00F34B93"/>
    <w:rsid w:val="00F3622A"/>
    <w:rsid w:val="00F37743"/>
    <w:rsid w:val="00F40C20"/>
    <w:rsid w:val="00F41D8B"/>
    <w:rsid w:val="00F42E14"/>
    <w:rsid w:val="00F42EB8"/>
    <w:rsid w:val="00F463F5"/>
    <w:rsid w:val="00F54A3D"/>
    <w:rsid w:val="00F54CB0"/>
    <w:rsid w:val="00F556DC"/>
    <w:rsid w:val="00F568D5"/>
    <w:rsid w:val="00F579CD"/>
    <w:rsid w:val="00F606D4"/>
    <w:rsid w:val="00F653B8"/>
    <w:rsid w:val="00F669FD"/>
    <w:rsid w:val="00F71B89"/>
    <w:rsid w:val="00F72A4D"/>
    <w:rsid w:val="00F7353C"/>
    <w:rsid w:val="00F73E4D"/>
    <w:rsid w:val="00F75705"/>
    <w:rsid w:val="00F766B5"/>
    <w:rsid w:val="00F76F8F"/>
    <w:rsid w:val="00F800FA"/>
    <w:rsid w:val="00F80724"/>
    <w:rsid w:val="00F8116F"/>
    <w:rsid w:val="00F83629"/>
    <w:rsid w:val="00F87257"/>
    <w:rsid w:val="00F941DF"/>
    <w:rsid w:val="00FA0025"/>
    <w:rsid w:val="00FA0C9A"/>
    <w:rsid w:val="00FA1266"/>
    <w:rsid w:val="00FA3D3F"/>
    <w:rsid w:val="00FB0BE9"/>
    <w:rsid w:val="00FB36FA"/>
    <w:rsid w:val="00FB3D97"/>
    <w:rsid w:val="00FC1192"/>
    <w:rsid w:val="00FC28B8"/>
    <w:rsid w:val="00FC502B"/>
    <w:rsid w:val="00FC5374"/>
    <w:rsid w:val="00FD272E"/>
    <w:rsid w:val="00FD3DD9"/>
    <w:rsid w:val="00FD6401"/>
    <w:rsid w:val="00FE106D"/>
    <w:rsid w:val="00FE251B"/>
    <w:rsid w:val="00FF0181"/>
    <w:rsid w:val="00FF1024"/>
    <w:rsid w:val="00FF1E54"/>
    <w:rsid w:val="00FF2EB0"/>
    <w:rsid w:val="00FF3D51"/>
    <w:rsid w:val="00FF43DC"/>
    <w:rsid w:val="00FF5818"/>
    <w:rsid w:val="00FF719B"/>
    <w:rsid w:val="042A3EA5"/>
    <w:rsid w:val="07A067A7"/>
    <w:rsid w:val="10B7D6D3"/>
    <w:rsid w:val="10CEA56E"/>
    <w:rsid w:val="132E598B"/>
    <w:rsid w:val="1789D00B"/>
    <w:rsid w:val="18634A5B"/>
    <w:rsid w:val="1C689D42"/>
    <w:rsid w:val="1E759B83"/>
    <w:rsid w:val="1E88D1AC"/>
    <w:rsid w:val="1F9F12CC"/>
    <w:rsid w:val="20116BE4"/>
    <w:rsid w:val="246418DB"/>
    <w:rsid w:val="28AE3A3D"/>
    <w:rsid w:val="29381775"/>
    <w:rsid w:val="2E8D768E"/>
    <w:rsid w:val="36AD3AE2"/>
    <w:rsid w:val="36E286B7"/>
    <w:rsid w:val="395F5278"/>
    <w:rsid w:val="3D489DA3"/>
    <w:rsid w:val="41017043"/>
    <w:rsid w:val="458986DC"/>
    <w:rsid w:val="4975DE37"/>
    <w:rsid w:val="4F1A26D6"/>
    <w:rsid w:val="52D921C8"/>
    <w:rsid w:val="5517058F"/>
    <w:rsid w:val="5662FD02"/>
    <w:rsid w:val="56923356"/>
    <w:rsid w:val="5A787481"/>
    <w:rsid w:val="5EC840F6"/>
    <w:rsid w:val="626BE5E5"/>
    <w:rsid w:val="671D8BDB"/>
    <w:rsid w:val="67511858"/>
    <w:rsid w:val="6798479B"/>
    <w:rsid w:val="698345AA"/>
    <w:rsid w:val="6AFB4F67"/>
    <w:rsid w:val="6BC7770D"/>
    <w:rsid w:val="6D0FB2AA"/>
    <w:rsid w:val="6E85C97D"/>
    <w:rsid w:val="6F567C75"/>
    <w:rsid w:val="6F758B04"/>
    <w:rsid w:val="6FA79A33"/>
    <w:rsid w:val="7452D98D"/>
    <w:rsid w:val="74E16B15"/>
    <w:rsid w:val="7668A53D"/>
    <w:rsid w:val="79C031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EF9539-1CC3-4890-A8AF-47BDCC20F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paragraph" w:styleId="NormalWeb">
    <w:name w:val="Normal (Web)"/>
    <w:basedOn w:val="Normal"/>
    <w:uiPriority w:val="99"/>
    <w:unhideWhenUsed/>
    <w:rsid w:val="00331ED6"/>
    <w:pPr>
      <w:spacing w:before="100" w:beforeAutospacing="1" w:after="100" w:afterAutospacing="1"/>
    </w:pPr>
    <w:rPr>
      <w:sz w:val="24"/>
      <w:szCs w:val="24"/>
      <w:lang w:val="en-US"/>
    </w:rPr>
  </w:style>
  <w:style w:type="table" w:styleId="TableGrid">
    <w:name w:val="Table Grid"/>
    <w:basedOn w:val="TableNormal"/>
    <w:rsid w:val="004B3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0BE0"/>
    <w:rPr>
      <w:lang w:eastAsia="en-US"/>
    </w:rPr>
  </w:style>
  <w:style w:type="character" w:styleId="Mention">
    <w:name w:val="Mention"/>
    <w:basedOn w:val="DefaultParagraphFont"/>
    <w:uiPriority w:val="99"/>
    <w:unhideWhenUsed/>
    <w:rsid w:val="004D6BFA"/>
    <w:rPr>
      <w:color w:val="2B579A"/>
      <w:shd w:val="clear" w:color="auto" w:fill="E6E6E6"/>
    </w:rPr>
  </w:style>
  <w:style w:type="table" w:customStyle="1" w:styleId="TableGrid1">
    <w:name w:val="Table Grid1"/>
    <w:basedOn w:val="TableNormal"/>
    <w:next w:val="TableGrid"/>
    <w:uiPriority w:val="39"/>
    <w:rsid w:val="00816C0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E7570"/>
    <w:rPr>
      <w:i/>
      <w:iCs/>
    </w:rPr>
  </w:style>
  <w:style w:type="paragraph" w:customStyle="1" w:styleId="Doc-text2">
    <w:name w:val="Doc-text2"/>
    <w:basedOn w:val="Normal"/>
    <w:link w:val="Doc-text2Char"/>
    <w:qFormat/>
    <w:rsid w:val="00E37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766E"/>
    <w:rPr>
      <w:rFonts w:ascii="Arial" w:eastAsia="MS Mincho" w:hAnsi="Arial"/>
      <w:szCs w:val="24"/>
    </w:rPr>
  </w:style>
  <w:style w:type="paragraph" w:customStyle="1" w:styleId="Agreement">
    <w:name w:val="Agreement"/>
    <w:basedOn w:val="Normal"/>
    <w:next w:val="Doc-text2"/>
    <w:qFormat/>
    <w:rsid w:val="00E3766E"/>
    <w:pPr>
      <w:numPr>
        <w:numId w:val="43"/>
      </w:numPr>
      <w:tabs>
        <w:tab w:val="clear" w:pos="1495"/>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521405806">
      <w:bodyDiv w:val="1"/>
      <w:marLeft w:val="0"/>
      <w:marRight w:val="0"/>
      <w:marTop w:val="0"/>
      <w:marBottom w:val="0"/>
      <w:divBdr>
        <w:top w:val="none" w:sz="0" w:space="0" w:color="auto"/>
        <w:left w:val="none" w:sz="0" w:space="0" w:color="auto"/>
        <w:bottom w:val="none" w:sz="0" w:space="0" w:color="auto"/>
        <w:right w:val="none" w:sz="0" w:space="0" w:color="auto"/>
      </w:divBdr>
    </w:div>
    <w:div w:id="684479103">
      <w:bodyDiv w:val="1"/>
      <w:marLeft w:val="0"/>
      <w:marRight w:val="0"/>
      <w:marTop w:val="0"/>
      <w:marBottom w:val="0"/>
      <w:divBdr>
        <w:top w:val="none" w:sz="0" w:space="0" w:color="auto"/>
        <w:left w:val="none" w:sz="0" w:space="0" w:color="auto"/>
        <w:bottom w:val="none" w:sz="0" w:space="0" w:color="auto"/>
        <w:right w:val="none" w:sz="0" w:space="0" w:color="auto"/>
      </w:divBdr>
      <w:divsChild>
        <w:div w:id="134105496">
          <w:marLeft w:val="0"/>
          <w:marRight w:val="0"/>
          <w:marTop w:val="0"/>
          <w:marBottom w:val="0"/>
          <w:divBdr>
            <w:top w:val="none" w:sz="0" w:space="0" w:color="auto"/>
            <w:left w:val="none" w:sz="0" w:space="0" w:color="auto"/>
            <w:bottom w:val="none" w:sz="0" w:space="0" w:color="auto"/>
            <w:right w:val="none" w:sz="0" w:space="0" w:color="auto"/>
          </w:divBdr>
        </w:div>
        <w:div w:id="1669214248">
          <w:marLeft w:val="0"/>
          <w:marRight w:val="0"/>
          <w:marTop w:val="0"/>
          <w:marBottom w:val="0"/>
          <w:divBdr>
            <w:top w:val="none" w:sz="0" w:space="0" w:color="auto"/>
            <w:left w:val="none" w:sz="0" w:space="0" w:color="auto"/>
            <w:bottom w:val="none" w:sz="0" w:space="0" w:color="auto"/>
            <w:right w:val="none" w:sz="0" w:space="0" w:color="auto"/>
          </w:divBdr>
        </w:div>
        <w:div w:id="1766801770">
          <w:marLeft w:val="0"/>
          <w:marRight w:val="0"/>
          <w:marTop w:val="0"/>
          <w:marBottom w:val="0"/>
          <w:divBdr>
            <w:top w:val="none" w:sz="0" w:space="0" w:color="auto"/>
            <w:left w:val="none" w:sz="0" w:space="0" w:color="auto"/>
            <w:bottom w:val="none" w:sz="0" w:space="0" w:color="auto"/>
            <w:right w:val="none" w:sz="0" w:space="0" w:color="auto"/>
          </w:divBdr>
        </w:div>
        <w:div w:id="1904832477">
          <w:marLeft w:val="0"/>
          <w:marRight w:val="0"/>
          <w:marTop w:val="0"/>
          <w:marBottom w:val="0"/>
          <w:divBdr>
            <w:top w:val="none" w:sz="0" w:space="0" w:color="auto"/>
            <w:left w:val="none" w:sz="0" w:space="0" w:color="auto"/>
            <w:bottom w:val="none" w:sz="0" w:space="0" w:color="auto"/>
            <w:right w:val="none" w:sz="0" w:space="0" w:color="auto"/>
          </w:divBdr>
        </w:div>
      </w:divsChild>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74031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38662274">
      <w:bodyDiv w:val="1"/>
      <w:marLeft w:val="0"/>
      <w:marRight w:val="0"/>
      <w:marTop w:val="0"/>
      <w:marBottom w:val="0"/>
      <w:divBdr>
        <w:top w:val="none" w:sz="0" w:space="0" w:color="auto"/>
        <w:left w:val="none" w:sz="0" w:space="0" w:color="auto"/>
        <w:bottom w:val="none" w:sz="0" w:space="0" w:color="auto"/>
        <w:right w:val="none" w:sz="0" w:space="0" w:color="auto"/>
      </w:divBdr>
    </w:div>
    <w:div w:id="1555658597">
      <w:bodyDiv w:val="1"/>
      <w:marLeft w:val="0"/>
      <w:marRight w:val="0"/>
      <w:marTop w:val="0"/>
      <w:marBottom w:val="0"/>
      <w:divBdr>
        <w:top w:val="none" w:sz="0" w:space="0" w:color="auto"/>
        <w:left w:val="none" w:sz="0" w:space="0" w:color="auto"/>
        <w:bottom w:val="none" w:sz="0" w:space="0" w:color="auto"/>
        <w:right w:val="none" w:sz="0" w:space="0" w:color="auto"/>
      </w:divBdr>
      <w:divsChild>
        <w:div w:id="1167399793">
          <w:marLeft w:val="0"/>
          <w:marRight w:val="0"/>
          <w:marTop w:val="0"/>
          <w:marBottom w:val="0"/>
          <w:divBdr>
            <w:top w:val="none" w:sz="0" w:space="0" w:color="auto"/>
            <w:left w:val="none" w:sz="0" w:space="0" w:color="auto"/>
            <w:bottom w:val="none" w:sz="0" w:space="0" w:color="auto"/>
            <w:right w:val="none" w:sz="0" w:space="0" w:color="auto"/>
          </w:divBdr>
        </w:div>
        <w:div w:id="1358582295">
          <w:marLeft w:val="0"/>
          <w:marRight w:val="0"/>
          <w:marTop w:val="0"/>
          <w:marBottom w:val="0"/>
          <w:divBdr>
            <w:top w:val="none" w:sz="0" w:space="0" w:color="auto"/>
            <w:left w:val="none" w:sz="0" w:space="0" w:color="auto"/>
            <w:bottom w:val="none" w:sz="0" w:space="0" w:color="auto"/>
            <w:right w:val="none" w:sz="0" w:space="0" w:color="auto"/>
          </w:divBdr>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772429240">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870413726">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 w:id="213937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5AIRPNAIUNRU-859666464-12526</_dlc_DocId>
    <_dlc_DocIdUrl xmlns="71c5aaf6-e6ce-465b-b873-5148d2a4c105">
      <Url>https://nokia.sharepoint.com/sites/c5g/e2earch/_layouts/15/DocIdRedir.aspx?ID=5AIRPNAIUNRU-859666464-12526</Url>
      <Description>5AIRPNAIUNRU-859666464-12526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AB632ACF-7C83-4055-AB98-5AC24DD5E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4</cp:revision>
  <dcterms:created xsi:type="dcterms:W3CDTF">2022-09-30T04:25:00Z</dcterms:created>
  <dcterms:modified xsi:type="dcterms:W3CDTF">2022-09-30T09:30:00Z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e62c6860-a54c-4354-ad86-8b52f6a8fba6</vt:lpwstr>
  </property>
  <property fmtid="{D5CDD505-2E9C-101B-9397-08002B2CF9AE}" pid="4" name="GrammarlyDocumentId">
    <vt:lpwstr>89c69e646d006a7e73cb36e53025d667e209a1da72f6b6af2b11b464f2e1e8d9</vt:lpwstr>
  </property>
</Properties>
</file>