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FD3A2" w14:textId="2C6C7078" w:rsidR="00FE2EB7" w:rsidRDefault="00FE2EB7" w:rsidP="00FE2EB7">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w:t>
      </w:r>
      <w:r w:rsidR="009A24A4">
        <w:rPr>
          <w:b/>
          <w:noProof/>
          <w:sz w:val="24"/>
          <w:szCs w:val="24"/>
        </w:rPr>
        <w:t>bis</w:t>
      </w:r>
      <w:r>
        <w:rPr>
          <w:b/>
          <w:noProof/>
          <w:sz w:val="24"/>
          <w:szCs w:val="24"/>
        </w:rPr>
        <w:t>-e</w:t>
      </w:r>
      <w:r>
        <w:rPr>
          <w:b/>
          <w:noProof/>
          <w:sz w:val="24"/>
          <w:szCs w:val="24"/>
        </w:rPr>
        <w:tab/>
        <w:t>R2-2</w:t>
      </w:r>
      <w:r w:rsidR="008C3760">
        <w:rPr>
          <w:b/>
          <w:noProof/>
          <w:sz w:val="24"/>
          <w:szCs w:val="24"/>
        </w:rPr>
        <w:t>2</w:t>
      </w:r>
      <w:r w:rsidR="004837D9">
        <w:rPr>
          <w:b/>
          <w:noProof/>
          <w:sz w:val="24"/>
          <w:szCs w:val="24"/>
        </w:rPr>
        <w:t>09788</w:t>
      </w:r>
    </w:p>
    <w:p w14:paraId="2A46E0A5" w14:textId="0CA1EABF" w:rsidR="00FE2EB7" w:rsidRDefault="00FE2EB7" w:rsidP="00FE2EB7">
      <w:pPr>
        <w:pStyle w:val="CRCoverPage"/>
        <w:tabs>
          <w:tab w:val="right" w:pos="9639"/>
          <w:tab w:val="right" w:pos="13323"/>
        </w:tabs>
        <w:spacing w:after="0"/>
        <w:rPr>
          <w:b/>
          <w:noProof/>
          <w:sz w:val="24"/>
          <w:szCs w:val="24"/>
          <w:lang w:eastAsia="ja-JP"/>
        </w:rPr>
      </w:pPr>
      <w:r>
        <w:rPr>
          <w:b/>
          <w:noProof/>
          <w:sz w:val="24"/>
          <w:szCs w:val="24"/>
        </w:rPr>
        <w:t>e-Meeting, 1</w:t>
      </w:r>
      <w:r w:rsidR="009A24A4">
        <w:rPr>
          <w:b/>
          <w:noProof/>
          <w:sz w:val="24"/>
          <w:szCs w:val="24"/>
        </w:rPr>
        <w:t>0</w:t>
      </w:r>
      <w:r>
        <w:rPr>
          <w:b/>
          <w:noProof/>
          <w:sz w:val="24"/>
          <w:szCs w:val="24"/>
        </w:rPr>
        <w:t xml:space="preserve">th - </w:t>
      </w:r>
      <w:r w:rsidR="009A24A4">
        <w:rPr>
          <w:b/>
          <w:noProof/>
          <w:sz w:val="24"/>
          <w:szCs w:val="24"/>
        </w:rPr>
        <w:t>1</w:t>
      </w:r>
      <w:r>
        <w:rPr>
          <w:b/>
          <w:noProof/>
          <w:sz w:val="24"/>
          <w:szCs w:val="24"/>
        </w:rPr>
        <w:t xml:space="preserve">9th </w:t>
      </w:r>
      <w:r w:rsidR="009A24A4">
        <w:rPr>
          <w:b/>
          <w:noProof/>
          <w:sz w:val="24"/>
          <w:szCs w:val="24"/>
        </w:rPr>
        <w:t>October</w:t>
      </w:r>
      <w:r>
        <w:rPr>
          <w:b/>
          <w:noProof/>
          <w:sz w:val="24"/>
          <w:szCs w:val="24"/>
        </w:rPr>
        <w:t>, 2022</w:t>
      </w:r>
    </w:p>
    <w:p w14:paraId="4AD4B8C5" w14:textId="77777777" w:rsidR="000E43D2" w:rsidRPr="00B266B0" w:rsidRDefault="000E43D2" w:rsidP="000E43D2">
      <w:pPr>
        <w:pStyle w:val="Header"/>
        <w:tabs>
          <w:tab w:val="right" w:pos="9639"/>
        </w:tabs>
        <w:rPr>
          <w:bCs/>
          <w:noProof w:val="0"/>
          <w:sz w:val="24"/>
        </w:rPr>
      </w:pPr>
    </w:p>
    <w:p w14:paraId="5DC13515" w14:textId="414EF01E" w:rsidR="000E43D2" w:rsidRPr="00B266B0" w:rsidRDefault="000E43D2" w:rsidP="000E43D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77C">
        <w:rPr>
          <w:rFonts w:cs="Arial"/>
          <w:b/>
          <w:bCs/>
          <w:sz w:val="24"/>
        </w:rPr>
        <w:tab/>
      </w:r>
      <w:r w:rsidR="008B0BB5">
        <w:rPr>
          <w:rFonts w:cs="Arial"/>
          <w:b/>
          <w:bCs/>
          <w:sz w:val="24"/>
        </w:rPr>
        <w:t>8.4.</w:t>
      </w:r>
      <w:r w:rsidR="00932DA4">
        <w:rPr>
          <w:rFonts w:cs="Arial"/>
          <w:b/>
          <w:bCs/>
          <w:sz w:val="24"/>
        </w:rPr>
        <w:t>3</w:t>
      </w:r>
    </w:p>
    <w:p w14:paraId="581E4676" w14:textId="77777777" w:rsidR="000E43D2" w:rsidRPr="00B266B0" w:rsidRDefault="000E43D2" w:rsidP="000E43D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0377C">
        <w:rPr>
          <w:rFonts w:ascii="Arial" w:hAnsi="Arial" w:cs="Arial"/>
          <w:b/>
          <w:bCs/>
          <w:sz w:val="24"/>
        </w:rPr>
        <w:tab/>
      </w:r>
      <w:r w:rsidR="00461122">
        <w:rPr>
          <w:rFonts w:ascii="Arial" w:hAnsi="Arial" w:cs="Arial"/>
          <w:b/>
          <w:bCs/>
          <w:sz w:val="24"/>
        </w:rPr>
        <w:t>Apple Inc</w:t>
      </w:r>
      <w:r>
        <w:rPr>
          <w:rFonts w:ascii="Arial" w:hAnsi="Arial" w:cs="Arial"/>
          <w:b/>
          <w:bCs/>
          <w:sz w:val="24"/>
        </w:rPr>
        <w:t xml:space="preserve"> </w:t>
      </w:r>
    </w:p>
    <w:p w14:paraId="1C8202EC" w14:textId="12385AB1" w:rsidR="000E43D2" w:rsidRPr="001D1997" w:rsidRDefault="000E43D2" w:rsidP="001D1997">
      <w:pPr>
        <w:ind w:left="1985" w:hanging="1985"/>
        <w:rPr>
          <w:rFonts w:ascii="Arial" w:hAnsi="Arial" w:cs="Arial"/>
          <w:b/>
          <w:bCs/>
          <w:szCs w:val="22"/>
          <w:lang w:val="en-US"/>
        </w:rPr>
      </w:pPr>
      <w:r w:rsidRPr="00B266B0">
        <w:rPr>
          <w:rFonts w:ascii="Arial" w:hAnsi="Arial" w:cs="Arial"/>
          <w:b/>
          <w:bCs/>
          <w:sz w:val="24"/>
        </w:rPr>
        <w:t>Title:</w:t>
      </w:r>
      <w:r w:rsidRPr="00B266B0">
        <w:rPr>
          <w:rFonts w:ascii="Arial" w:hAnsi="Arial" w:cs="Arial"/>
          <w:b/>
          <w:bCs/>
          <w:sz w:val="24"/>
        </w:rPr>
        <w:tab/>
      </w:r>
      <w:r w:rsidR="005A13B4" w:rsidRPr="008F5B07">
        <w:rPr>
          <w:rFonts w:ascii="Arial" w:hAnsi="Arial" w:cs="Arial"/>
          <w:b/>
          <w:bCs/>
          <w:szCs w:val="22"/>
        </w:rPr>
        <w:tab/>
      </w:r>
      <w:r w:rsidR="008225B1">
        <w:rPr>
          <w:rFonts w:ascii="Arial" w:hAnsi="Arial" w:cs="Arial"/>
          <w:b/>
          <w:bCs/>
          <w:szCs w:val="22"/>
        </w:rPr>
        <w:t>Description of a Reference Config for multi-SN handling</w:t>
      </w:r>
    </w:p>
    <w:p w14:paraId="42B6DA59" w14:textId="77777777" w:rsidR="00DC290E" w:rsidRDefault="000E43D2" w:rsidP="00DC290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0377C">
        <w:rPr>
          <w:rFonts w:ascii="Arial" w:hAnsi="Arial" w:cs="Arial"/>
          <w:b/>
          <w:bCs/>
          <w:sz w:val="24"/>
        </w:rPr>
        <w:tab/>
      </w:r>
      <w:r>
        <w:rPr>
          <w:rFonts w:ascii="Arial" w:hAnsi="Arial" w:cs="Arial"/>
          <w:b/>
          <w:bCs/>
          <w:sz w:val="24"/>
        </w:rPr>
        <w:t xml:space="preserve">Discussion and Decision </w:t>
      </w:r>
    </w:p>
    <w:p w14:paraId="7BE34E29" w14:textId="1C7F5BFC" w:rsidR="00DC290E" w:rsidRDefault="0040377C" w:rsidP="00DC290E">
      <w:pPr>
        <w:tabs>
          <w:tab w:val="left" w:pos="1985"/>
        </w:tabs>
        <w:rPr>
          <w:rFonts w:ascii="Arial" w:hAnsi="Arial" w:cs="Arial"/>
          <w:b/>
          <w:bCs/>
          <w:sz w:val="24"/>
        </w:rPr>
      </w:pPr>
      <w:r>
        <w:rPr>
          <w:rFonts w:ascii="Arial" w:hAnsi="Arial" w:cs="Arial"/>
          <w:b/>
          <w:bCs/>
          <w:sz w:val="24"/>
        </w:rPr>
        <w:t xml:space="preserve">Work Item Code: </w:t>
      </w:r>
      <w:r>
        <w:rPr>
          <w:rFonts w:ascii="Arial" w:hAnsi="Arial" w:cs="Arial"/>
          <w:b/>
          <w:bCs/>
          <w:sz w:val="24"/>
        </w:rPr>
        <w:tab/>
      </w:r>
      <w:r>
        <w:rPr>
          <w:rFonts w:ascii="Arial" w:hAnsi="Arial" w:cs="Arial"/>
          <w:b/>
          <w:bCs/>
          <w:sz w:val="24"/>
        </w:rPr>
        <w:tab/>
      </w:r>
      <w:r w:rsidR="001D1997" w:rsidRPr="001D1997">
        <w:rPr>
          <w:rFonts w:ascii="Arial" w:hAnsi="Arial" w:cs="Arial"/>
          <w:b/>
          <w:bCs/>
          <w:sz w:val="24"/>
        </w:rPr>
        <w:t>NR_Mob_enh2-Core</w:t>
      </w:r>
    </w:p>
    <w:p w14:paraId="5A3A862F" w14:textId="77777777" w:rsidR="00DC290E" w:rsidRDefault="00DC290E" w:rsidP="00DC290E">
      <w:pPr>
        <w:pStyle w:val="Heading1"/>
      </w:pPr>
      <w:r>
        <w:t xml:space="preserve">Introduction </w:t>
      </w:r>
    </w:p>
    <w:p w14:paraId="2D2C8912" w14:textId="60D654A4" w:rsidR="00C04B38" w:rsidRDefault="00C04B38" w:rsidP="0040377C">
      <w:pPr>
        <w:rPr>
          <w:rFonts w:ascii="Arial" w:hAnsi="Arial" w:cs="Arial"/>
          <w:szCs w:val="22"/>
        </w:rPr>
      </w:pPr>
      <w:r>
        <w:rPr>
          <w:rFonts w:ascii="Arial" w:hAnsi="Arial" w:cs="Arial"/>
          <w:szCs w:val="22"/>
        </w:rPr>
        <w:t>During the discussions in RAN2-119</w:t>
      </w:r>
      <w:proofErr w:type="gramStart"/>
      <w:r>
        <w:rPr>
          <w:rFonts w:ascii="Arial" w:hAnsi="Arial" w:cs="Arial"/>
          <w:szCs w:val="22"/>
        </w:rPr>
        <w:t>e</w:t>
      </w:r>
      <w:r w:rsidR="00560726">
        <w:rPr>
          <w:rFonts w:ascii="Arial" w:hAnsi="Arial" w:cs="Arial"/>
          <w:szCs w:val="22"/>
        </w:rPr>
        <w:t>[</w:t>
      </w:r>
      <w:proofErr w:type="gramEnd"/>
      <w:r w:rsidR="00560726">
        <w:rPr>
          <w:rFonts w:ascii="Arial" w:hAnsi="Arial" w:cs="Arial"/>
          <w:szCs w:val="22"/>
        </w:rPr>
        <w:t>1]</w:t>
      </w:r>
      <w:r>
        <w:rPr>
          <w:rFonts w:ascii="Arial" w:hAnsi="Arial" w:cs="Arial"/>
          <w:szCs w:val="22"/>
        </w:rPr>
        <w:t xml:space="preserve">, the following agreements were made related </w:t>
      </w:r>
      <w:r w:rsidR="00A6386C">
        <w:rPr>
          <w:rFonts w:ascii="Arial" w:hAnsi="Arial" w:cs="Arial"/>
          <w:szCs w:val="22"/>
        </w:rPr>
        <w:t>selective activation of SNs</w:t>
      </w:r>
      <w:r>
        <w:rPr>
          <w:rFonts w:ascii="Arial" w:hAnsi="Arial" w:cs="Arial"/>
          <w:szCs w:val="22"/>
        </w:rPr>
        <w:t>.</w:t>
      </w:r>
      <w:r w:rsidR="00A6386C">
        <w:rPr>
          <w:rFonts w:ascii="Arial" w:hAnsi="Arial" w:cs="Arial"/>
          <w:szCs w:val="22"/>
        </w:rPr>
        <w:t xml:space="preserve"> In this paper we focus on the agreement made to allow for such activation based on conditional – CPC aspect.</w:t>
      </w:r>
      <w:r>
        <w:rPr>
          <w:rFonts w:ascii="Arial" w:hAnsi="Arial" w:cs="Arial"/>
          <w:szCs w:val="22"/>
        </w:rPr>
        <w:t xml:space="preserve"> </w:t>
      </w:r>
      <w:r w:rsidR="00A6386C">
        <w:rPr>
          <w:rFonts w:ascii="Arial" w:hAnsi="Arial" w:cs="Arial"/>
          <w:szCs w:val="22"/>
        </w:rPr>
        <w:t>Here we explain the usefulness of having a reference config that can be used by the NW to configure the UE during such SNs switches.</w:t>
      </w:r>
    </w:p>
    <w:tbl>
      <w:tblPr>
        <w:tblStyle w:val="TableGrid"/>
        <w:tblW w:w="0" w:type="auto"/>
        <w:tblLook w:val="04A0" w:firstRow="1" w:lastRow="0" w:firstColumn="1" w:lastColumn="0" w:noHBand="0" w:noVBand="1"/>
      </w:tblPr>
      <w:tblGrid>
        <w:gridCol w:w="9016"/>
      </w:tblGrid>
      <w:tr w:rsidR="00C04B38" w14:paraId="61960F2C" w14:textId="77777777" w:rsidTr="00C04B38">
        <w:tc>
          <w:tcPr>
            <w:tcW w:w="9016" w:type="dxa"/>
          </w:tcPr>
          <w:p w14:paraId="5A904FCC" w14:textId="77777777" w:rsidR="00A6386C" w:rsidRPr="00D46678" w:rsidRDefault="00A6386C" w:rsidP="00A6386C">
            <w:pPr>
              <w:pStyle w:val="Agreement"/>
              <w:rPr>
                <w:lang w:val="en-US"/>
              </w:rPr>
            </w:pPr>
            <w:r>
              <w:t xml:space="preserve">The selective activation of cell groups should correspond to support of subsequent conditional changes (CPC) after a cell group change (normal or </w:t>
            </w:r>
            <w:r w:rsidRPr="00A6386C">
              <w:rPr>
                <w:highlight w:val="yellow"/>
              </w:rPr>
              <w:t>conditional).</w:t>
            </w:r>
            <w:r>
              <w:t xml:space="preserve"> CPA FFS. </w:t>
            </w:r>
          </w:p>
          <w:p w14:paraId="6D52386C" w14:textId="77777777" w:rsidR="00A6386C" w:rsidRPr="00D46678" w:rsidRDefault="00A6386C" w:rsidP="00A6386C">
            <w:pPr>
              <w:pStyle w:val="Agreement"/>
              <w:rPr>
                <w:lang w:val="en-US"/>
              </w:rPr>
            </w:pPr>
            <w:r>
              <w:rPr>
                <w:lang w:val="en-US"/>
              </w:rPr>
              <w:t>Initial focus on SCG</w:t>
            </w:r>
          </w:p>
          <w:p w14:paraId="064B75FB" w14:textId="77777777" w:rsidR="00A6386C" w:rsidRDefault="00A6386C" w:rsidP="00A6386C">
            <w:pPr>
              <w:pStyle w:val="Agreement"/>
            </w:pPr>
            <w:r>
              <w:t>There is interest to support delta configuration, to reduce the signalling overhead (FFS if some other objective should be achieved)</w:t>
            </w:r>
          </w:p>
          <w:p w14:paraId="17F9E3A5" w14:textId="77777777" w:rsidR="00A6386C" w:rsidRDefault="00A6386C" w:rsidP="00A6386C">
            <w:pPr>
              <w:pStyle w:val="Agreement"/>
              <w:rPr>
                <w:lang w:val="en-US"/>
              </w:rPr>
            </w:pPr>
            <w:r>
              <w:rPr>
                <w:lang w:val="en-US"/>
              </w:rPr>
              <w:t xml:space="preserve">FFS how many subsequent conditional changes are targeted (and what is the impact of such assumption). </w:t>
            </w:r>
          </w:p>
          <w:p w14:paraId="264FE1CC" w14:textId="77777777" w:rsidR="00C04B38" w:rsidRDefault="00C04B38" w:rsidP="00A6386C">
            <w:pPr>
              <w:pStyle w:val="Agreement"/>
              <w:numPr>
                <w:ilvl w:val="0"/>
                <w:numId w:val="0"/>
              </w:numPr>
              <w:rPr>
                <w:rFonts w:cs="Arial"/>
                <w:szCs w:val="22"/>
              </w:rPr>
            </w:pPr>
          </w:p>
        </w:tc>
      </w:tr>
    </w:tbl>
    <w:p w14:paraId="4F0D4341" w14:textId="77777777" w:rsidR="00C04B38" w:rsidRDefault="00C04B38" w:rsidP="0040377C">
      <w:pPr>
        <w:rPr>
          <w:rFonts w:ascii="Arial" w:hAnsi="Arial" w:cs="Arial"/>
          <w:szCs w:val="22"/>
        </w:rPr>
      </w:pPr>
    </w:p>
    <w:p w14:paraId="6035D194" w14:textId="5EC17310" w:rsidR="008F5B07" w:rsidRPr="008F5B07" w:rsidRDefault="006049AC" w:rsidP="008F5B07">
      <w:pPr>
        <w:pStyle w:val="Heading1"/>
        <w:rPr>
          <w:rFonts w:eastAsia="MS Mincho"/>
          <w:sz w:val="32"/>
        </w:rPr>
      </w:pPr>
      <w:r>
        <w:rPr>
          <w:rStyle w:val="Heading2Char"/>
          <w:rFonts w:eastAsia="MS Mincho"/>
        </w:rPr>
        <w:t xml:space="preserve">RRC configuration for SN during the conditional SN switching </w:t>
      </w:r>
    </w:p>
    <w:p w14:paraId="012EEBBB" w14:textId="77777777" w:rsidR="006049AC" w:rsidRDefault="006049AC" w:rsidP="006049AC">
      <w:pPr>
        <w:rPr>
          <w:rFonts w:ascii="Arial" w:hAnsi="Arial" w:cs="Arial"/>
        </w:rPr>
      </w:pPr>
      <w:r>
        <w:rPr>
          <w:rFonts w:ascii="Arial" w:hAnsi="Arial" w:cs="Arial"/>
        </w:rPr>
        <w:t>Let’s consider the following scenario from Fig 1 below.</w:t>
      </w:r>
    </w:p>
    <w:tbl>
      <w:tblPr>
        <w:tblStyle w:val="TableGrid"/>
        <w:tblW w:w="0" w:type="auto"/>
        <w:tblLook w:val="04A0" w:firstRow="1" w:lastRow="0" w:firstColumn="1" w:lastColumn="0" w:noHBand="0" w:noVBand="1"/>
      </w:tblPr>
      <w:tblGrid>
        <w:gridCol w:w="9016"/>
      </w:tblGrid>
      <w:tr w:rsidR="006049AC" w14:paraId="6968B4B0" w14:textId="77777777" w:rsidTr="00A96E6C">
        <w:tc>
          <w:tcPr>
            <w:tcW w:w="9016" w:type="dxa"/>
          </w:tcPr>
          <w:p w14:paraId="00160FCC" w14:textId="77777777" w:rsidR="006049AC" w:rsidRDefault="006049AC" w:rsidP="00A96E6C">
            <w:pPr>
              <w:rPr>
                <w:rFonts w:ascii="Arial" w:hAnsi="Arial" w:cs="Arial"/>
              </w:rPr>
            </w:pPr>
            <w:r w:rsidRPr="008747E6">
              <w:rPr>
                <w:rFonts w:ascii="Arial" w:hAnsi="Arial" w:cs="Arial"/>
                <w:noProof/>
              </w:rPr>
              <w:lastRenderedPageBreak/>
              <w:drawing>
                <wp:inline distT="0" distB="0" distL="0" distR="0" wp14:anchorId="28D9404A" wp14:editId="31841F31">
                  <wp:extent cx="5731510" cy="2894965"/>
                  <wp:effectExtent l="0" t="0" r="0" b="635"/>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1"/>
                          <a:stretch>
                            <a:fillRect/>
                          </a:stretch>
                        </pic:blipFill>
                        <pic:spPr>
                          <a:xfrm>
                            <a:off x="0" y="0"/>
                            <a:ext cx="5731510" cy="2894965"/>
                          </a:xfrm>
                          <a:prstGeom prst="rect">
                            <a:avLst/>
                          </a:prstGeom>
                        </pic:spPr>
                      </pic:pic>
                    </a:graphicData>
                  </a:graphic>
                </wp:inline>
              </w:drawing>
            </w:r>
          </w:p>
        </w:tc>
      </w:tr>
    </w:tbl>
    <w:p w14:paraId="70E8B663" w14:textId="77777777" w:rsidR="006049AC" w:rsidRPr="00245323" w:rsidRDefault="006049AC" w:rsidP="006049AC">
      <w:pPr>
        <w:jc w:val="center"/>
        <w:rPr>
          <w:rFonts w:ascii="Arial" w:hAnsi="Arial" w:cs="Arial"/>
          <w:b/>
          <w:bCs/>
          <w:sz w:val="18"/>
          <w:szCs w:val="18"/>
        </w:rPr>
      </w:pPr>
      <w:r w:rsidRPr="00245323">
        <w:rPr>
          <w:rFonts w:ascii="Arial" w:hAnsi="Arial" w:cs="Arial"/>
          <w:b/>
          <w:bCs/>
          <w:sz w:val="18"/>
          <w:szCs w:val="18"/>
        </w:rPr>
        <w:t>Figure 1: UE mobility across multiple SNs</w:t>
      </w:r>
    </w:p>
    <w:p w14:paraId="2AA9DD9E" w14:textId="77777777" w:rsidR="006049AC" w:rsidRDefault="006049AC" w:rsidP="006049AC">
      <w:pPr>
        <w:rPr>
          <w:rFonts w:ascii="Arial" w:hAnsi="Arial" w:cs="Arial"/>
        </w:rPr>
      </w:pPr>
      <w:r>
        <w:rPr>
          <w:rFonts w:ascii="Arial" w:hAnsi="Arial" w:cs="Arial"/>
        </w:rPr>
        <w:t xml:space="preserve">The UE is in DC with MN and SN1 and is configured with CPC with target </w:t>
      </w:r>
      <w:proofErr w:type="gramStart"/>
      <w:r>
        <w:rPr>
          <w:rFonts w:ascii="Arial" w:hAnsi="Arial" w:cs="Arial"/>
        </w:rPr>
        <w:t>SNs :</w:t>
      </w:r>
      <w:proofErr w:type="gramEnd"/>
      <w:r>
        <w:rPr>
          <w:rFonts w:ascii="Arial" w:hAnsi="Arial" w:cs="Arial"/>
        </w:rPr>
        <w:t xml:space="preserve"> SN2, SN3 and SN4. </w:t>
      </w:r>
      <w:proofErr w:type="gramStart"/>
      <w:r>
        <w:rPr>
          <w:rFonts w:ascii="Arial" w:hAnsi="Arial" w:cs="Arial"/>
        </w:rPr>
        <w:t>So</w:t>
      </w:r>
      <w:proofErr w:type="gramEnd"/>
      <w:r>
        <w:rPr>
          <w:rFonts w:ascii="Arial" w:hAnsi="Arial" w:cs="Arial"/>
        </w:rPr>
        <w:t xml:space="preserve"> the UE is already provided the target configurations for SN2/3/4. </w:t>
      </w:r>
    </w:p>
    <w:p w14:paraId="60709007" w14:textId="430B6127" w:rsidR="006049AC" w:rsidRDefault="006049AC" w:rsidP="006049AC">
      <w:pPr>
        <w:rPr>
          <w:rFonts w:ascii="Arial" w:hAnsi="Arial" w:cs="Arial"/>
        </w:rPr>
      </w:pPr>
      <w:r>
        <w:rPr>
          <w:rFonts w:ascii="Arial" w:hAnsi="Arial" w:cs="Arial"/>
        </w:rPr>
        <w:t xml:space="preserve">Here we focus on the SN mobility based on conditional config: meaning the UE performs the SN switch based on </w:t>
      </w:r>
      <w:r w:rsidR="00FD7BCB">
        <w:rPr>
          <w:rFonts w:ascii="Arial" w:hAnsi="Arial" w:cs="Arial"/>
        </w:rPr>
        <w:t>satisfying</w:t>
      </w:r>
      <w:r>
        <w:rPr>
          <w:rFonts w:ascii="Arial" w:hAnsi="Arial" w:cs="Arial"/>
        </w:rPr>
        <w:t xml:space="preserve"> some conditional triggers. As can be seen above, if the UE switches to SN2, then the conditional triggers (from the perspective of UE being in SN2) might be different for SN4/SN3. Note that in our companion paper [2] we have assumed that the UE would save the candidate SNs even after SN switch, to facilitate the subsequent SN switch conditionally. </w:t>
      </w:r>
    </w:p>
    <w:tbl>
      <w:tblPr>
        <w:tblStyle w:val="TableGrid"/>
        <w:tblW w:w="0" w:type="auto"/>
        <w:tblLook w:val="04A0" w:firstRow="1" w:lastRow="0" w:firstColumn="1" w:lastColumn="0" w:noHBand="0" w:noVBand="1"/>
      </w:tblPr>
      <w:tblGrid>
        <w:gridCol w:w="9016"/>
      </w:tblGrid>
      <w:tr w:rsidR="00FD7BCB" w14:paraId="3107B413" w14:textId="77777777" w:rsidTr="00A96E6C">
        <w:tc>
          <w:tcPr>
            <w:tcW w:w="9016" w:type="dxa"/>
          </w:tcPr>
          <w:p w14:paraId="21FAE3F3" w14:textId="58676450" w:rsidR="00FD7BCB" w:rsidRDefault="001309DA" w:rsidP="00A96E6C">
            <w:pPr>
              <w:rPr>
                <w:rFonts w:ascii="Arial" w:hAnsi="Arial" w:cs="Arial"/>
              </w:rPr>
            </w:pPr>
            <w:r w:rsidRPr="001309DA">
              <w:rPr>
                <w:rFonts w:ascii="Arial" w:hAnsi="Arial" w:cs="Arial"/>
              </w:rPr>
              <w:drawing>
                <wp:inline distT="0" distB="0" distL="0" distR="0" wp14:anchorId="118028BB" wp14:editId="7CA75556">
                  <wp:extent cx="5731510" cy="35140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1510" cy="3514090"/>
                          </a:xfrm>
                          <a:prstGeom prst="rect">
                            <a:avLst/>
                          </a:prstGeom>
                        </pic:spPr>
                      </pic:pic>
                    </a:graphicData>
                  </a:graphic>
                </wp:inline>
              </w:drawing>
            </w:r>
          </w:p>
        </w:tc>
      </w:tr>
    </w:tbl>
    <w:p w14:paraId="0F940BBB" w14:textId="1CB2B379" w:rsidR="00FD7BCB" w:rsidRPr="00245323" w:rsidRDefault="00FD7BCB" w:rsidP="00FD7BCB">
      <w:pPr>
        <w:jc w:val="center"/>
        <w:rPr>
          <w:rFonts w:ascii="Arial" w:hAnsi="Arial" w:cs="Arial"/>
          <w:b/>
          <w:bCs/>
          <w:sz w:val="18"/>
          <w:szCs w:val="18"/>
        </w:rPr>
      </w:pPr>
      <w:r w:rsidRPr="00245323">
        <w:rPr>
          <w:rFonts w:ascii="Arial" w:hAnsi="Arial" w:cs="Arial"/>
          <w:b/>
          <w:bCs/>
          <w:sz w:val="18"/>
          <w:szCs w:val="18"/>
        </w:rPr>
        <w:t xml:space="preserve">Figure </w:t>
      </w:r>
      <w:r>
        <w:rPr>
          <w:rFonts w:ascii="Arial" w:hAnsi="Arial" w:cs="Arial"/>
          <w:b/>
          <w:bCs/>
          <w:sz w:val="18"/>
          <w:szCs w:val="18"/>
        </w:rPr>
        <w:t>2</w:t>
      </w:r>
      <w:r w:rsidRPr="00245323">
        <w:rPr>
          <w:rFonts w:ascii="Arial" w:hAnsi="Arial" w:cs="Arial"/>
          <w:b/>
          <w:bCs/>
          <w:sz w:val="18"/>
          <w:szCs w:val="18"/>
        </w:rPr>
        <w:t xml:space="preserve">: UE mobility </w:t>
      </w:r>
      <w:r>
        <w:rPr>
          <w:rFonts w:ascii="Arial" w:hAnsi="Arial" w:cs="Arial"/>
          <w:b/>
          <w:bCs/>
          <w:sz w:val="18"/>
          <w:szCs w:val="18"/>
        </w:rPr>
        <w:t>example</w:t>
      </w:r>
    </w:p>
    <w:p w14:paraId="269AF6CD" w14:textId="77777777" w:rsidR="00FD7BCB" w:rsidRDefault="00FD7BCB" w:rsidP="006049AC">
      <w:pPr>
        <w:rPr>
          <w:rFonts w:ascii="Arial" w:hAnsi="Arial" w:cs="Arial"/>
        </w:rPr>
      </w:pPr>
    </w:p>
    <w:p w14:paraId="51A7AE5E" w14:textId="14D5D53E" w:rsidR="006049AC" w:rsidRDefault="00A85EEC" w:rsidP="006049AC">
      <w:pPr>
        <w:rPr>
          <w:rFonts w:ascii="Arial" w:hAnsi="Arial" w:cs="Arial"/>
        </w:rPr>
      </w:pPr>
      <w:r>
        <w:rPr>
          <w:rFonts w:ascii="Arial" w:hAnsi="Arial" w:cs="Arial"/>
        </w:rPr>
        <w:lastRenderedPageBreak/>
        <w:t>In the case the NW needs to reconfigure the SN config, the current SN needs to know the configuration the UE has, to perform a delta config against. But with conditional mobility across multiple SNs, the current SN might need to interface with MN to keep track of changes the other SNs might have configure the UE with. This results in a lot of overhead and a simpler way would be to have a “reference SN config” that all SNs and the UE would use to have any RRC reconfiguration to the UE from any SN.</w:t>
      </w:r>
    </w:p>
    <w:p w14:paraId="5B2571B2" w14:textId="1675B89A" w:rsidR="00750BE8" w:rsidRPr="00750BE8" w:rsidRDefault="00750BE8" w:rsidP="006049AC">
      <w:pPr>
        <w:rPr>
          <w:rFonts w:ascii="Arial" w:hAnsi="Arial" w:cs="Arial"/>
          <w:b/>
          <w:bCs/>
        </w:rPr>
      </w:pPr>
      <w:r w:rsidRPr="00750BE8">
        <w:rPr>
          <w:rFonts w:ascii="Arial" w:hAnsi="Arial" w:cs="Arial"/>
          <w:b/>
          <w:bCs/>
        </w:rPr>
        <w:t xml:space="preserve">Observation 1: With mobility (SN switching without explicit CPC), the participating SNs might not know the current UE configuration (unless MN keeps updating at every switch, which might be </w:t>
      </w:r>
      <w:proofErr w:type="spellStart"/>
      <w:r w:rsidRPr="00750BE8">
        <w:rPr>
          <w:rFonts w:ascii="Arial" w:hAnsi="Arial" w:cs="Arial"/>
          <w:b/>
          <w:bCs/>
        </w:rPr>
        <w:t>inefficent</w:t>
      </w:r>
      <w:proofErr w:type="spellEnd"/>
      <w:r w:rsidRPr="00750BE8">
        <w:rPr>
          <w:rFonts w:ascii="Arial" w:hAnsi="Arial" w:cs="Arial"/>
          <w:b/>
          <w:bCs/>
        </w:rPr>
        <w:t>) to configure UE. It is better to have a known reference config that UE and the SNs would know in advance.</w:t>
      </w:r>
    </w:p>
    <w:p w14:paraId="14466F52" w14:textId="6A6260B8" w:rsidR="00A85EEC" w:rsidRDefault="00A85EEC" w:rsidP="006049AC">
      <w:pPr>
        <w:rPr>
          <w:rFonts w:ascii="Arial" w:hAnsi="Arial" w:cs="Arial"/>
        </w:rPr>
      </w:pPr>
      <w:r>
        <w:rPr>
          <w:rFonts w:ascii="Arial" w:hAnsi="Arial" w:cs="Arial"/>
        </w:rPr>
        <w:t>This can be extended to MN as well, but we can limit the discussion to SN for ease of discussion.</w:t>
      </w:r>
    </w:p>
    <w:tbl>
      <w:tblPr>
        <w:tblStyle w:val="TableGrid"/>
        <w:tblW w:w="0" w:type="auto"/>
        <w:tblLook w:val="04A0" w:firstRow="1" w:lastRow="0" w:firstColumn="1" w:lastColumn="0" w:noHBand="0" w:noVBand="1"/>
      </w:tblPr>
      <w:tblGrid>
        <w:gridCol w:w="9016"/>
      </w:tblGrid>
      <w:tr w:rsidR="001309DA" w14:paraId="7BF9B548" w14:textId="77777777" w:rsidTr="00A96E6C">
        <w:tc>
          <w:tcPr>
            <w:tcW w:w="9016" w:type="dxa"/>
          </w:tcPr>
          <w:p w14:paraId="077704A4" w14:textId="0CF09FF6" w:rsidR="001309DA" w:rsidRDefault="000558D0" w:rsidP="00A96E6C">
            <w:pPr>
              <w:rPr>
                <w:rFonts w:ascii="Arial" w:hAnsi="Arial" w:cs="Arial"/>
              </w:rPr>
            </w:pPr>
            <w:r w:rsidRPr="000558D0">
              <w:rPr>
                <w:rFonts w:ascii="Arial" w:hAnsi="Arial" w:cs="Arial"/>
              </w:rPr>
              <w:drawing>
                <wp:inline distT="0" distB="0" distL="0" distR="0" wp14:anchorId="06356694" wp14:editId="49ACF6CF">
                  <wp:extent cx="5731510" cy="351409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31510" cy="3514090"/>
                          </a:xfrm>
                          <a:prstGeom prst="rect">
                            <a:avLst/>
                          </a:prstGeom>
                        </pic:spPr>
                      </pic:pic>
                    </a:graphicData>
                  </a:graphic>
                </wp:inline>
              </w:drawing>
            </w:r>
          </w:p>
        </w:tc>
      </w:tr>
    </w:tbl>
    <w:p w14:paraId="35AC83B8" w14:textId="205CD1BF" w:rsidR="001309DA" w:rsidRPr="00245323" w:rsidRDefault="001309DA" w:rsidP="001309DA">
      <w:pPr>
        <w:jc w:val="center"/>
        <w:rPr>
          <w:rFonts w:ascii="Arial" w:hAnsi="Arial" w:cs="Arial"/>
          <w:b/>
          <w:bCs/>
          <w:sz w:val="18"/>
          <w:szCs w:val="18"/>
        </w:rPr>
      </w:pPr>
      <w:r w:rsidRPr="00245323">
        <w:rPr>
          <w:rFonts w:ascii="Arial" w:hAnsi="Arial" w:cs="Arial"/>
          <w:b/>
          <w:bCs/>
          <w:sz w:val="18"/>
          <w:szCs w:val="18"/>
        </w:rPr>
        <w:t xml:space="preserve">Figure </w:t>
      </w:r>
      <w:r>
        <w:rPr>
          <w:rFonts w:ascii="Arial" w:hAnsi="Arial" w:cs="Arial"/>
          <w:b/>
          <w:bCs/>
          <w:sz w:val="18"/>
          <w:szCs w:val="18"/>
        </w:rPr>
        <w:t>3</w:t>
      </w:r>
      <w:r w:rsidRPr="00245323">
        <w:rPr>
          <w:rFonts w:ascii="Arial" w:hAnsi="Arial" w:cs="Arial"/>
          <w:b/>
          <w:bCs/>
          <w:sz w:val="18"/>
          <w:szCs w:val="18"/>
        </w:rPr>
        <w:t xml:space="preserve">: </w:t>
      </w:r>
      <w:r>
        <w:rPr>
          <w:rFonts w:ascii="Arial" w:hAnsi="Arial" w:cs="Arial"/>
          <w:b/>
          <w:bCs/>
          <w:sz w:val="18"/>
          <w:szCs w:val="18"/>
        </w:rPr>
        <w:t>E</w:t>
      </w:r>
      <w:r>
        <w:rPr>
          <w:rFonts w:ascii="Arial" w:hAnsi="Arial" w:cs="Arial"/>
          <w:b/>
          <w:bCs/>
          <w:sz w:val="18"/>
          <w:szCs w:val="18"/>
        </w:rPr>
        <w:t>xample</w:t>
      </w:r>
      <w:r>
        <w:rPr>
          <w:rFonts w:ascii="Arial" w:hAnsi="Arial" w:cs="Arial"/>
          <w:b/>
          <w:bCs/>
          <w:sz w:val="18"/>
          <w:szCs w:val="18"/>
        </w:rPr>
        <w:t xml:space="preserve"> usage of ref config</w:t>
      </w:r>
    </w:p>
    <w:p w14:paraId="74B27A09" w14:textId="77777777" w:rsidR="00A85EEC" w:rsidRDefault="00A85EEC" w:rsidP="006049AC">
      <w:pPr>
        <w:rPr>
          <w:rFonts w:ascii="Arial" w:hAnsi="Arial" w:cs="Arial"/>
        </w:rPr>
      </w:pPr>
    </w:p>
    <w:p w14:paraId="7CE73B7E" w14:textId="77777777" w:rsidR="00F46232" w:rsidRDefault="00F46232" w:rsidP="007F6D2D">
      <w:pPr>
        <w:rPr>
          <w:rFonts w:ascii="Arial" w:hAnsi="Arial" w:cs="Arial"/>
        </w:rPr>
      </w:pPr>
    </w:p>
    <w:p w14:paraId="5E6C5907" w14:textId="571B6083" w:rsidR="0060350E" w:rsidRPr="008F5B07" w:rsidRDefault="00EB1F19" w:rsidP="0060350E">
      <w:pPr>
        <w:pStyle w:val="Heading1"/>
        <w:rPr>
          <w:rFonts w:eastAsia="MS Mincho"/>
          <w:sz w:val="32"/>
        </w:rPr>
      </w:pPr>
      <w:r>
        <w:rPr>
          <w:rStyle w:val="Heading2Char"/>
          <w:rFonts w:eastAsia="MS Mincho"/>
        </w:rPr>
        <w:t xml:space="preserve">Dynamics of the </w:t>
      </w:r>
      <w:r w:rsidR="00CC5A46">
        <w:rPr>
          <w:rStyle w:val="Heading2Char"/>
          <w:rFonts w:eastAsia="MS Mincho"/>
        </w:rPr>
        <w:t>reference config</w:t>
      </w:r>
    </w:p>
    <w:p w14:paraId="04F197F7" w14:textId="260A51E2" w:rsidR="00CC5A46" w:rsidRDefault="00CC5A46" w:rsidP="0060350E">
      <w:pPr>
        <w:rPr>
          <w:rFonts w:ascii="Arial" w:hAnsi="Arial" w:cs="Arial"/>
        </w:rPr>
      </w:pPr>
      <w:r>
        <w:rPr>
          <w:rFonts w:ascii="Arial" w:hAnsi="Arial" w:cs="Arial"/>
        </w:rPr>
        <w:t xml:space="preserve">The main intention of the reference config is that all the SNs are aware of this config and any RRC re-configuration to the UE on SN from the current SN would base the </w:t>
      </w:r>
      <w:proofErr w:type="spellStart"/>
      <w:r>
        <w:rPr>
          <w:rFonts w:ascii="Arial" w:hAnsi="Arial" w:cs="Arial"/>
        </w:rPr>
        <w:t>reconfig</w:t>
      </w:r>
      <w:proofErr w:type="spellEnd"/>
      <w:r>
        <w:rPr>
          <w:rFonts w:ascii="Arial" w:hAnsi="Arial" w:cs="Arial"/>
        </w:rPr>
        <w:t xml:space="preserve"> (for delta) on this reference config. UE switching between different SNs should not result in any change to this reference config, and this results in no inter-node interface traffic increase as the current SN can safely provide a delta config from the reference config.</w:t>
      </w:r>
    </w:p>
    <w:p w14:paraId="74F415CD" w14:textId="464CD3B0" w:rsidR="00CC5A46" w:rsidRDefault="00CC5A46" w:rsidP="0060350E">
      <w:pPr>
        <w:rPr>
          <w:rFonts w:ascii="Arial" w:hAnsi="Arial" w:cs="Arial"/>
        </w:rPr>
      </w:pPr>
      <w:r>
        <w:rPr>
          <w:rFonts w:ascii="Arial" w:hAnsi="Arial" w:cs="Arial"/>
        </w:rPr>
        <w:t>While we acknowledge that RAN3 impacts are present with this direction, we think that RAN2 agreement in this direction, as well as discussion on using the RAN2 maintained internode messages (via CG-</w:t>
      </w:r>
      <w:proofErr w:type="spellStart"/>
      <w:r>
        <w:rPr>
          <w:rFonts w:ascii="Arial" w:hAnsi="Arial" w:cs="Arial"/>
        </w:rPr>
        <w:t>Confing</w:t>
      </w:r>
      <w:proofErr w:type="spellEnd"/>
      <w:r>
        <w:rPr>
          <w:rFonts w:ascii="Arial" w:hAnsi="Arial" w:cs="Arial"/>
        </w:rPr>
        <w:t xml:space="preserve"> and CG-</w:t>
      </w:r>
      <w:proofErr w:type="spellStart"/>
      <w:r>
        <w:rPr>
          <w:rFonts w:ascii="Arial" w:hAnsi="Arial" w:cs="Arial"/>
        </w:rPr>
        <w:t>ConfigInfo</w:t>
      </w:r>
      <w:proofErr w:type="spellEnd"/>
      <w:r>
        <w:rPr>
          <w:rFonts w:ascii="Arial" w:hAnsi="Arial" w:cs="Arial"/>
        </w:rPr>
        <w:t>) can direct RAN3 on how to build upon the refence config method.</w:t>
      </w:r>
    </w:p>
    <w:p w14:paraId="0C61DAC9" w14:textId="33B15885" w:rsidR="00CC5A46" w:rsidRDefault="00CC5A46" w:rsidP="0060350E">
      <w:pPr>
        <w:rPr>
          <w:rFonts w:ascii="Arial" w:hAnsi="Arial" w:cs="Arial"/>
        </w:rPr>
      </w:pPr>
      <w:r>
        <w:rPr>
          <w:rFonts w:ascii="Arial" w:hAnsi="Arial" w:cs="Arial"/>
        </w:rPr>
        <w:lastRenderedPageBreak/>
        <w:t xml:space="preserve">We think </w:t>
      </w:r>
      <w:r w:rsidR="00FD7BCB">
        <w:rPr>
          <w:rFonts w:ascii="Arial" w:hAnsi="Arial" w:cs="Arial"/>
        </w:rPr>
        <w:t>one option is for the</w:t>
      </w:r>
      <w:r>
        <w:rPr>
          <w:rFonts w:ascii="Arial" w:hAnsi="Arial" w:cs="Arial"/>
        </w:rPr>
        <w:t xml:space="preserve"> MN </w:t>
      </w:r>
      <w:r w:rsidR="00FD7BCB">
        <w:rPr>
          <w:rFonts w:ascii="Arial" w:hAnsi="Arial" w:cs="Arial"/>
        </w:rPr>
        <w:t>to</w:t>
      </w:r>
      <w:r>
        <w:rPr>
          <w:rFonts w:ascii="Arial" w:hAnsi="Arial" w:cs="Arial"/>
        </w:rPr>
        <w:t xml:space="preserve"> decide the reference config, and such decision can be based on MN alone, or based on the input from an SN. The main idea being that the MN then provides this reference config to all the SNs that are part of the candidate SNs to which the UE might </w:t>
      </w:r>
      <w:proofErr w:type="gramStart"/>
      <w:r>
        <w:rPr>
          <w:rFonts w:ascii="Arial" w:hAnsi="Arial" w:cs="Arial"/>
        </w:rPr>
        <w:t>potential</w:t>
      </w:r>
      <w:proofErr w:type="gramEnd"/>
      <w:r>
        <w:rPr>
          <w:rFonts w:ascii="Arial" w:hAnsi="Arial" w:cs="Arial"/>
        </w:rPr>
        <w:t xml:space="preserve"> switch to.</w:t>
      </w:r>
    </w:p>
    <w:p w14:paraId="0DF0FC06" w14:textId="20203569" w:rsidR="00750BE8" w:rsidRPr="0047779A" w:rsidRDefault="00750BE8" w:rsidP="00EB1F19">
      <w:pPr>
        <w:rPr>
          <w:rFonts w:ascii="Arial" w:hAnsi="Arial" w:cs="Arial"/>
          <w:b/>
          <w:bCs/>
        </w:rPr>
      </w:pPr>
      <w:r w:rsidRPr="0047779A">
        <w:rPr>
          <w:rFonts w:ascii="Arial" w:hAnsi="Arial" w:cs="Arial"/>
          <w:b/>
          <w:bCs/>
        </w:rPr>
        <w:t xml:space="preserve">Observation 2: RAN2 inter-node </w:t>
      </w:r>
      <w:proofErr w:type="spellStart"/>
      <w:r w:rsidRPr="0047779A">
        <w:rPr>
          <w:rFonts w:ascii="Arial" w:hAnsi="Arial" w:cs="Arial"/>
          <w:b/>
          <w:bCs/>
        </w:rPr>
        <w:t>signaling</w:t>
      </w:r>
      <w:proofErr w:type="spellEnd"/>
      <w:r w:rsidRPr="0047779A">
        <w:rPr>
          <w:rFonts w:ascii="Arial" w:hAnsi="Arial" w:cs="Arial"/>
          <w:b/>
          <w:bCs/>
        </w:rPr>
        <w:t xml:space="preserve"> (using CG-config/CG-</w:t>
      </w:r>
      <w:proofErr w:type="spellStart"/>
      <w:r w:rsidRPr="0047779A">
        <w:rPr>
          <w:rFonts w:ascii="Arial" w:hAnsi="Arial" w:cs="Arial"/>
          <w:b/>
          <w:bCs/>
        </w:rPr>
        <w:t>configInfo</w:t>
      </w:r>
      <w:proofErr w:type="spellEnd"/>
      <w:r w:rsidRPr="0047779A">
        <w:rPr>
          <w:rFonts w:ascii="Arial" w:hAnsi="Arial" w:cs="Arial"/>
          <w:b/>
          <w:bCs/>
        </w:rPr>
        <w:t xml:space="preserve"> for </w:t>
      </w:r>
      <w:proofErr w:type="spellStart"/>
      <w:r w:rsidRPr="0047779A">
        <w:rPr>
          <w:rFonts w:ascii="Arial" w:hAnsi="Arial" w:cs="Arial"/>
          <w:b/>
          <w:bCs/>
        </w:rPr>
        <w:t>eg</w:t>
      </w:r>
      <w:proofErr w:type="spellEnd"/>
      <w:r w:rsidRPr="0047779A">
        <w:rPr>
          <w:rFonts w:ascii="Arial" w:hAnsi="Arial" w:cs="Arial"/>
          <w:b/>
          <w:bCs/>
        </w:rPr>
        <w:t xml:space="preserve">) can be used to mediate by the MN during SN switches triggered by the UE (CPC based) or RAN3 can add necessary </w:t>
      </w:r>
      <w:proofErr w:type="spellStart"/>
      <w:r w:rsidRPr="0047779A">
        <w:rPr>
          <w:rFonts w:ascii="Arial" w:hAnsi="Arial" w:cs="Arial"/>
          <w:b/>
          <w:bCs/>
        </w:rPr>
        <w:t>signaling</w:t>
      </w:r>
      <w:proofErr w:type="spellEnd"/>
      <w:r w:rsidRPr="0047779A">
        <w:rPr>
          <w:rFonts w:ascii="Arial" w:hAnsi="Arial" w:cs="Arial"/>
          <w:b/>
          <w:bCs/>
        </w:rPr>
        <w:t>. The aim is for the UE (and the SNs) to know which reference config to use the next configuration.</w:t>
      </w:r>
    </w:p>
    <w:p w14:paraId="5F904BCB" w14:textId="1DAA3002" w:rsidR="00750BE8" w:rsidRDefault="00750BE8" w:rsidP="00EB1F19">
      <w:pPr>
        <w:rPr>
          <w:rFonts w:ascii="Arial" w:hAnsi="Arial" w:cs="Arial"/>
        </w:rPr>
      </w:pPr>
      <w:r>
        <w:rPr>
          <w:rFonts w:ascii="Arial" w:hAnsi="Arial" w:cs="Arial"/>
        </w:rPr>
        <w:t xml:space="preserve">We understand that many details related to Obj#2 are to first </w:t>
      </w:r>
      <w:proofErr w:type="gramStart"/>
      <w:r>
        <w:rPr>
          <w:rFonts w:ascii="Arial" w:hAnsi="Arial" w:cs="Arial"/>
        </w:rPr>
        <w:t>aligned</w:t>
      </w:r>
      <w:proofErr w:type="gramEnd"/>
      <w:r>
        <w:rPr>
          <w:rFonts w:ascii="Arial" w:hAnsi="Arial" w:cs="Arial"/>
        </w:rPr>
        <w:t xml:space="preserve">, before the full details on the actual reference signalling can be devised. </w:t>
      </w:r>
      <w:proofErr w:type="gramStart"/>
      <w:r>
        <w:rPr>
          <w:rFonts w:ascii="Arial" w:hAnsi="Arial" w:cs="Arial"/>
        </w:rPr>
        <w:t>Therefore</w:t>
      </w:r>
      <w:proofErr w:type="gramEnd"/>
      <w:r>
        <w:rPr>
          <w:rFonts w:ascii="Arial" w:hAnsi="Arial" w:cs="Arial"/>
        </w:rPr>
        <w:t xml:space="preserve"> it would be a good idea to first agree on pursuing this method, with the intent to finalize the signalling (and ASN.1 details) in later meetings.</w:t>
      </w:r>
    </w:p>
    <w:p w14:paraId="0EADB113" w14:textId="58C9007D" w:rsidR="00750BE8" w:rsidRPr="0047779A" w:rsidRDefault="00750BE8" w:rsidP="00EB1F19">
      <w:pPr>
        <w:rPr>
          <w:rFonts w:ascii="Arial" w:hAnsi="Arial" w:cs="Arial"/>
          <w:b/>
          <w:bCs/>
        </w:rPr>
      </w:pPr>
      <w:r w:rsidRPr="0047779A">
        <w:rPr>
          <w:rFonts w:ascii="Arial" w:hAnsi="Arial" w:cs="Arial"/>
          <w:b/>
          <w:bCs/>
        </w:rPr>
        <w:t>Observation 3: RAN2 can proceed with first agreeing to pursue this method, with further details to be ironed out in the subsequent meetings, once RAN2 progresses further on WID obj#2.</w:t>
      </w:r>
    </w:p>
    <w:p w14:paraId="04F839DB" w14:textId="23A8A9FA" w:rsidR="00EB1F19" w:rsidRPr="0047779A" w:rsidRDefault="00EB1F19" w:rsidP="00EB1F19">
      <w:pPr>
        <w:rPr>
          <w:rFonts w:ascii="Arial" w:hAnsi="Arial" w:cs="Arial"/>
          <w:b/>
          <w:bCs/>
        </w:rPr>
      </w:pPr>
      <w:r w:rsidRPr="0047779A">
        <w:rPr>
          <w:rFonts w:ascii="Arial" w:hAnsi="Arial" w:cs="Arial"/>
          <w:b/>
          <w:bCs/>
        </w:rPr>
        <w:t xml:space="preserve">Proposal </w:t>
      </w:r>
      <w:r w:rsidR="0047779A" w:rsidRPr="0047779A">
        <w:rPr>
          <w:rFonts w:ascii="Arial" w:hAnsi="Arial" w:cs="Arial"/>
          <w:b/>
          <w:bCs/>
        </w:rPr>
        <w:t>1</w:t>
      </w:r>
      <w:r w:rsidRPr="0047779A">
        <w:rPr>
          <w:rFonts w:ascii="Arial" w:hAnsi="Arial" w:cs="Arial"/>
          <w:b/>
          <w:bCs/>
        </w:rPr>
        <w:t>:</w:t>
      </w:r>
      <w:r w:rsidR="0047779A" w:rsidRPr="0047779A">
        <w:rPr>
          <w:rFonts w:ascii="Arial" w:hAnsi="Arial" w:cs="Arial"/>
          <w:b/>
          <w:bCs/>
        </w:rPr>
        <w:t xml:space="preserve"> A reference config</w:t>
      </w:r>
      <w:r w:rsidRPr="0047779A">
        <w:rPr>
          <w:rFonts w:ascii="Arial" w:hAnsi="Arial" w:cs="Arial"/>
          <w:b/>
          <w:bCs/>
        </w:rPr>
        <w:t xml:space="preserve"> </w:t>
      </w:r>
      <w:r w:rsidR="0047779A" w:rsidRPr="0047779A">
        <w:rPr>
          <w:rFonts w:ascii="Arial" w:hAnsi="Arial" w:cs="Arial"/>
          <w:b/>
          <w:bCs/>
        </w:rPr>
        <w:t>can be given to the UE that can be used for delta config from different SNs and this reference config is stored at the UE even through SN switches (until the NW releases such config). FFS on the details of how the config is provided and by which node.</w:t>
      </w:r>
      <w:r w:rsidRPr="0047779A">
        <w:rPr>
          <w:rFonts w:ascii="Arial" w:hAnsi="Arial" w:cs="Arial"/>
          <w:b/>
          <w:bCs/>
        </w:rPr>
        <w:t xml:space="preserve">  </w:t>
      </w:r>
    </w:p>
    <w:p w14:paraId="07388B9C" w14:textId="3B210159" w:rsidR="005C0434" w:rsidRDefault="005C0434" w:rsidP="005C0434">
      <w:pPr>
        <w:pStyle w:val="Heading1"/>
      </w:pPr>
      <w:r>
        <w:t>Conclusions</w:t>
      </w:r>
    </w:p>
    <w:p w14:paraId="4E8C467B" w14:textId="77777777" w:rsidR="00750BE8" w:rsidRPr="00750BE8" w:rsidRDefault="00750BE8" w:rsidP="00750BE8">
      <w:pPr>
        <w:rPr>
          <w:rFonts w:ascii="Arial" w:hAnsi="Arial" w:cs="Arial"/>
          <w:b/>
          <w:bCs/>
        </w:rPr>
      </w:pPr>
      <w:r w:rsidRPr="00750BE8">
        <w:rPr>
          <w:rFonts w:ascii="Arial" w:hAnsi="Arial" w:cs="Arial"/>
          <w:b/>
          <w:bCs/>
        </w:rPr>
        <w:t xml:space="preserve">Observation 1: With mobility (SN switching without explicit CPC), the participating SNs might not know the current UE configuration (unless MN keeps updating at every switch, which might be </w:t>
      </w:r>
      <w:proofErr w:type="spellStart"/>
      <w:r w:rsidRPr="00750BE8">
        <w:rPr>
          <w:rFonts w:ascii="Arial" w:hAnsi="Arial" w:cs="Arial"/>
          <w:b/>
          <w:bCs/>
        </w:rPr>
        <w:t>inefficent</w:t>
      </w:r>
      <w:proofErr w:type="spellEnd"/>
      <w:r w:rsidRPr="00750BE8">
        <w:rPr>
          <w:rFonts w:ascii="Arial" w:hAnsi="Arial" w:cs="Arial"/>
          <w:b/>
          <w:bCs/>
        </w:rPr>
        <w:t>) to configure UE. It is better to have a known reference config that UE and the SNs would know in advance.</w:t>
      </w:r>
    </w:p>
    <w:p w14:paraId="358A8245" w14:textId="77777777" w:rsidR="0047779A" w:rsidRPr="0047779A" w:rsidRDefault="0047779A" w:rsidP="0047779A">
      <w:pPr>
        <w:rPr>
          <w:rFonts w:ascii="Arial" w:hAnsi="Arial" w:cs="Arial"/>
          <w:b/>
          <w:bCs/>
        </w:rPr>
      </w:pPr>
      <w:r w:rsidRPr="0047779A">
        <w:rPr>
          <w:rFonts w:ascii="Arial" w:hAnsi="Arial" w:cs="Arial"/>
          <w:b/>
          <w:bCs/>
        </w:rPr>
        <w:t xml:space="preserve">Observation 2: RAN2 inter-node </w:t>
      </w:r>
      <w:proofErr w:type="spellStart"/>
      <w:r w:rsidRPr="0047779A">
        <w:rPr>
          <w:rFonts w:ascii="Arial" w:hAnsi="Arial" w:cs="Arial"/>
          <w:b/>
          <w:bCs/>
        </w:rPr>
        <w:t>signaling</w:t>
      </w:r>
      <w:proofErr w:type="spellEnd"/>
      <w:r w:rsidRPr="0047779A">
        <w:rPr>
          <w:rFonts w:ascii="Arial" w:hAnsi="Arial" w:cs="Arial"/>
          <w:b/>
          <w:bCs/>
        </w:rPr>
        <w:t xml:space="preserve"> (using CG-config/CG-</w:t>
      </w:r>
      <w:proofErr w:type="spellStart"/>
      <w:r w:rsidRPr="0047779A">
        <w:rPr>
          <w:rFonts w:ascii="Arial" w:hAnsi="Arial" w:cs="Arial"/>
          <w:b/>
          <w:bCs/>
        </w:rPr>
        <w:t>configInfo</w:t>
      </w:r>
      <w:proofErr w:type="spellEnd"/>
      <w:r w:rsidRPr="0047779A">
        <w:rPr>
          <w:rFonts w:ascii="Arial" w:hAnsi="Arial" w:cs="Arial"/>
          <w:b/>
          <w:bCs/>
        </w:rPr>
        <w:t xml:space="preserve"> for </w:t>
      </w:r>
      <w:proofErr w:type="spellStart"/>
      <w:r w:rsidRPr="0047779A">
        <w:rPr>
          <w:rFonts w:ascii="Arial" w:hAnsi="Arial" w:cs="Arial"/>
          <w:b/>
          <w:bCs/>
        </w:rPr>
        <w:t>eg</w:t>
      </w:r>
      <w:proofErr w:type="spellEnd"/>
      <w:r w:rsidRPr="0047779A">
        <w:rPr>
          <w:rFonts w:ascii="Arial" w:hAnsi="Arial" w:cs="Arial"/>
          <w:b/>
          <w:bCs/>
        </w:rPr>
        <w:t xml:space="preserve">) can be used to mediate by the MN during SN switches triggered by the UE (CPC based) or RAN3 can add necessary </w:t>
      </w:r>
      <w:proofErr w:type="spellStart"/>
      <w:r w:rsidRPr="0047779A">
        <w:rPr>
          <w:rFonts w:ascii="Arial" w:hAnsi="Arial" w:cs="Arial"/>
          <w:b/>
          <w:bCs/>
        </w:rPr>
        <w:t>signaling</w:t>
      </w:r>
      <w:proofErr w:type="spellEnd"/>
      <w:r w:rsidRPr="0047779A">
        <w:rPr>
          <w:rFonts w:ascii="Arial" w:hAnsi="Arial" w:cs="Arial"/>
          <w:b/>
          <w:bCs/>
        </w:rPr>
        <w:t>. The aim is for the UE (and the SNs) to know which reference config to use the next configuration.</w:t>
      </w:r>
    </w:p>
    <w:p w14:paraId="2C3CC60D" w14:textId="77777777" w:rsidR="0047779A" w:rsidRPr="0047779A" w:rsidRDefault="0047779A" w:rsidP="0047779A">
      <w:pPr>
        <w:rPr>
          <w:rFonts w:ascii="Arial" w:hAnsi="Arial" w:cs="Arial"/>
          <w:b/>
          <w:bCs/>
        </w:rPr>
      </w:pPr>
      <w:r w:rsidRPr="0047779A">
        <w:rPr>
          <w:rFonts w:ascii="Arial" w:hAnsi="Arial" w:cs="Arial"/>
          <w:b/>
          <w:bCs/>
        </w:rPr>
        <w:t>Observation 3: RAN2 can proceed with first agreeing to pursue this method, with further details to be ironed out in the subsequent meetings, once RAN2 progresses further on WID obj#2.</w:t>
      </w:r>
    </w:p>
    <w:p w14:paraId="36273AE2" w14:textId="77777777" w:rsidR="0047779A" w:rsidRDefault="0047779A" w:rsidP="0047779A">
      <w:pPr>
        <w:rPr>
          <w:rFonts w:ascii="Arial" w:hAnsi="Arial" w:cs="Arial"/>
          <w:b/>
          <w:bCs/>
        </w:rPr>
      </w:pPr>
    </w:p>
    <w:p w14:paraId="3286AEF3" w14:textId="73F26C07" w:rsidR="0047779A" w:rsidRPr="0047779A" w:rsidRDefault="0047779A" w:rsidP="0047779A">
      <w:pPr>
        <w:rPr>
          <w:rFonts w:ascii="Arial" w:hAnsi="Arial" w:cs="Arial"/>
          <w:b/>
          <w:bCs/>
        </w:rPr>
      </w:pPr>
      <w:r w:rsidRPr="0047779A">
        <w:rPr>
          <w:rFonts w:ascii="Arial" w:hAnsi="Arial" w:cs="Arial"/>
          <w:b/>
          <w:bCs/>
        </w:rPr>
        <w:t xml:space="preserve">Proposal 1: A reference config can be given to the UE that can be used for delta config from different SNs and this reference config is stored at the UE even through SN switches (until the NW releases such config). FFS on the details of how the config is provided and by which node.  </w:t>
      </w:r>
    </w:p>
    <w:p w14:paraId="2B858577" w14:textId="77777777" w:rsidR="00856B0F" w:rsidRDefault="00856B0F" w:rsidP="00D07AF6"/>
    <w:p w14:paraId="0CF580AE" w14:textId="598B13FD" w:rsidR="00993914" w:rsidRDefault="00993914" w:rsidP="00993914">
      <w:pPr>
        <w:pStyle w:val="Heading1"/>
      </w:pPr>
      <w:r>
        <w:t>References</w:t>
      </w:r>
    </w:p>
    <w:p w14:paraId="3379E62C" w14:textId="1D2FE3CF" w:rsidR="00363D74" w:rsidRDefault="00993914" w:rsidP="00437304">
      <w:pPr>
        <w:rPr>
          <w:rFonts w:ascii="Arial" w:hAnsi="Arial" w:cs="Arial"/>
        </w:rPr>
      </w:pPr>
      <w:r w:rsidRPr="0023168D">
        <w:rPr>
          <w:rFonts w:ascii="Arial" w:hAnsi="Arial" w:cs="Arial"/>
        </w:rPr>
        <w:t>[1]</w:t>
      </w:r>
      <w:r w:rsidR="00363D74">
        <w:rPr>
          <w:rFonts w:ascii="Arial" w:hAnsi="Arial" w:cs="Arial"/>
        </w:rPr>
        <w:tab/>
      </w:r>
      <w:r w:rsidR="00CB4770">
        <w:rPr>
          <w:rFonts w:ascii="Arial" w:hAnsi="Arial" w:cs="Arial"/>
        </w:rPr>
        <w:t xml:space="preserve">R2-220xxxx </w:t>
      </w:r>
      <w:r w:rsidR="004D65C1">
        <w:rPr>
          <w:rFonts w:ascii="Arial" w:hAnsi="Arial" w:cs="Arial"/>
          <w:lang w:val="en-US"/>
        </w:rPr>
        <w:t>R2_119-e Chair Notes EOM</w:t>
      </w:r>
    </w:p>
    <w:p w14:paraId="1EF3E06D" w14:textId="514342DB" w:rsidR="00437304" w:rsidRPr="00D07AF6" w:rsidRDefault="00363D74" w:rsidP="00437304">
      <w:r>
        <w:rPr>
          <w:rFonts w:ascii="Arial" w:hAnsi="Arial" w:cs="Arial"/>
        </w:rPr>
        <w:t>[2]</w:t>
      </w:r>
      <w:r>
        <w:rPr>
          <w:rFonts w:ascii="Arial" w:hAnsi="Arial" w:cs="Arial"/>
        </w:rPr>
        <w:tab/>
      </w:r>
    </w:p>
    <w:p w14:paraId="6F79AA7D" w14:textId="3AFE3C6A" w:rsidR="0023168D" w:rsidRPr="00D07AF6" w:rsidRDefault="0023168D" w:rsidP="00D07AF6"/>
    <w:sectPr w:rsidR="0023168D"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EE3B8" w14:textId="77777777" w:rsidR="007F01DA" w:rsidRDefault="007F01DA" w:rsidP="000E43D2">
      <w:pPr>
        <w:spacing w:after="0"/>
      </w:pPr>
      <w:r>
        <w:separator/>
      </w:r>
    </w:p>
  </w:endnote>
  <w:endnote w:type="continuationSeparator" w:id="0">
    <w:p w14:paraId="0226F763" w14:textId="77777777" w:rsidR="007F01DA" w:rsidRDefault="007F01DA"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86A87" w14:textId="77777777" w:rsidR="007F01DA" w:rsidRDefault="007F01DA" w:rsidP="000E43D2">
      <w:pPr>
        <w:spacing w:after="0"/>
      </w:pPr>
      <w:r>
        <w:separator/>
      </w:r>
    </w:p>
  </w:footnote>
  <w:footnote w:type="continuationSeparator" w:id="0">
    <w:p w14:paraId="51933D7A" w14:textId="77777777" w:rsidR="007F01DA" w:rsidRDefault="007F01DA"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EE0599"/>
    <w:multiLevelType w:val="hybridMultilevel"/>
    <w:tmpl w:val="3A22B7B6"/>
    <w:lvl w:ilvl="0" w:tplc="EA543E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5E593B"/>
    <w:multiLevelType w:val="multilevel"/>
    <w:tmpl w:val="F14CA92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sz w:val="32"/>
        <w:szCs w:val="32"/>
      </w:rPr>
    </w:lvl>
    <w:lvl w:ilvl="3">
      <w:start w:val="1"/>
      <w:numFmt w:val="decimal"/>
      <w:pStyle w:val="Heading4"/>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15"/>
  </w:num>
  <w:num w:numId="9" w16cid:durableId="302470555">
    <w:abstractNumId w:val="10"/>
  </w:num>
  <w:num w:numId="10" w16cid:durableId="55668815">
    <w:abstractNumId w:val="16"/>
  </w:num>
  <w:num w:numId="11" w16cid:durableId="1947928206">
    <w:abstractNumId w:val="8"/>
  </w:num>
  <w:num w:numId="12" w16cid:durableId="1695182576">
    <w:abstractNumId w:val="11"/>
  </w:num>
  <w:num w:numId="13" w16cid:durableId="249436846">
    <w:abstractNumId w:val="7"/>
  </w:num>
  <w:num w:numId="14" w16cid:durableId="1110050603">
    <w:abstractNumId w:val="13"/>
  </w:num>
  <w:num w:numId="15" w16cid:durableId="1611737473">
    <w:abstractNumId w:val="9"/>
  </w:num>
  <w:num w:numId="16" w16cid:durableId="18037699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923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7257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732352">
    <w:abstractNumId w:val="12"/>
  </w:num>
  <w:num w:numId="20" w16cid:durableId="2038357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0F1C"/>
    <w:rsid w:val="00011FB5"/>
    <w:rsid w:val="00015C2C"/>
    <w:rsid w:val="0001799E"/>
    <w:rsid w:val="0002147A"/>
    <w:rsid w:val="00032718"/>
    <w:rsid w:val="00034894"/>
    <w:rsid w:val="000558D0"/>
    <w:rsid w:val="00066CF1"/>
    <w:rsid w:val="000671A4"/>
    <w:rsid w:val="000948F8"/>
    <w:rsid w:val="000B15B6"/>
    <w:rsid w:val="000B53D9"/>
    <w:rsid w:val="000B54B1"/>
    <w:rsid w:val="000C0AF6"/>
    <w:rsid w:val="000C3111"/>
    <w:rsid w:val="000D59A4"/>
    <w:rsid w:val="000E43D2"/>
    <w:rsid w:val="00102339"/>
    <w:rsid w:val="00102701"/>
    <w:rsid w:val="00106917"/>
    <w:rsid w:val="0011345C"/>
    <w:rsid w:val="00114533"/>
    <w:rsid w:val="00115010"/>
    <w:rsid w:val="0012786E"/>
    <w:rsid w:val="00130151"/>
    <w:rsid w:val="001309DA"/>
    <w:rsid w:val="00131DF0"/>
    <w:rsid w:val="001325C2"/>
    <w:rsid w:val="00135D53"/>
    <w:rsid w:val="00143A2A"/>
    <w:rsid w:val="00145881"/>
    <w:rsid w:val="00155758"/>
    <w:rsid w:val="0016652A"/>
    <w:rsid w:val="00175A3F"/>
    <w:rsid w:val="00177438"/>
    <w:rsid w:val="00181154"/>
    <w:rsid w:val="001817CD"/>
    <w:rsid w:val="0018595C"/>
    <w:rsid w:val="0019163F"/>
    <w:rsid w:val="001A410C"/>
    <w:rsid w:val="001B01FD"/>
    <w:rsid w:val="001D1997"/>
    <w:rsid w:val="001E1868"/>
    <w:rsid w:val="001F0BF8"/>
    <w:rsid w:val="00200B6F"/>
    <w:rsid w:val="00201AD1"/>
    <w:rsid w:val="00210B2D"/>
    <w:rsid w:val="002141C4"/>
    <w:rsid w:val="00215350"/>
    <w:rsid w:val="00216B1A"/>
    <w:rsid w:val="002209DF"/>
    <w:rsid w:val="00221950"/>
    <w:rsid w:val="0023168D"/>
    <w:rsid w:val="0023754E"/>
    <w:rsid w:val="002474E7"/>
    <w:rsid w:val="0026249B"/>
    <w:rsid w:val="002632C8"/>
    <w:rsid w:val="00266D9F"/>
    <w:rsid w:val="0027286D"/>
    <w:rsid w:val="00283661"/>
    <w:rsid w:val="0028575D"/>
    <w:rsid w:val="00285D58"/>
    <w:rsid w:val="002A2374"/>
    <w:rsid w:val="002B47D7"/>
    <w:rsid w:val="002B5369"/>
    <w:rsid w:val="002C4289"/>
    <w:rsid w:val="002D3B10"/>
    <w:rsid w:val="002E0CBA"/>
    <w:rsid w:val="002E2212"/>
    <w:rsid w:val="002E4823"/>
    <w:rsid w:val="00301024"/>
    <w:rsid w:val="00303CC1"/>
    <w:rsid w:val="00313E60"/>
    <w:rsid w:val="003161A9"/>
    <w:rsid w:val="00322937"/>
    <w:rsid w:val="0033267D"/>
    <w:rsid w:val="00334FFE"/>
    <w:rsid w:val="00335BCE"/>
    <w:rsid w:val="003439D1"/>
    <w:rsid w:val="003553F1"/>
    <w:rsid w:val="00363D74"/>
    <w:rsid w:val="0036542B"/>
    <w:rsid w:val="00370BED"/>
    <w:rsid w:val="003739BF"/>
    <w:rsid w:val="0038715A"/>
    <w:rsid w:val="003A0E5B"/>
    <w:rsid w:val="003B2E54"/>
    <w:rsid w:val="003B6738"/>
    <w:rsid w:val="003C135D"/>
    <w:rsid w:val="003C41A7"/>
    <w:rsid w:val="003C681D"/>
    <w:rsid w:val="003D4F59"/>
    <w:rsid w:val="003D597C"/>
    <w:rsid w:val="003D6AA9"/>
    <w:rsid w:val="003D6F3F"/>
    <w:rsid w:val="003E0AA3"/>
    <w:rsid w:val="003E4741"/>
    <w:rsid w:val="003F1A0A"/>
    <w:rsid w:val="0040377C"/>
    <w:rsid w:val="00413864"/>
    <w:rsid w:val="00414C30"/>
    <w:rsid w:val="00415B6E"/>
    <w:rsid w:val="00421897"/>
    <w:rsid w:val="00434CB8"/>
    <w:rsid w:val="00437304"/>
    <w:rsid w:val="00437F18"/>
    <w:rsid w:val="00457703"/>
    <w:rsid w:val="00461122"/>
    <w:rsid w:val="00464CCE"/>
    <w:rsid w:val="004738AD"/>
    <w:rsid w:val="0047779A"/>
    <w:rsid w:val="00477A09"/>
    <w:rsid w:val="004837D9"/>
    <w:rsid w:val="00491BEA"/>
    <w:rsid w:val="00495E19"/>
    <w:rsid w:val="00495E63"/>
    <w:rsid w:val="004967D6"/>
    <w:rsid w:val="004A40EC"/>
    <w:rsid w:val="004D38A3"/>
    <w:rsid w:val="004D65C1"/>
    <w:rsid w:val="004E4636"/>
    <w:rsid w:val="004E4F93"/>
    <w:rsid w:val="004F275C"/>
    <w:rsid w:val="004F3398"/>
    <w:rsid w:val="004F353B"/>
    <w:rsid w:val="004F6631"/>
    <w:rsid w:val="004F6F22"/>
    <w:rsid w:val="00505606"/>
    <w:rsid w:val="00510832"/>
    <w:rsid w:val="0052091B"/>
    <w:rsid w:val="00521E8A"/>
    <w:rsid w:val="00524266"/>
    <w:rsid w:val="00560726"/>
    <w:rsid w:val="00572EAD"/>
    <w:rsid w:val="0058588B"/>
    <w:rsid w:val="005939D1"/>
    <w:rsid w:val="00596DB2"/>
    <w:rsid w:val="005A13B4"/>
    <w:rsid w:val="005B1CE9"/>
    <w:rsid w:val="005C0434"/>
    <w:rsid w:val="005D31B1"/>
    <w:rsid w:val="005E0F03"/>
    <w:rsid w:val="005E3FA7"/>
    <w:rsid w:val="005F5334"/>
    <w:rsid w:val="0060350E"/>
    <w:rsid w:val="006049AC"/>
    <w:rsid w:val="00605982"/>
    <w:rsid w:val="00633BA4"/>
    <w:rsid w:val="00637070"/>
    <w:rsid w:val="00637910"/>
    <w:rsid w:val="0064205B"/>
    <w:rsid w:val="00643F9A"/>
    <w:rsid w:val="00647C88"/>
    <w:rsid w:val="00655941"/>
    <w:rsid w:val="00672266"/>
    <w:rsid w:val="006A2D08"/>
    <w:rsid w:val="006C2518"/>
    <w:rsid w:val="006D0E83"/>
    <w:rsid w:val="006D2A6D"/>
    <w:rsid w:val="006E4962"/>
    <w:rsid w:val="006F3A06"/>
    <w:rsid w:val="00707116"/>
    <w:rsid w:val="007129CD"/>
    <w:rsid w:val="00723AC7"/>
    <w:rsid w:val="00724CE7"/>
    <w:rsid w:val="00727592"/>
    <w:rsid w:val="00727F8A"/>
    <w:rsid w:val="00732B80"/>
    <w:rsid w:val="007501BB"/>
    <w:rsid w:val="00750BE8"/>
    <w:rsid w:val="007603DC"/>
    <w:rsid w:val="00766693"/>
    <w:rsid w:val="007720E0"/>
    <w:rsid w:val="00772626"/>
    <w:rsid w:val="007733A5"/>
    <w:rsid w:val="007827DD"/>
    <w:rsid w:val="007A0DBC"/>
    <w:rsid w:val="007A2F26"/>
    <w:rsid w:val="007A4847"/>
    <w:rsid w:val="007A6DF7"/>
    <w:rsid w:val="007A6F8D"/>
    <w:rsid w:val="007C422A"/>
    <w:rsid w:val="007C45E7"/>
    <w:rsid w:val="007D226E"/>
    <w:rsid w:val="007D2961"/>
    <w:rsid w:val="007E687E"/>
    <w:rsid w:val="007F01DA"/>
    <w:rsid w:val="007F056D"/>
    <w:rsid w:val="007F3862"/>
    <w:rsid w:val="007F6D2D"/>
    <w:rsid w:val="00801615"/>
    <w:rsid w:val="00806753"/>
    <w:rsid w:val="008105F8"/>
    <w:rsid w:val="0081231F"/>
    <w:rsid w:val="008225B1"/>
    <w:rsid w:val="0082459F"/>
    <w:rsid w:val="00826C75"/>
    <w:rsid w:val="008378AF"/>
    <w:rsid w:val="00856B0F"/>
    <w:rsid w:val="0088227E"/>
    <w:rsid w:val="00882F38"/>
    <w:rsid w:val="00887B70"/>
    <w:rsid w:val="008A0DF6"/>
    <w:rsid w:val="008B0BB5"/>
    <w:rsid w:val="008C3760"/>
    <w:rsid w:val="008C5FED"/>
    <w:rsid w:val="008C6DC1"/>
    <w:rsid w:val="008D4FB6"/>
    <w:rsid w:val="008D6E93"/>
    <w:rsid w:val="008E0C48"/>
    <w:rsid w:val="008E1B52"/>
    <w:rsid w:val="008F5B07"/>
    <w:rsid w:val="009062AD"/>
    <w:rsid w:val="00907F0D"/>
    <w:rsid w:val="00915CDF"/>
    <w:rsid w:val="00921135"/>
    <w:rsid w:val="009220BB"/>
    <w:rsid w:val="00926DE8"/>
    <w:rsid w:val="00932DA4"/>
    <w:rsid w:val="009538BD"/>
    <w:rsid w:val="00955F32"/>
    <w:rsid w:val="00957C54"/>
    <w:rsid w:val="0097271A"/>
    <w:rsid w:val="009864F5"/>
    <w:rsid w:val="00993914"/>
    <w:rsid w:val="0099547F"/>
    <w:rsid w:val="009A1903"/>
    <w:rsid w:val="009A24A4"/>
    <w:rsid w:val="009A3B6E"/>
    <w:rsid w:val="009A75F4"/>
    <w:rsid w:val="009C6AA7"/>
    <w:rsid w:val="009F76FA"/>
    <w:rsid w:val="00A17CEA"/>
    <w:rsid w:val="00A26261"/>
    <w:rsid w:val="00A4589F"/>
    <w:rsid w:val="00A460F3"/>
    <w:rsid w:val="00A52BC0"/>
    <w:rsid w:val="00A5717B"/>
    <w:rsid w:val="00A5751C"/>
    <w:rsid w:val="00A6386C"/>
    <w:rsid w:val="00A64DDC"/>
    <w:rsid w:val="00A65FDF"/>
    <w:rsid w:val="00A7101D"/>
    <w:rsid w:val="00A85EEC"/>
    <w:rsid w:val="00A86D45"/>
    <w:rsid w:val="00AB5567"/>
    <w:rsid w:val="00AE1843"/>
    <w:rsid w:val="00AE3297"/>
    <w:rsid w:val="00AF2BE6"/>
    <w:rsid w:val="00AF6DC2"/>
    <w:rsid w:val="00B11EFB"/>
    <w:rsid w:val="00B138F9"/>
    <w:rsid w:val="00B27E57"/>
    <w:rsid w:val="00B30CB8"/>
    <w:rsid w:val="00B327EB"/>
    <w:rsid w:val="00B42AFE"/>
    <w:rsid w:val="00B67DCE"/>
    <w:rsid w:val="00B83C4F"/>
    <w:rsid w:val="00B84BD8"/>
    <w:rsid w:val="00B86D0C"/>
    <w:rsid w:val="00B9289F"/>
    <w:rsid w:val="00BC76AE"/>
    <w:rsid w:val="00BE68D2"/>
    <w:rsid w:val="00BF3815"/>
    <w:rsid w:val="00BF6754"/>
    <w:rsid w:val="00C04B38"/>
    <w:rsid w:val="00C10DD5"/>
    <w:rsid w:val="00C27711"/>
    <w:rsid w:val="00C369CE"/>
    <w:rsid w:val="00C46E44"/>
    <w:rsid w:val="00C509E3"/>
    <w:rsid w:val="00C61E9E"/>
    <w:rsid w:val="00C65B6B"/>
    <w:rsid w:val="00C72CF1"/>
    <w:rsid w:val="00C75E91"/>
    <w:rsid w:val="00C81836"/>
    <w:rsid w:val="00C82B3E"/>
    <w:rsid w:val="00C906D3"/>
    <w:rsid w:val="00CA60C7"/>
    <w:rsid w:val="00CA630B"/>
    <w:rsid w:val="00CB4770"/>
    <w:rsid w:val="00CC5A46"/>
    <w:rsid w:val="00CC6744"/>
    <w:rsid w:val="00CD027C"/>
    <w:rsid w:val="00CD444B"/>
    <w:rsid w:val="00CE18C2"/>
    <w:rsid w:val="00CE473D"/>
    <w:rsid w:val="00CE6F0C"/>
    <w:rsid w:val="00CF0560"/>
    <w:rsid w:val="00CF602D"/>
    <w:rsid w:val="00D07AF6"/>
    <w:rsid w:val="00D14F96"/>
    <w:rsid w:val="00D15C2E"/>
    <w:rsid w:val="00D201C6"/>
    <w:rsid w:val="00D24C6A"/>
    <w:rsid w:val="00D25F36"/>
    <w:rsid w:val="00D454BB"/>
    <w:rsid w:val="00D51CC8"/>
    <w:rsid w:val="00D55188"/>
    <w:rsid w:val="00D7439A"/>
    <w:rsid w:val="00D80926"/>
    <w:rsid w:val="00D80F25"/>
    <w:rsid w:val="00D845BD"/>
    <w:rsid w:val="00DA5623"/>
    <w:rsid w:val="00DB1657"/>
    <w:rsid w:val="00DC290E"/>
    <w:rsid w:val="00DC4E8A"/>
    <w:rsid w:val="00DD4466"/>
    <w:rsid w:val="00DE16AF"/>
    <w:rsid w:val="00DE5A88"/>
    <w:rsid w:val="00DF6AF2"/>
    <w:rsid w:val="00E017AB"/>
    <w:rsid w:val="00E06A25"/>
    <w:rsid w:val="00E31181"/>
    <w:rsid w:val="00E31EC0"/>
    <w:rsid w:val="00E33811"/>
    <w:rsid w:val="00E51B4A"/>
    <w:rsid w:val="00E61A95"/>
    <w:rsid w:val="00E666CD"/>
    <w:rsid w:val="00E82928"/>
    <w:rsid w:val="00E83E98"/>
    <w:rsid w:val="00E84A07"/>
    <w:rsid w:val="00E9612C"/>
    <w:rsid w:val="00EB1661"/>
    <w:rsid w:val="00EB1F19"/>
    <w:rsid w:val="00EB2EC6"/>
    <w:rsid w:val="00EB6433"/>
    <w:rsid w:val="00EC26B0"/>
    <w:rsid w:val="00ED578C"/>
    <w:rsid w:val="00EE0157"/>
    <w:rsid w:val="00EE2E37"/>
    <w:rsid w:val="00EE577A"/>
    <w:rsid w:val="00EF00AF"/>
    <w:rsid w:val="00EF137A"/>
    <w:rsid w:val="00EF461C"/>
    <w:rsid w:val="00F12CD1"/>
    <w:rsid w:val="00F176D9"/>
    <w:rsid w:val="00F20C61"/>
    <w:rsid w:val="00F20E48"/>
    <w:rsid w:val="00F24F2D"/>
    <w:rsid w:val="00F4118B"/>
    <w:rsid w:val="00F41430"/>
    <w:rsid w:val="00F45CD0"/>
    <w:rsid w:val="00F46232"/>
    <w:rsid w:val="00F51A58"/>
    <w:rsid w:val="00F5744E"/>
    <w:rsid w:val="00F602EF"/>
    <w:rsid w:val="00F6125C"/>
    <w:rsid w:val="00F70EF8"/>
    <w:rsid w:val="00F76BFF"/>
    <w:rsid w:val="00F8434B"/>
    <w:rsid w:val="00F90655"/>
    <w:rsid w:val="00F94BB7"/>
    <w:rsid w:val="00FA0B09"/>
    <w:rsid w:val="00FA769F"/>
    <w:rsid w:val="00FB1B47"/>
    <w:rsid w:val="00FC2534"/>
    <w:rsid w:val="00FC62D9"/>
    <w:rsid w:val="00FD7BCB"/>
    <w:rsid w:val="00FE2EB7"/>
    <w:rsid w:val="00FE51B0"/>
    <w:rsid w:val="00FE6165"/>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basedOn w:val="Normal"/>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 w:type="paragraph" w:customStyle="1" w:styleId="Agreement">
    <w:name w:val="Agreement"/>
    <w:basedOn w:val="Normal"/>
    <w:next w:val="Doc-text2"/>
    <w:qFormat/>
    <w:rsid w:val="00C04B38"/>
    <w:pPr>
      <w:numPr>
        <w:numId w:val="20"/>
      </w:numPr>
      <w:overflowPunct/>
      <w:autoSpaceDE/>
      <w:autoSpaceDN/>
      <w:adjustRightInd/>
      <w:spacing w:before="60" w:after="0"/>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350062556">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DA7872-71E3-4B7F-9098-AA14D05B5D3B}">
  <ds:schemaRefs>
    <ds:schemaRef ds:uri="http://schemas.microsoft.com/sharepoint/v3/contenttype/forms"/>
  </ds:schemaRefs>
</ds:datastoreItem>
</file>

<file path=customXml/itemProps4.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31</TotalTime>
  <Pages>4</Pages>
  <Words>914</Words>
  <Characters>5214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16</cp:revision>
  <cp:lastPrinted>2020-07-28T11:49:00Z</cp:lastPrinted>
  <dcterms:created xsi:type="dcterms:W3CDTF">2022-09-28T18:19:00Z</dcterms:created>
  <dcterms:modified xsi:type="dcterms:W3CDTF">2022-09-30T03:08:00Z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