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7429" w14:textId="033AB2D9" w:rsidR="00912C62" w:rsidRPr="00AF5CBA" w:rsidRDefault="00912C62" w:rsidP="00AF5CBA">
      <w:pPr>
        <w:pStyle w:val="3GPPHeader"/>
        <w:spacing w:after="0"/>
        <w:rPr>
          <w:rFonts w:asciiTheme="minorHAnsi" w:hAnsiTheme="minorHAnsi" w:cstheme="minorHAnsi"/>
          <w:sz w:val="28"/>
          <w:szCs w:val="28"/>
          <w:lang w:val="sv-SE"/>
        </w:rPr>
      </w:pPr>
      <w:r w:rsidRPr="00AF5CBA">
        <w:rPr>
          <w:rFonts w:asciiTheme="minorHAnsi" w:hAnsiTheme="minorHAnsi" w:cstheme="minorHAnsi"/>
          <w:sz w:val="28"/>
          <w:szCs w:val="28"/>
          <w:lang w:val="sv-SE"/>
        </w:rPr>
        <w:t>3GPP TSG RAN WG2 Meeting #119</w:t>
      </w:r>
      <w:r w:rsidR="00790F33" w:rsidRPr="00AF5CBA">
        <w:rPr>
          <w:rFonts w:asciiTheme="minorHAnsi" w:hAnsiTheme="minorHAnsi" w:cstheme="minorHAnsi"/>
          <w:sz w:val="28"/>
          <w:szCs w:val="28"/>
          <w:lang w:val="sv-SE"/>
        </w:rPr>
        <w:t>bis</w:t>
      </w:r>
      <w:r w:rsidRPr="00AF5CBA">
        <w:rPr>
          <w:rFonts w:asciiTheme="minorHAnsi" w:hAnsiTheme="minorHAnsi" w:cstheme="minorHAnsi"/>
          <w:sz w:val="28"/>
          <w:szCs w:val="28"/>
          <w:lang w:val="sv-SE"/>
        </w:rPr>
        <w:t xml:space="preserve">-e            </w:t>
      </w:r>
      <w:r w:rsidRPr="00AF5CBA">
        <w:rPr>
          <w:rFonts w:asciiTheme="minorHAnsi" w:hAnsiTheme="minorHAnsi" w:cstheme="minorHAnsi"/>
          <w:sz w:val="28"/>
          <w:szCs w:val="28"/>
          <w:lang w:val="sv-SE"/>
        </w:rPr>
        <w:tab/>
      </w:r>
      <w:r w:rsidR="00565494" w:rsidRPr="00565494">
        <w:rPr>
          <w:rFonts w:asciiTheme="minorHAnsi" w:hAnsiTheme="minorHAnsi" w:cstheme="minorHAnsi"/>
          <w:sz w:val="28"/>
          <w:szCs w:val="28"/>
          <w:lang w:val="sv-SE"/>
        </w:rPr>
        <w:t>R2-2209641</w:t>
      </w:r>
    </w:p>
    <w:p w14:paraId="180F4055" w14:textId="5E0A10BD" w:rsidR="00912C62" w:rsidRPr="00AF5CBA" w:rsidRDefault="00912C62" w:rsidP="00AF5CBA">
      <w:pPr>
        <w:pStyle w:val="3GPPHeader"/>
        <w:spacing w:after="360"/>
        <w:rPr>
          <w:rFonts w:asciiTheme="minorHAnsi" w:hAnsiTheme="minorHAnsi" w:cstheme="minorHAnsi"/>
          <w:sz w:val="28"/>
          <w:szCs w:val="28"/>
          <w:lang w:val="sv-SE"/>
        </w:rPr>
      </w:pPr>
      <w:r w:rsidRPr="00AF5CBA">
        <w:rPr>
          <w:rFonts w:asciiTheme="minorHAnsi" w:hAnsiTheme="minorHAnsi" w:cstheme="minorHAnsi"/>
          <w:sz w:val="28"/>
          <w:szCs w:val="28"/>
          <w:lang w:val="sv-SE"/>
        </w:rPr>
        <w:t xml:space="preserve">Electronic meeting, </w:t>
      </w:r>
      <w:r w:rsidR="00790F33" w:rsidRPr="00AF5CBA">
        <w:rPr>
          <w:rFonts w:asciiTheme="minorHAnsi" w:hAnsiTheme="minorHAnsi" w:cstheme="minorHAnsi"/>
          <w:sz w:val="28"/>
          <w:szCs w:val="28"/>
          <w:lang w:val="sv-SE"/>
        </w:rPr>
        <w:t>10 – 19 October</w:t>
      </w:r>
      <w:r w:rsidRPr="00AF5CBA">
        <w:rPr>
          <w:rFonts w:asciiTheme="minorHAnsi" w:hAnsiTheme="minorHAnsi" w:cstheme="minorHAnsi"/>
          <w:sz w:val="28"/>
          <w:szCs w:val="28"/>
          <w:lang w:val="sv-SE"/>
        </w:rPr>
        <w:t xml:space="preserve">, 2022     </w:t>
      </w:r>
      <w:r w:rsidRPr="00AF5CBA">
        <w:rPr>
          <w:rFonts w:asciiTheme="minorHAnsi" w:hAnsiTheme="minorHAnsi" w:cstheme="minorHAnsi"/>
          <w:sz w:val="28"/>
          <w:szCs w:val="28"/>
          <w:lang w:val="sv-SE"/>
        </w:rPr>
        <w:tab/>
      </w:r>
    </w:p>
    <w:p w14:paraId="1C23C50A" w14:textId="7E107E39" w:rsidR="00912C62" w:rsidRPr="00AF5CBA" w:rsidRDefault="00912C62" w:rsidP="00AF5CBA">
      <w:pPr>
        <w:pStyle w:val="3GPPHeader"/>
        <w:spacing w:after="120"/>
        <w:rPr>
          <w:rFonts w:asciiTheme="minorHAnsi" w:eastAsia="MS Mincho" w:hAnsiTheme="minorHAnsi" w:cstheme="minorHAnsi"/>
          <w:sz w:val="32"/>
          <w:szCs w:val="32"/>
          <w:lang w:eastAsia="x-none"/>
        </w:rPr>
      </w:pPr>
      <w:r w:rsidRPr="00AF5CBA">
        <w:rPr>
          <w:rFonts w:asciiTheme="minorHAnsi" w:hAnsiTheme="minorHAnsi" w:cstheme="minorHAnsi"/>
          <w:sz w:val="28"/>
          <w:szCs w:val="28"/>
          <w:lang w:val="sv-SE"/>
        </w:rPr>
        <w:t>Agenda Item:</w:t>
      </w:r>
      <w:r w:rsidRPr="00AF5CBA">
        <w:rPr>
          <w:rFonts w:asciiTheme="minorHAnsi" w:hAnsiTheme="minorHAnsi" w:cstheme="minorHAnsi"/>
          <w:sz w:val="28"/>
          <w:szCs w:val="28"/>
          <w:lang w:val="sv-SE"/>
        </w:rPr>
        <w:tab/>
        <w:t>8.12.</w:t>
      </w:r>
      <w:r w:rsidR="00A740CC" w:rsidRPr="00AF5CBA">
        <w:rPr>
          <w:rFonts w:asciiTheme="minorHAnsi" w:hAnsiTheme="minorHAnsi" w:cstheme="minorHAnsi"/>
          <w:sz w:val="28"/>
          <w:szCs w:val="28"/>
          <w:lang w:val="sv-SE"/>
        </w:rPr>
        <w:t>3</w:t>
      </w:r>
    </w:p>
    <w:p w14:paraId="234AC10A" w14:textId="77777777" w:rsidR="00912C62" w:rsidRPr="00AF5CBA" w:rsidRDefault="00912C62" w:rsidP="00AF5CBA">
      <w:pPr>
        <w:pStyle w:val="3GPPHeader"/>
        <w:spacing w:after="120"/>
        <w:rPr>
          <w:rFonts w:asciiTheme="minorHAnsi" w:hAnsiTheme="minorHAnsi" w:cstheme="minorHAnsi"/>
          <w:sz w:val="28"/>
          <w:szCs w:val="28"/>
        </w:rPr>
      </w:pPr>
      <w:r w:rsidRPr="00AF5CBA">
        <w:rPr>
          <w:rFonts w:asciiTheme="minorHAnsi" w:hAnsiTheme="minorHAnsi" w:cstheme="minorHAnsi"/>
          <w:sz w:val="28"/>
          <w:szCs w:val="28"/>
        </w:rPr>
        <w:t>Source:</w:t>
      </w:r>
      <w:r w:rsidRPr="00AF5CBA">
        <w:rPr>
          <w:rFonts w:asciiTheme="minorHAnsi" w:hAnsiTheme="minorHAnsi" w:cstheme="minorHAnsi"/>
          <w:sz w:val="28"/>
          <w:szCs w:val="28"/>
        </w:rPr>
        <w:tab/>
        <w:t>Intel Corporation</w:t>
      </w:r>
    </w:p>
    <w:p w14:paraId="05DC5D26" w14:textId="4AF5C4DD" w:rsidR="00912C62" w:rsidRPr="00AF5CBA" w:rsidRDefault="00912C62" w:rsidP="00AF5CBA">
      <w:pPr>
        <w:pStyle w:val="3GPPHeader"/>
        <w:spacing w:after="120"/>
        <w:rPr>
          <w:rFonts w:asciiTheme="minorHAnsi" w:hAnsiTheme="minorHAnsi" w:cstheme="minorHAnsi"/>
          <w:sz w:val="28"/>
          <w:szCs w:val="28"/>
        </w:rPr>
      </w:pPr>
      <w:r w:rsidRPr="00AF5CBA">
        <w:rPr>
          <w:rFonts w:asciiTheme="minorHAnsi" w:hAnsiTheme="minorHAnsi" w:cstheme="minorHAnsi"/>
          <w:sz w:val="28"/>
          <w:szCs w:val="28"/>
        </w:rPr>
        <w:t>Title:</w:t>
      </w:r>
      <w:r w:rsidRPr="00AF5CBA">
        <w:rPr>
          <w:rFonts w:asciiTheme="minorHAnsi" w:hAnsiTheme="minorHAnsi" w:cstheme="minorHAnsi"/>
          <w:sz w:val="28"/>
          <w:szCs w:val="28"/>
        </w:rPr>
        <w:tab/>
      </w:r>
      <w:r w:rsidR="006E73A1" w:rsidRPr="00AF5CBA">
        <w:rPr>
          <w:rFonts w:asciiTheme="minorHAnsi" w:hAnsiTheme="minorHAnsi" w:cstheme="minorHAnsi"/>
          <w:sz w:val="28"/>
          <w:szCs w:val="28"/>
        </w:rPr>
        <w:t xml:space="preserve">Discussion on </w:t>
      </w:r>
      <w:r w:rsidR="009C42F3" w:rsidRPr="00AF5CBA">
        <w:rPr>
          <w:rFonts w:asciiTheme="minorHAnsi" w:hAnsiTheme="minorHAnsi" w:cstheme="minorHAnsi"/>
          <w:sz w:val="28"/>
          <w:szCs w:val="28"/>
        </w:rPr>
        <w:t xml:space="preserve">Migration and </w:t>
      </w:r>
      <w:r w:rsidR="000F68ED" w:rsidRPr="00AF5CBA">
        <w:rPr>
          <w:rFonts w:asciiTheme="minorHAnsi" w:hAnsiTheme="minorHAnsi" w:cstheme="minorHAnsi"/>
          <w:sz w:val="28"/>
          <w:szCs w:val="28"/>
        </w:rPr>
        <w:t>PCI</w:t>
      </w:r>
      <w:r w:rsidR="00C768DE" w:rsidRPr="00AF5CBA">
        <w:rPr>
          <w:rFonts w:asciiTheme="minorHAnsi" w:hAnsiTheme="minorHAnsi" w:cstheme="minorHAnsi"/>
          <w:sz w:val="28"/>
          <w:szCs w:val="28"/>
        </w:rPr>
        <w:t xml:space="preserve"> handling of mobile IAB-node</w:t>
      </w:r>
    </w:p>
    <w:p w14:paraId="71EE3D57" w14:textId="77777777" w:rsidR="00912C62" w:rsidRPr="00AF5CBA" w:rsidRDefault="00912C62" w:rsidP="00AF5CBA">
      <w:pPr>
        <w:pStyle w:val="3GPPHeader"/>
        <w:pBdr>
          <w:bottom w:val="single" w:sz="6" w:space="1" w:color="auto"/>
        </w:pBdr>
        <w:spacing w:after="120"/>
        <w:rPr>
          <w:rFonts w:asciiTheme="minorHAnsi" w:hAnsiTheme="minorHAnsi" w:cstheme="minorHAnsi"/>
          <w:sz w:val="28"/>
          <w:szCs w:val="28"/>
        </w:rPr>
      </w:pPr>
      <w:r w:rsidRPr="00AF5CBA">
        <w:rPr>
          <w:rFonts w:asciiTheme="minorHAnsi" w:hAnsiTheme="minorHAnsi" w:cstheme="minorHAnsi"/>
          <w:sz w:val="28"/>
          <w:szCs w:val="28"/>
        </w:rPr>
        <w:t>Document for:</w:t>
      </w:r>
      <w:r w:rsidRPr="00AF5CBA">
        <w:rPr>
          <w:rFonts w:asciiTheme="minorHAnsi" w:hAnsiTheme="minorHAnsi" w:cstheme="minorHAnsi"/>
          <w:sz w:val="28"/>
          <w:szCs w:val="28"/>
        </w:rPr>
        <w:tab/>
        <w:t>Discussion and Decision</w:t>
      </w:r>
    </w:p>
    <w:p w14:paraId="52C70642" w14:textId="77777777" w:rsidR="00017FC6" w:rsidRPr="00AF5CBA" w:rsidRDefault="00017FC6" w:rsidP="00017FC6">
      <w:pPr>
        <w:pStyle w:val="Heading1"/>
        <w:rPr>
          <w:rFonts w:asciiTheme="minorHAnsi" w:hAnsiTheme="minorHAnsi" w:cstheme="minorHAnsi"/>
        </w:rPr>
      </w:pPr>
      <w:r w:rsidRPr="00AF5CBA">
        <w:rPr>
          <w:rFonts w:asciiTheme="minorHAnsi" w:hAnsiTheme="minorHAnsi" w:cstheme="minorHAnsi"/>
          <w:lang w:val="en-US"/>
        </w:rPr>
        <w:t>Introduction</w:t>
      </w:r>
    </w:p>
    <w:p w14:paraId="5337B4B1" w14:textId="77777777" w:rsidR="00F40CCC" w:rsidRPr="000925FC" w:rsidRDefault="00F40CCC" w:rsidP="00017FC6">
      <w:pPr>
        <w:rPr>
          <w:rFonts w:cstheme="minorHAnsi"/>
        </w:rPr>
      </w:pPr>
      <w:r w:rsidRPr="000925FC">
        <w:rPr>
          <w:rFonts w:cstheme="minorHAnsi"/>
        </w:rPr>
        <w:t>During RAN2 #119e meeting, following agreements on migration and PCI handling were agreed:</w:t>
      </w:r>
    </w:p>
    <w:tbl>
      <w:tblPr>
        <w:tblStyle w:val="TableGrid"/>
        <w:tblW w:w="0" w:type="auto"/>
        <w:tblLook w:val="04A0" w:firstRow="1" w:lastRow="0" w:firstColumn="1" w:lastColumn="0" w:noHBand="0" w:noVBand="1"/>
      </w:tblPr>
      <w:tblGrid>
        <w:gridCol w:w="9350"/>
      </w:tblGrid>
      <w:tr w:rsidR="00F24A67" w:rsidRPr="000925FC" w14:paraId="5897A108" w14:textId="77777777" w:rsidTr="00F24A67">
        <w:tc>
          <w:tcPr>
            <w:tcW w:w="9350" w:type="dxa"/>
          </w:tcPr>
          <w:p w14:paraId="574C8B06" w14:textId="77777777" w:rsidR="00A82210" w:rsidRPr="000925FC" w:rsidRDefault="00A82210" w:rsidP="00A82210">
            <w:pPr>
              <w:pStyle w:val="Agreement"/>
              <w:numPr>
                <w:ilvl w:val="0"/>
                <w:numId w:val="0"/>
              </w:numPr>
              <w:ind w:left="1619"/>
            </w:pPr>
            <w:r w:rsidRPr="000925FC">
              <w:t xml:space="preserve">P3: For “dual-DU-way” of doing full migration, RAN2 may discuss whether the legacy UE should see the two logical cells/DUs as separate or same physical cell(s), and what procedure(s) the legacy UE needs to perform in either case. </w:t>
            </w:r>
          </w:p>
          <w:p w14:paraId="120EB08C" w14:textId="77777777" w:rsidR="00F24A67" w:rsidRPr="000925FC" w:rsidRDefault="00F24A67" w:rsidP="00017FC6">
            <w:pPr>
              <w:rPr>
                <w:rFonts w:cstheme="minorHAnsi"/>
              </w:rPr>
            </w:pPr>
          </w:p>
        </w:tc>
      </w:tr>
    </w:tbl>
    <w:p w14:paraId="4040FD4D" w14:textId="1B96EFE3" w:rsidR="00F40CCC" w:rsidRPr="000925FC" w:rsidRDefault="00F40CCC" w:rsidP="00017FC6">
      <w:pPr>
        <w:rPr>
          <w:rFonts w:cstheme="minorHAnsi"/>
        </w:rPr>
      </w:pPr>
      <w:r w:rsidRPr="000925FC">
        <w:rPr>
          <w:rFonts w:cstheme="minorHAnsi"/>
        </w:rPr>
        <w:t xml:space="preserve">Moreover, RAN3 also agrees following </w:t>
      </w:r>
      <w:r w:rsidR="00F24A67" w:rsidRPr="000925FC">
        <w:rPr>
          <w:rFonts w:cstheme="minorHAnsi"/>
        </w:rPr>
        <w:t>baseline for full migration solution:</w:t>
      </w:r>
    </w:p>
    <w:tbl>
      <w:tblPr>
        <w:tblStyle w:val="TableGrid"/>
        <w:tblW w:w="0" w:type="auto"/>
        <w:tblLook w:val="04A0" w:firstRow="1" w:lastRow="0" w:firstColumn="1" w:lastColumn="0" w:noHBand="0" w:noVBand="1"/>
      </w:tblPr>
      <w:tblGrid>
        <w:gridCol w:w="9350"/>
      </w:tblGrid>
      <w:tr w:rsidR="00A82210" w14:paraId="3990ABDB" w14:textId="77777777" w:rsidTr="00A82210">
        <w:tc>
          <w:tcPr>
            <w:tcW w:w="9350" w:type="dxa"/>
          </w:tcPr>
          <w:p w14:paraId="7E1201C7" w14:textId="77777777" w:rsidR="00E73691" w:rsidRPr="0034409C" w:rsidRDefault="00E73691" w:rsidP="00E73691">
            <w:pPr>
              <w:widowControl w:val="0"/>
              <w:ind w:left="144" w:hanging="144"/>
              <w:rPr>
                <w:rFonts w:ascii="Calibri" w:hAnsi="Calibri" w:cs="Calibri"/>
                <w:b/>
                <w:color w:val="008000"/>
                <w:sz w:val="18"/>
                <w:szCs w:val="18"/>
              </w:rPr>
            </w:pPr>
            <w:r w:rsidRPr="0034409C">
              <w:rPr>
                <w:rFonts w:ascii="Calibri" w:hAnsi="Calibri" w:cs="Calibri"/>
                <w:b/>
                <w:color w:val="008000"/>
                <w:sz w:val="18"/>
                <w:szCs w:val="18"/>
              </w:rPr>
              <w:t>As already supported in Rel17, a mobile IAB-MT and its co-located mobile IAB-DU may be served by different donor CUs.</w:t>
            </w:r>
          </w:p>
          <w:p w14:paraId="13DB1FEA" w14:textId="77777777" w:rsidR="00E73691" w:rsidRPr="0034409C" w:rsidRDefault="00E73691" w:rsidP="00E73691">
            <w:pPr>
              <w:widowControl w:val="0"/>
              <w:ind w:left="144" w:hanging="144"/>
              <w:rPr>
                <w:rFonts w:ascii="Calibri" w:hAnsi="Calibri" w:cs="Calibri"/>
                <w:b/>
                <w:color w:val="008000"/>
                <w:sz w:val="18"/>
                <w:szCs w:val="18"/>
              </w:rPr>
            </w:pPr>
            <w:r w:rsidRPr="0034409C">
              <w:rPr>
                <w:rFonts w:ascii="Calibri" w:hAnsi="Calibri" w:cs="Calibri"/>
                <w:b/>
                <w:color w:val="008000"/>
                <w:sz w:val="18"/>
                <w:szCs w:val="18"/>
              </w:rPr>
              <w:t xml:space="preserve">The mobile IAB donor that the co-located IAB-DU connects to may remain unchanged after the IAB-MT HO. </w:t>
            </w:r>
          </w:p>
          <w:p w14:paraId="586407C8" w14:textId="77777777" w:rsidR="00E73691" w:rsidRPr="0034409C" w:rsidRDefault="00E73691" w:rsidP="00E73691">
            <w:pPr>
              <w:widowControl w:val="0"/>
              <w:ind w:left="144" w:hanging="144"/>
              <w:rPr>
                <w:rFonts w:ascii="Calibri" w:hAnsi="Calibri" w:cs="Calibri"/>
                <w:b/>
                <w:color w:val="008000"/>
                <w:sz w:val="18"/>
                <w:szCs w:val="18"/>
              </w:rPr>
            </w:pPr>
            <w:r w:rsidRPr="0034409C">
              <w:rPr>
                <w:rFonts w:ascii="Calibri" w:hAnsi="Calibri" w:cs="Calibri"/>
                <w:b/>
                <w:color w:val="008000"/>
                <w:sz w:val="18"/>
                <w:szCs w:val="18"/>
              </w:rPr>
              <w:t>(1-3) RAN3 to discuss whether a mobile IAB-DU can execute inter-donor migration, while the co-located mobile IAB-MT stays connected to the same donor before and after the mobile IAB-DU migration.</w:t>
            </w:r>
          </w:p>
          <w:p w14:paraId="108B7134" w14:textId="77777777" w:rsidR="00E73691" w:rsidRDefault="00E73691" w:rsidP="00E73691">
            <w:pPr>
              <w:widowControl w:val="0"/>
              <w:ind w:left="144" w:hanging="144"/>
              <w:rPr>
                <w:rFonts w:ascii="Calibri" w:hAnsi="Calibri" w:cs="Calibri"/>
                <w:b/>
                <w:color w:val="008000"/>
                <w:sz w:val="18"/>
                <w:szCs w:val="18"/>
              </w:rPr>
            </w:pPr>
            <w:r w:rsidRPr="0034409C">
              <w:rPr>
                <w:rFonts w:ascii="Calibri" w:hAnsi="Calibri" w:cs="Calibri"/>
                <w:b/>
                <w:color w:val="008000"/>
                <w:sz w:val="18"/>
                <w:szCs w:val="18"/>
              </w:rPr>
              <w:t>RAN3 to discuss whether a mobile IAB-DU can execute inter-donor migration, while the co-located mobile IAB-MT executes inter-donor migration.</w:t>
            </w:r>
          </w:p>
          <w:p w14:paraId="5082A0CC" w14:textId="77777777" w:rsidR="00E73691" w:rsidRPr="0034409C" w:rsidRDefault="00E73691" w:rsidP="00E73691">
            <w:pPr>
              <w:widowControl w:val="0"/>
              <w:ind w:left="144" w:hanging="144"/>
              <w:rPr>
                <w:rFonts w:ascii="Calibri" w:hAnsi="Calibri" w:cs="Calibri"/>
                <w:b/>
                <w:color w:val="008000"/>
                <w:sz w:val="18"/>
                <w:szCs w:val="18"/>
              </w:rPr>
            </w:pPr>
            <w:r w:rsidRPr="0034409C">
              <w:rPr>
                <w:rFonts w:ascii="Calibri" w:hAnsi="Calibri" w:cs="Calibri"/>
                <w:b/>
                <w:color w:val="008000"/>
                <w:sz w:val="18"/>
                <w:szCs w:val="18"/>
              </w:rPr>
              <w:t xml:space="preserve">When IP connectivity between target IAB-donor DU and source IAB-donor CU is available, and when </w:t>
            </w:r>
            <w:proofErr w:type="spellStart"/>
            <w:r w:rsidRPr="0034409C">
              <w:rPr>
                <w:rFonts w:ascii="Calibri" w:hAnsi="Calibri" w:cs="Calibri"/>
                <w:b/>
                <w:color w:val="008000"/>
                <w:sz w:val="18"/>
                <w:szCs w:val="18"/>
              </w:rPr>
              <w:t>Xn</w:t>
            </w:r>
            <w:proofErr w:type="spellEnd"/>
            <w:r w:rsidRPr="0034409C">
              <w:rPr>
                <w:rFonts w:ascii="Calibri" w:hAnsi="Calibri" w:cs="Calibri"/>
                <w:b/>
                <w:color w:val="008000"/>
                <w:sz w:val="18"/>
                <w:szCs w:val="18"/>
              </w:rPr>
              <w:t xml:space="preserve"> connectivity between source and target donor CU is available, the Rel-17 partial migration is used as baseline for supporting the F1 transport migration and inter-donor routing when </w:t>
            </w:r>
            <w:proofErr w:type="gramStart"/>
            <w:r w:rsidRPr="0034409C">
              <w:rPr>
                <w:rFonts w:ascii="Calibri" w:hAnsi="Calibri" w:cs="Calibri"/>
                <w:b/>
                <w:color w:val="008000"/>
                <w:sz w:val="18"/>
                <w:szCs w:val="18"/>
              </w:rPr>
              <w:t>an</w:t>
            </w:r>
            <w:proofErr w:type="gramEnd"/>
            <w:r w:rsidRPr="0034409C">
              <w:rPr>
                <w:rFonts w:ascii="Calibri" w:hAnsi="Calibri" w:cs="Calibri"/>
                <w:b/>
                <w:color w:val="008000"/>
                <w:sz w:val="18"/>
                <w:szCs w:val="18"/>
              </w:rPr>
              <w:t xml:space="preserve"> mobile IAB-DU and its co-located mobile IAB-MT are connected to different donor CUs.</w:t>
            </w:r>
          </w:p>
          <w:p w14:paraId="3E5F81D5" w14:textId="77777777" w:rsidR="00E73691" w:rsidRPr="0034409C" w:rsidRDefault="00E73691" w:rsidP="00E73691">
            <w:pPr>
              <w:widowControl w:val="0"/>
              <w:ind w:left="144" w:hanging="144"/>
              <w:rPr>
                <w:rFonts w:ascii="Calibri" w:hAnsi="Calibri" w:cs="Calibri"/>
                <w:b/>
                <w:color w:val="008000"/>
                <w:sz w:val="18"/>
                <w:szCs w:val="18"/>
              </w:rPr>
            </w:pPr>
            <w:r w:rsidRPr="0034409C">
              <w:rPr>
                <w:rFonts w:ascii="Calibri" w:hAnsi="Calibri" w:cs="Calibri"/>
                <w:b/>
                <w:color w:val="008000"/>
                <w:sz w:val="18"/>
                <w:szCs w:val="18"/>
              </w:rPr>
              <w:t xml:space="preserve">The mobile IAB-node may perform multiple consecutive partial migrations without inter-donor migration of its mobile IAB-DU. </w:t>
            </w:r>
          </w:p>
          <w:p w14:paraId="7104AC68" w14:textId="77777777" w:rsidR="00E73691" w:rsidRPr="0034409C" w:rsidRDefault="00E73691" w:rsidP="00E73691">
            <w:pPr>
              <w:widowControl w:val="0"/>
              <w:ind w:left="144" w:hanging="144"/>
              <w:rPr>
                <w:rFonts w:ascii="Calibri" w:hAnsi="Calibri" w:cs="Calibri"/>
                <w:b/>
                <w:color w:val="008000"/>
                <w:sz w:val="18"/>
                <w:szCs w:val="18"/>
              </w:rPr>
            </w:pPr>
            <w:r w:rsidRPr="0034409C">
              <w:rPr>
                <w:rFonts w:ascii="Calibri" w:hAnsi="Calibri" w:cs="Calibri"/>
                <w:b/>
                <w:iCs/>
                <w:color w:val="008000"/>
                <w:sz w:val="18"/>
                <w:szCs w:val="18"/>
              </w:rPr>
              <w:t>For DU migration cases</w:t>
            </w:r>
            <w:r w:rsidRPr="0034409C">
              <w:rPr>
                <w:rFonts w:ascii="Calibri" w:hAnsi="Calibri" w:cs="Calibri"/>
                <w:b/>
                <w:color w:val="008000"/>
                <w:sz w:val="18"/>
                <w:szCs w:val="18"/>
              </w:rPr>
              <w:t>, to execute the handover of the served UEs, the mobile IAB-node concurrently supports two logical mobile IAB-DUs, which have F1AP associations with the source CU and the target CU, respectively.</w:t>
            </w:r>
          </w:p>
          <w:p w14:paraId="5B56FE6D" w14:textId="77777777" w:rsidR="00E73691" w:rsidRPr="0034409C" w:rsidRDefault="00E73691" w:rsidP="00E73691">
            <w:pPr>
              <w:widowControl w:val="0"/>
              <w:ind w:left="144" w:hanging="144"/>
              <w:rPr>
                <w:rFonts w:ascii="Calibri" w:hAnsi="Calibri" w:cs="Calibri"/>
                <w:b/>
                <w:color w:val="008000"/>
                <w:sz w:val="18"/>
                <w:szCs w:val="18"/>
              </w:rPr>
            </w:pPr>
            <w:r w:rsidRPr="0034409C">
              <w:rPr>
                <w:rFonts w:ascii="Calibri" w:hAnsi="Calibri" w:cs="Calibri"/>
                <w:b/>
                <w:color w:val="008000"/>
                <w:sz w:val="18"/>
                <w:szCs w:val="18"/>
              </w:rPr>
              <w:t>The UEs connected to the mobile IAB-node are handed over from the cell of the logical mobile IAB-DU (i.e., the source logical mobile IAB-DU) that has an F1AP association with the source CU to the cell of the logical mobile IAB-DU (i.e., the target logical mobile IAB-DU) that has an F1AP association with the target CU.</w:t>
            </w:r>
          </w:p>
          <w:p w14:paraId="336B8420" w14:textId="77777777" w:rsidR="00E73691" w:rsidRPr="00362220" w:rsidRDefault="00E73691" w:rsidP="00E73691">
            <w:pPr>
              <w:widowControl w:val="0"/>
              <w:ind w:left="144" w:hanging="144"/>
              <w:rPr>
                <w:rFonts w:ascii="Calibri" w:hAnsi="Calibri" w:cs="Calibri"/>
                <w:b/>
                <w:color w:val="FF0000"/>
                <w:sz w:val="18"/>
                <w:szCs w:val="18"/>
              </w:rPr>
            </w:pPr>
            <w:r w:rsidRPr="00362220">
              <w:rPr>
                <w:rFonts w:ascii="Calibri" w:hAnsi="Calibri" w:cs="Calibri"/>
                <w:b/>
                <w:color w:val="FF0000"/>
                <w:sz w:val="18"/>
                <w:szCs w:val="18"/>
              </w:rPr>
              <w:t>Whether source and target logical cells should appear to the UE as distinguishable cells on layer 1 is discussed in other WGs and pending progress communication from them.</w:t>
            </w:r>
          </w:p>
          <w:p w14:paraId="50742375" w14:textId="77777777" w:rsidR="00E73691" w:rsidRPr="0034409C" w:rsidRDefault="00E73691" w:rsidP="00E73691">
            <w:pPr>
              <w:widowControl w:val="0"/>
              <w:ind w:left="144" w:hanging="144"/>
              <w:rPr>
                <w:rFonts w:ascii="Calibri" w:hAnsi="Calibri" w:cs="Calibri"/>
                <w:b/>
                <w:color w:val="008000"/>
                <w:sz w:val="18"/>
                <w:szCs w:val="18"/>
              </w:rPr>
            </w:pPr>
            <w:r w:rsidRPr="0034409C">
              <w:rPr>
                <w:rFonts w:ascii="Calibri" w:hAnsi="Calibri" w:cs="Calibri"/>
                <w:b/>
                <w:color w:val="008000"/>
                <w:sz w:val="18"/>
                <w:szCs w:val="18"/>
              </w:rPr>
              <w:t xml:space="preserve">RAN3 to discuss how inter-donor topology adaptation can be supported for mobile IAB in absence of </w:t>
            </w:r>
            <w:proofErr w:type="spellStart"/>
            <w:r w:rsidRPr="0034409C">
              <w:rPr>
                <w:rFonts w:ascii="Calibri" w:hAnsi="Calibri" w:cs="Calibri"/>
                <w:b/>
                <w:color w:val="008000"/>
                <w:sz w:val="18"/>
                <w:szCs w:val="18"/>
              </w:rPr>
              <w:t>Xn</w:t>
            </w:r>
            <w:proofErr w:type="spellEnd"/>
            <w:r w:rsidRPr="0034409C">
              <w:rPr>
                <w:rFonts w:ascii="Calibri" w:hAnsi="Calibri" w:cs="Calibri"/>
                <w:b/>
                <w:color w:val="008000"/>
                <w:sz w:val="18"/>
                <w:szCs w:val="18"/>
              </w:rPr>
              <w:t xml:space="preserve"> and/or inter-donor IP </w:t>
            </w:r>
            <w:proofErr w:type="spellStart"/>
            <w:r w:rsidRPr="0034409C">
              <w:rPr>
                <w:rFonts w:ascii="Calibri" w:hAnsi="Calibri" w:cs="Calibri"/>
                <w:b/>
                <w:color w:val="008000"/>
                <w:sz w:val="18"/>
                <w:szCs w:val="18"/>
              </w:rPr>
              <w:t>routability</w:t>
            </w:r>
            <w:proofErr w:type="spellEnd"/>
            <w:r w:rsidRPr="0034409C">
              <w:rPr>
                <w:rFonts w:ascii="Calibri" w:hAnsi="Calibri" w:cs="Calibri"/>
                <w:b/>
                <w:color w:val="008000"/>
                <w:sz w:val="18"/>
                <w:szCs w:val="18"/>
              </w:rPr>
              <w:t>.</w:t>
            </w:r>
          </w:p>
          <w:p w14:paraId="1281275C" w14:textId="77777777" w:rsidR="00E73691" w:rsidRDefault="00E73691" w:rsidP="00E73691">
            <w:pPr>
              <w:widowControl w:val="0"/>
              <w:ind w:left="144" w:hanging="144"/>
              <w:rPr>
                <w:rFonts w:ascii="Calibri" w:hAnsi="Calibri" w:cs="Calibri"/>
                <w:b/>
                <w:color w:val="0000FF"/>
                <w:sz w:val="18"/>
                <w:szCs w:val="18"/>
              </w:rPr>
            </w:pPr>
            <w:r>
              <w:rPr>
                <w:rFonts w:ascii="Calibri" w:hAnsi="Calibri" w:cs="Calibri"/>
                <w:b/>
                <w:color w:val="0000FF"/>
                <w:sz w:val="18"/>
                <w:szCs w:val="18"/>
              </w:rPr>
              <w:t xml:space="preserve">RAN3 to discuss whether F1-C transport over NGAP should be supported for inter-donor topology adaptation for mobile IAB. Other use cases where </w:t>
            </w:r>
            <w:proofErr w:type="spellStart"/>
            <w:r>
              <w:rPr>
                <w:rFonts w:ascii="Calibri" w:hAnsi="Calibri" w:cs="Calibri"/>
                <w:b/>
                <w:color w:val="0000FF"/>
                <w:sz w:val="18"/>
                <w:szCs w:val="18"/>
              </w:rPr>
              <w:t>Xn</w:t>
            </w:r>
            <w:proofErr w:type="spellEnd"/>
            <w:r>
              <w:rPr>
                <w:rFonts w:ascii="Calibri" w:hAnsi="Calibri" w:cs="Calibri"/>
                <w:b/>
                <w:color w:val="0000FF"/>
                <w:sz w:val="18"/>
                <w:szCs w:val="18"/>
              </w:rPr>
              <w:t xml:space="preserve"> connectivity is not available may be discussed.</w:t>
            </w:r>
          </w:p>
          <w:p w14:paraId="7FCF9E74" w14:textId="77777777" w:rsidR="00E73691" w:rsidRPr="00313E34" w:rsidRDefault="00E73691" w:rsidP="00E73691">
            <w:pPr>
              <w:widowControl w:val="0"/>
              <w:ind w:left="144" w:hanging="144"/>
              <w:rPr>
                <w:rFonts w:ascii="Calibri" w:hAnsi="Calibri" w:cs="Calibri"/>
                <w:b/>
                <w:iCs/>
                <w:color w:val="0000FF"/>
                <w:sz w:val="18"/>
                <w:szCs w:val="18"/>
              </w:rPr>
            </w:pPr>
            <w:r w:rsidRPr="00362220">
              <w:rPr>
                <w:rFonts w:ascii="Calibri" w:hAnsi="Calibri" w:cs="Calibri"/>
                <w:b/>
                <w:iCs/>
                <w:color w:val="0000FF"/>
                <w:sz w:val="18"/>
                <w:szCs w:val="18"/>
              </w:rPr>
              <w:lastRenderedPageBreak/>
              <w:t xml:space="preserve">Cases where </w:t>
            </w:r>
            <w:proofErr w:type="spellStart"/>
            <w:r w:rsidRPr="00362220">
              <w:rPr>
                <w:rFonts w:ascii="Calibri" w:hAnsi="Calibri" w:cs="Calibri"/>
                <w:b/>
                <w:iCs/>
                <w:color w:val="0000FF"/>
                <w:sz w:val="18"/>
                <w:szCs w:val="18"/>
              </w:rPr>
              <w:t>Xn</w:t>
            </w:r>
            <w:proofErr w:type="spellEnd"/>
            <w:r w:rsidRPr="00362220">
              <w:rPr>
                <w:rFonts w:ascii="Calibri" w:hAnsi="Calibri" w:cs="Calibri"/>
                <w:b/>
                <w:iCs/>
                <w:color w:val="0000FF"/>
                <w:sz w:val="18"/>
                <w:szCs w:val="18"/>
              </w:rPr>
              <w:t xml:space="preserve"> connectivity and IP connectivity are not available are FFS</w:t>
            </w:r>
            <w:r>
              <w:rPr>
                <w:rFonts w:ascii="Calibri" w:hAnsi="Calibri" w:cs="Calibri"/>
                <w:b/>
                <w:iCs/>
                <w:color w:val="0000FF"/>
                <w:sz w:val="18"/>
                <w:szCs w:val="18"/>
              </w:rPr>
              <w:t xml:space="preserve"> (</w:t>
            </w:r>
            <w:r>
              <w:rPr>
                <w:rFonts w:ascii="Calibri" w:hAnsi="Calibri" w:cs="Calibri"/>
                <w:b/>
                <w:iCs/>
                <w:color w:val="008000"/>
                <w:sz w:val="18"/>
                <w:szCs w:val="18"/>
              </w:rPr>
              <w:t>logical DUs, connected UE’s handover from one to another</w:t>
            </w:r>
            <w:r>
              <w:rPr>
                <w:rFonts w:ascii="Calibri" w:hAnsi="Calibri" w:cs="Calibri"/>
                <w:b/>
                <w:color w:val="008000"/>
                <w:sz w:val="18"/>
                <w:szCs w:val="18"/>
              </w:rPr>
              <w:t>)</w:t>
            </w:r>
          </w:p>
          <w:p w14:paraId="323F1836" w14:textId="77777777" w:rsidR="00A82210" w:rsidRDefault="00A82210" w:rsidP="00017FC6">
            <w:pPr>
              <w:rPr>
                <w:rFonts w:cstheme="minorHAnsi"/>
                <w:highlight w:val="yellow"/>
              </w:rPr>
            </w:pPr>
          </w:p>
        </w:tc>
      </w:tr>
    </w:tbl>
    <w:p w14:paraId="58137A00" w14:textId="77777777" w:rsidR="00F24A67" w:rsidRPr="001E72DC" w:rsidRDefault="00F24A67" w:rsidP="00017FC6">
      <w:pPr>
        <w:rPr>
          <w:rFonts w:cstheme="minorHAnsi"/>
        </w:rPr>
      </w:pPr>
    </w:p>
    <w:p w14:paraId="305A49E3" w14:textId="42A14781" w:rsidR="00025E78" w:rsidRPr="00AF5CBA" w:rsidRDefault="00025E78" w:rsidP="00017FC6">
      <w:pPr>
        <w:rPr>
          <w:rFonts w:cstheme="minorHAnsi"/>
        </w:rPr>
      </w:pPr>
      <w:r w:rsidRPr="001E72DC">
        <w:rPr>
          <w:rFonts w:cstheme="minorHAnsi"/>
        </w:rPr>
        <w:t xml:space="preserve">In this contribution, we </w:t>
      </w:r>
      <w:r w:rsidR="00B1685C" w:rsidRPr="001E72DC">
        <w:rPr>
          <w:rFonts w:cstheme="minorHAnsi"/>
        </w:rPr>
        <w:t xml:space="preserve">first discuss the </w:t>
      </w:r>
      <w:r w:rsidR="00684D85" w:rsidRPr="001E72DC">
        <w:rPr>
          <w:rFonts w:cstheme="minorHAnsi"/>
        </w:rPr>
        <w:t>potential RAN2 impact for inter-donor full migration</w:t>
      </w:r>
      <w:r w:rsidR="00673A47" w:rsidRPr="001E72DC">
        <w:rPr>
          <w:rFonts w:cstheme="minorHAnsi"/>
        </w:rPr>
        <w:t>, then discuss the assumption of how to handle PCI of mobile IAB-node</w:t>
      </w:r>
      <w:r w:rsidR="008D1D22" w:rsidRPr="001E72DC">
        <w:rPr>
          <w:rFonts w:cstheme="minorHAnsi"/>
        </w:rPr>
        <w:t xml:space="preserve"> to avoid negative impact to group mobility of served UEs.</w:t>
      </w:r>
      <w:r w:rsidR="00867F3C" w:rsidRPr="00AF5CBA">
        <w:rPr>
          <w:rFonts w:cstheme="minorHAnsi"/>
        </w:rPr>
        <w:t xml:space="preserve"> </w:t>
      </w:r>
    </w:p>
    <w:p w14:paraId="3CEBD86F" w14:textId="77777777" w:rsidR="00017FC6" w:rsidRPr="00AF5CBA" w:rsidRDefault="00017FC6" w:rsidP="00017FC6">
      <w:pPr>
        <w:pStyle w:val="Heading1"/>
        <w:rPr>
          <w:rFonts w:asciiTheme="minorHAnsi" w:eastAsia="SimSun" w:hAnsiTheme="minorHAnsi" w:cstheme="minorHAnsi"/>
          <w:lang w:val="en-US" w:eastAsia="zh-CN"/>
        </w:rPr>
      </w:pPr>
      <w:r w:rsidRPr="00AF5CBA">
        <w:rPr>
          <w:rFonts w:asciiTheme="minorHAnsi" w:eastAsia="SimSun" w:hAnsiTheme="minorHAnsi" w:cstheme="minorHAnsi"/>
          <w:lang w:val="en-US" w:eastAsia="zh-CN"/>
        </w:rPr>
        <w:t>Discussion</w:t>
      </w:r>
    </w:p>
    <w:p w14:paraId="4D4A0F3E" w14:textId="30AFC55C" w:rsidR="00017FC6" w:rsidRPr="00AF5CBA" w:rsidRDefault="00CB4357" w:rsidP="00867F3C">
      <w:pPr>
        <w:pStyle w:val="Heading2"/>
        <w:rPr>
          <w:rFonts w:asciiTheme="minorHAnsi" w:hAnsiTheme="minorHAnsi" w:cstheme="minorHAnsi"/>
          <w:lang w:eastAsia="zh-CN"/>
        </w:rPr>
      </w:pPr>
      <w:bookmarkStart w:id="0" w:name="P3"/>
      <w:r w:rsidRPr="00AF5CBA">
        <w:rPr>
          <w:rFonts w:asciiTheme="minorHAnsi" w:hAnsiTheme="minorHAnsi" w:cstheme="minorHAnsi"/>
          <w:lang w:eastAsia="zh-CN"/>
        </w:rPr>
        <w:t xml:space="preserve">Inter-donor CU </w:t>
      </w:r>
      <w:r w:rsidR="008B0F44" w:rsidRPr="00AF5CBA">
        <w:rPr>
          <w:rFonts w:asciiTheme="minorHAnsi" w:hAnsiTheme="minorHAnsi" w:cstheme="minorHAnsi"/>
          <w:lang w:eastAsia="zh-CN"/>
        </w:rPr>
        <w:t xml:space="preserve">Full Migration </w:t>
      </w:r>
    </w:p>
    <w:p w14:paraId="4C6185A7" w14:textId="1CB1B72B" w:rsidR="003C4CD0" w:rsidRPr="00AF5CBA" w:rsidRDefault="00AC6147" w:rsidP="00ED0781">
      <w:pPr>
        <w:rPr>
          <w:rFonts w:cstheme="minorHAnsi"/>
          <w:lang w:val="en-GB" w:eastAsia="zh-CN"/>
        </w:rPr>
      </w:pPr>
      <w:r>
        <w:rPr>
          <w:rFonts w:cstheme="minorHAnsi"/>
          <w:lang w:val="en-GB" w:eastAsia="zh-CN"/>
        </w:rPr>
        <w:t>Considering</w:t>
      </w:r>
      <w:r w:rsidR="009879C1" w:rsidRPr="00AF5CBA">
        <w:rPr>
          <w:rFonts w:cstheme="minorHAnsi"/>
          <w:lang w:val="en-GB" w:eastAsia="zh-CN"/>
        </w:rPr>
        <w:t xml:space="preserve"> the trajectory of the mobile IAB-node is not predictable</w:t>
      </w:r>
      <w:r w:rsidR="003F7E5F" w:rsidRPr="00AF5CBA">
        <w:rPr>
          <w:rFonts w:cstheme="minorHAnsi"/>
          <w:lang w:val="en-GB" w:eastAsia="zh-CN"/>
        </w:rPr>
        <w:t xml:space="preserve"> and cover a large area</w:t>
      </w:r>
      <w:r w:rsidR="00DE00AE">
        <w:rPr>
          <w:rFonts w:cstheme="minorHAnsi"/>
          <w:lang w:val="en-GB" w:eastAsia="zh-CN"/>
        </w:rPr>
        <w:t xml:space="preserve"> sometime</w:t>
      </w:r>
      <w:r w:rsidR="009879C1" w:rsidRPr="00AF5CBA">
        <w:rPr>
          <w:rFonts w:cstheme="minorHAnsi"/>
          <w:lang w:val="en-GB" w:eastAsia="zh-CN"/>
        </w:rPr>
        <w:t xml:space="preserve">, </w:t>
      </w:r>
      <w:r w:rsidR="00612DD2" w:rsidRPr="00AF5CBA">
        <w:rPr>
          <w:rFonts w:cstheme="minorHAnsi"/>
          <w:lang w:val="en-GB" w:eastAsia="zh-CN"/>
        </w:rPr>
        <w:t xml:space="preserve">it is possible that the mobile IAB-node moves out of the source IAB-donor CU’s coverage. Hence, the source IAB-donor CU needs </w:t>
      </w:r>
      <w:r w:rsidR="00391F57" w:rsidRPr="00AF5CBA">
        <w:rPr>
          <w:rFonts w:cstheme="minorHAnsi"/>
          <w:lang w:val="en-GB" w:eastAsia="zh-CN"/>
        </w:rPr>
        <w:t>handover the mobile IAB-MT to</w:t>
      </w:r>
      <w:r w:rsidR="00612DD2" w:rsidRPr="00AF5CBA">
        <w:rPr>
          <w:rFonts w:cstheme="minorHAnsi"/>
          <w:lang w:val="en-GB" w:eastAsia="zh-CN"/>
        </w:rPr>
        <w:t xml:space="preserve"> a </w:t>
      </w:r>
      <w:r w:rsidR="00391F57" w:rsidRPr="00AF5CBA">
        <w:rPr>
          <w:rFonts w:cstheme="minorHAnsi"/>
          <w:lang w:val="en-GB" w:eastAsia="zh-CN"/>
        </w:rPr>
        <w:t xml:space="preserve">new target cell under another IAB-donor CU. </w:t>
      </w:r>
    </w:p>
    <w:p w14:paraId="37755788" w14:textId="30318153" w:rsidR="00CB4357" w:rsidRPr="00AF5CBA" w:rsidRDefault="00CB4357" w:rsidP="00ED0781">
      <w:pPr>
        <w:rPr>
          <w:rFonts w:cstheme="minorHAnsi"/>
          <w:lang w:val="en-GB" w:eastAsia="zh-CN"/>
        </w:rPr>
      </w:pPr>
      <w:r w:rsidRPr="00AF5CBA">
        <w:rPr>
          <w:rFonts w:cstheme="minorHAnsi"/>
          <w:lang w:val="en-GB" w:eastAsia="zh-CN"/>
        </w:rPr>
        <w:t>Last RAN2 meeting discussed partial migration based full migration where connectivity is needed between the donor DU and the source CU and standalone full migration where such connectivity does not exist.  RAN3 is expected to discuss further on the need for the standalone full migration.  For this meeting RAN2 can focus on the partial migration based full migration while we wait for RAN3 discussion and conclusion on the need for standalone full migration.</w:t>
      </w:r>
    </w:p>
    <w:p w14:paraId="367CF2BC" w14:textId="0493FFA3" w:rsidR="00CB4357" w:rsidRPr="00AF5CBA" w:rsidRDefault="00CB4357" w:rsidP="00CB4357">
      <w:pPr>
        <w:pStyle w:val="Obs-prop"/>
        <w:rPr>
          <w:rFonts w:cstheme="minorHAnsi"/>
          <w:lang w:eastAsia="zh-CN"/>
        </w:rPr>
      </w:pPr>
      <w:r w:rsidRPr="00AF5CBA">
        <w:rPr>
          <w:rFonts w:cstheme="minorHAnsi"/>
          <w:lang w:eastAsia="zh-CN"/>
        </w:rPr>
        <w:t xml:space="preserve">Observation </w:t>
      </w:r>
      <w:r w:rsidR="001E72DC">
        <w:rPr>
          <w:rFonts w:cstheme="minorHAnsi"/>
          <w:lang w:eastAsia="zh-CN"/>
        </w:rPr>
        <w:t>1</w:t>
      </w:r>
      <w:r w:rsidRPr="00AF5CBA">
        <w:rPr>
          <w:rFonts w:cstheme="minorHAnsi"/>
          <w:lang w:eastAsia="zh-CN"/>
        </w:rPr>
        <w:t xml:space="preserve">: </w:t>
      </w:r>
      <w:r w:rsidR="00413B74" w:rsidRPr="00AF5CBA">
        <w:rPr>
          <w:rFonts w:cstheme="minorHAnsi"/>
          <w:lang w:eastAsia="zh-CN"/>
        </w:rPr>
        <w:t xml:space="preserve">RAN2 can focus on the partial migration based full migration </w:t>
      </w:r>
      <w:r w:rsidR="00C22C5A">
        <w:rPr>
          <w:rFonts w:cstheme="minorHAnsi"/>
          <w:lang w:eastAsia="zh-CN"/>
        </w:rPr>
        <w:t>(</w:t>
      </w:r>
      <w:proofErr w:type="gramStart"/>
      <w:r w:rsidR="00C22C5A">
        <w:rPr>
          <w:rFonts w:cstheme="minorHAnsi"/>
          <w:lang w:eastAsia="zh-CN"/>
        </w:rPr>
        <w:t>i.e.</w:t>
      </w:r>
      <w:proofErr w:type="gramEnd"/>
      <w:r w:rsidR="00C22C5A">
        <w:rPr>
          <w:rFonts w:cstheme="minorHAnsi"/>
          <w:lang w:eastAsia="zh-CN"/>
        </w:rPr>
        <w:t xml:space="preserve"> dual-DU way of doing full migration) </w:t>
      </w:r>
      <w:r w:rsidR="00413B74" w:rsidRPr="00AF5CBA">
        <w:rPr>
          <w:rFonts w:cstheme="minorHAnsi"/>
          <w:lang w:eastAsia="zh-CN"/>
        </w:rPr>
        <w:t>while we wait for RAN3 discussion and conclusion on the need for standalone full migration</w:t>
      </w:r>
      <w:r w:rsidRPr="00AF5CBA">
        <w:rPr>
          <w:rFonts w:cstheme="minorHAnsi"/>
          <w:lang w:eastAsia="zh-CN"/>
        </w:rPr>
        <w:t>.</w:t>
      </w:r>
    </w:p>
    <w:p w14:paraId="115149FE" w14:textId="4107EA7B" w:rsidR="00413B74" w:rsidRDefault="00467EA3" w:rsidP="00DA2BB4">
      <w:pPr>
        <w:rPr>
          <w:rFonts w:cstheme="minorHAnsi"/>
          <w:lang w:val="en-GB" w:eastAsia="zh-CN"/>
        </w:rPr>
      </w:pPr>
      <w:r>
        <w:rPr>
          <w:rFonts w:cstheme="minorHAnsi"/>
          <w:lang w:val="en-GB" w:eastAsia="zh-CN"/>
        </w:rPr>
        <w:t xml:space="preserve">Though not formally agreed, it seems to be the expectation that partial migration based full migration will use the multiple logical DU </w:t>
      </w:r>
      <w:r w:rsidR="00832A36">
        <w:rPr>
          <w:rFonts w:cstheme="minorHAnsi"/>
          <w:lang w:val="en-GB" w:eastAsia="zh-CN"/>
        </w:rPr>
        <w:t xml:space="preserve">approach that was discussed in RAN3 in Rel-17.  </w:t>
      </w:r>
    </w:p>
    <w:p w14:paraId="67BB4C2B" w14:textId="3CC2C5F0" w:rsidR="00832A36" w:rsidRDefault="00832A36" w:rsidP="00832A36">
      <w:pPr>
        <w:pStyle w:val="Obs-prop"/>
        <w:rPr>
          <w:lang w:eastAsia="zh-CN"/>
        </w:rPr>
      </w:pPr>
      <w:r>
        <w:rPr>
          <w:lang w:eastAsia="zh-CN"/>
        </w:rPr>
        <w:t xml:space="preserve">Observation </w:t>
      </w:r>
      <w:r w:rsidR="001E72DC">
        <w:rPr>
          <w:lang w:eastAsia="zh-CN"/>
        </w:rPr>
        <w:t>2</w:t>
      </w:r>
      <w:r>
        <w:rPr>
          <w:lang w:eastAsia="zh-CN"/>
        </w:rPr>
        <w:t>: Partial migration based full migration is based on multiple logical DUs during the migration</w:t>
      </w:r>
      <w:r w:rsidR="00E52D19">
        <w:rPr>
          <w:lang w:eastAsia="zh-CN"/>
        </w:rPr>
        <w:t>.</w:t>
      </w:r>
    </w:p>
    <w:p w14:paraId="31348993" w14:textId="77777777" w:rsidR="00832A36" w:rsidRPr="00AF5CBA" w:rsidRDefault="00832A36" w:rsidP="00832A36">
      <w:pPr>
        <w:rPr>
          <w:rFonts w:cstheme="minorHAnsi"/>
          <w:lang w:val="en-GB" w:eastAsia="zh-CN"/>
        </w:rPr>
      </w:pPr>
      <w:r w:rsidRPr="00AF5CBA">
        <w:rPr>
          <w:rFonts w:cstheme="minorHAnsi"/>
          <w:lang w:val="en-GB" w:eastAsia="zh-CN"/>
        </w:rPr>
        <w:t xml:space="preserve">Partial migration based full migration is a multi-step process as shown in the </w:t>
      </w:r>
      <w:r w:rsidRPr="00AF5CBA">
        <w:rPr>
          <w:rFonts w:cstheme="minorHAnsi"/>
          <w:lang w:val="en-GB" w:eastAsia="zh-CN"/>
        </w:rPr>
        <w:fldChar w:fldCharType="begin"/>
      </w:r>
      <w:r w:rsidRPr="00AF5CBA">
        <w:rPr>
          <w:rFonts w:cstheme="minorHAnsi"/>
          <w:lang w:val="en-GB" w:eastAsia="zh-CN"/>
        </w:rPr>
        <w:instrText xml:space="preserve"> REF _Ref115180076 </w:instrText>
      </w:r>
      <w:r>
        <w:rPr>
          <w:rFonts w:cstheme="minorHAnsi"/>
          <w:lang w:val="en-GB" w:eastAsia="zh-CN"/>
        </w:rPr>
        <w:instrText xml:space="preserve"> \* MERGEFORMAT </w:instrText>
      </w:r>
      <w:r w:rsidRPr="00AF5CBA">
        <w:rPr>
          <w:rFonts w:cstheme="minorHAnsi"/>
          <w:lang w:val="en-GB" w:eastAsia="zh-CN"/>
        </w:rPr>
        <w:fldChar w:fldCharType="separate"/>
      </w:r>
      <w:r w:rsidRPr="00AF5CBA">
        <w:rPr>
          <w:rFonts w:cstheme="minorHAnsi"/>
        </w:rPr>
        <w:t xml:space="preserve">Figure </w:t>
      </w:r>
      <w:r w:rsidRPr="00AF5CBA">
        <w:rPr>
          <w:rFonts w:cstheme="minorHAnsi"/>
          <w:noProof/>
        </w:rPr>
        <w:t>1</w:t>
      </w:r>
      <w:r w:rsidRPr="00AF5CBA">
        <w:rPr>
          <w:rFonts w:cstheme="minorHAnsi"/>
          <w:lang w:val="en-GB" w:eastAsia="zh-CN"/>
        </w:rPr>
        <w:fldChar w:fldCharType="end"/>
      </w:r>
      <w:r w:rsidRPr="00AF5CBA">
        <w:rPr>
          <w:rFonts w:cstheme="minorHAnsi"/>
          <w:lang w:val="en-GB" w:eastAsia="zh-CN"/>
        </w:rPr>
        <w:t xml:space="preserve">.  </w:t>
      </w:r>
    </w:p>
    <w:p w14:paraId="618B1F16" w14:textId="77777777" w:rsidR="00832A36" w:rsidRPr="00832A36" w:rsidRDefault="00832A36" w:rsidP="00832A36">
      <w:pPr>
        <w:rPr>
          <w:lang w:val="en-GB" w:eastAsia="zh-CN"/>
        </w:rPr>
      </w:pPr>
    </w:p>
    <w:p w14:paraId="44FC9E2B" w14:textId="65EB6634" w:rsidR="00413B74" w:rsidRPr="00AF5CBA" w:rsidRDefault="0069749F" w:rsidP="00413B74">
      <w:pPr>
        <w:rPr>
          <w:rFonts w:cstheme="minorHAnsi"/>
          <w:lang w:eastAsia="zh-CN"/>
        </w:rPr>
      </w:pPr>
      <w:r w:rsidRPr="00AF5CBA">
        <w:rPr>
          <w:rFonts w:cstheme="minorHAnsi"/>
        </w:rPr>
        <w:object w:dxaOrig="18946" w:dyaOrig="5161" w14:anchorId="6CB0C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22.1pt" o:ole="">
            <v:imagedata r:id="rId11" o:title=""/>
          </v:shape>
          <o:OLEObject Type="Embed" ProgID="Visio.Drawing.15" ShapeID="_x0000_i1025" DrawAspect="Content" ObjectID="_1726029595" r:id="rId12"/>
        </w:object>
      </w:r>
    </w:p>
    <w:p w14:paraId="2A4CC2FF" w14:textId="0D01C910" w:rsidR="00413B74" w:rsidRPr="00AF5CBA" w:rsidRDefault="00413B74" w:rsidP="00413B74">
      <w:pPr>
        <w:pStyle w:val="Caption"/>
        <w:jc w:val="center"/>
        <w:rPr>
          <w:rFonts w:cstheme="minorHAnsi"/>
        </w:rPr>
      </w:pPr>
      <w:bookmarkStart w:id="1" w:name="_Ref115180076"/>
      <w:r w:rsidRPr="00AF5CBA">
        <w:rPr>
          <w:rFonts w:cstheme="minorHAnsi"/>
        </w:rPr>
        <w:t xml:space="preserve">Figure </w:t>
      </w:r>
      <w:r w:rsidRPr="00AF5CBA">
        <w:rPr>
          <w:rFonts w:cstheme="minorHAnsi"/>
        </w:rPr>
        <w:fldChar w:fldCharType="begin"/>
      </w:r>
      <w:r w:rsidRPr="00AF5CBA">
        <w:rPr>
          <w:rFonts w:cstheme="minorHAnsi"/>
        </w:rPr>
        <w:instrText xml:space="preserve"> SEQ Figure \* ARABIC </w:instrText>
      </w:r>
      <w:r w:rsidRPr="00AF5CBA">
        <w:rPr>
          <w:rFonts w:cstheme="minorHAnsi"/>
        </w:rPr>
        <w:fldChar w:fldCharType="separate"/>
      </w:r>
      <w:r w:rsidRPr="00AF5CBA">
        <w:rPr>
          <w:rFonts w:cstheme="minorHAnsi"/>
          <w:noProof/>
        </w:rPr>
        <w:t>1</w:t>
      </w:r>
      <w:r w:rsidRPr="00AF5CBA">
        <w:rPr>
          <w:rFonts w:cstheme="minorHAnsi"/>
        </w:rPr>
        <w:fldChar w:fldCharType="end"/>
      </w:r>
      <w:bookmarkEnd w:id="1"/>
      <w:r w:rsidRPr="00AF5CBA">
        <w:rPr>
          <w:rFonts w:cstheme="minorHAnsi"/>
        </w:rPr>
        <w:t xml:space="preserve">: </w:t>
      </w:r>
      <w:r w:rsidRPr="00AF5CBA">
        <w:rPr>
          <w:rFonts w:cstheme="minorHAnsi"/>
          <w:bCs/>
        </w:rPr>
        <w:t>Full migration based on partial migration of mobile IAB-node</w:t>
      </w:r>
    </w:p>
    <w:p w14:paraId="1F50E2BD" w14:textId="66889AEF" w:rsidR="00AC761D" w:rsidRDefault="00AC761D" w:rsidP="00AF5CBA">
      <w:pPr>
        <w:spacing w:after="120"/>
        <w:rPr>
          <w:rFonts w:cstheme="minorHAnsi"/>
          <w:lang w:val="en-GB" w:eastAsia="zh-CN"/>
        </w:rPr>
      </w:pPr>
      <w:r>
        <w:rPr>
          <w:rFonts w:cstheme="minorHAnsi"/>
          <w:lang w:val="en-GB" w:eastAsia="zh-CN"/>
        </w:rPr>
        <w:t xml:space="preserve">Step 1: </w:t>
      </w:r>
      <w:r w:rsidRPr="00AC761D">
        <w:rPr>
          <w:rFonts w:cstheme="minorHAnsi"/>
          <w:lang w:val="en-GB" w:eastAsia="zh-CN"/>
        </w:rPr>
        <w:t xml:space="preserve"> </w:t>
      </w:r>
      <w:proofErr w:type="spellStart"/>
      <w:r w:rsidRPr="00AC761D">
        <w:rPr>
          <w:rFonts w:cstheme="minorHAnsi"/>
          <w:lang w:val="en-GB" w:eastAsia="zh-CN"/>
        </w:rPr>
        <w:t>mIAB</w:t>
      </w:r>
      <w:proofErr w:type="spellEnd"/>
      <w:r w:rsidRPr="00AC761D">
        <w:rPr>
          <w:rFonts w:cstheme="minorHAnsi"/>
          <w:lang w:val="en-GB" w:eastAsia="zh-CN"/>
        </w:rPr>
        <w:t xml:space="preserve"> node performs a HO to target donor DU2</w:t>
      </w:r>
      <w:r>
        <w:rPr>
          <w:rFonts w:cstheme="minorHAnsi"/>
          <w:lang w:val="en-GB" w:eastAsia="zh-CN"/>
        </w:rPr>
        <w:t>: This can use legacy HO procedure, including CHO</w:t>
      </w:r>
      <w:r w:rsidR="00565494">
        <w:rPr>
          <w:rFonts w:cstheme="minorHAnsi"/>
          <w:lang w:val="en-GB" w:eastAsia="zh-CN"/>
        </w:rPr>
        <w:t xml:space="preserve"> (from RAN2 perspective)</w:t>
      </w:r>
      <w:r>
        <w:rPr>
          <w:rFonts w:cstheme="minorHAnsi"/>
          <w:lang w:val="en-GB" w:eastAsia="zh-CN"/>
        </w:rPr>
        <w:t xml:space="preserve">.  Further enhancements are useful as discussed </w:t>
      </w:r>
      <w:r w:rsidRPr="00EC761E">
        <w:rPr>
          <w:rFonts w:cstheme="minorHAnsi"/>
          <w:lang w:val="en-GB" w:eastAsia="zh-CN"/>
        </w:rPr>
        <w:t>in [</w:t>
      </w:r>
      <w:r w:rsidR="00EC761E" w:rsidRPr="00EC761E">
        <w:rPr>
          <w:rFonts w:cstheme="minorHAnsi"/>
          <w:lang w:val="en-GB" w:eastAsia="zh-CN"/>
        </w:rPr>
        <w:t>1</w:t>
      </w:r>
      <w:r w:rsidRPr="00EC761E">
        <w:rPr>
          <w:rFonts w:cstheme="minorHAnsi"/>
          <w:lang w:val="en-GB" w:eastAsia="zh-CN"/>
        </w:rPr>
        <w:t>]</w:t>
      </w:r>
    </w:p>
    <w:p w14:paraId="4B58038C" w14:textId="6EA978E0" w:rsidR="00AC761D" w:rsidRDefault="00AC761D" w:rsidP="00AF5CBA">
      <w:pPr>
        <w:spacing w:after="120"/>
        <w:rPr>
          <w:rFonts w:cstheme="minorHAnsi"/>
          <w:lang w:val="en-GB" w:eastAsia="zh-CN"/>
        </w:rPr>
      </w:pPr>
      <w:r>
        <w:rPr>
          <w:rFonts w:cstheme="minorHAnsi"/>
          <w:lang w:val="en-GB" w:eastAsia="zh-CN"/>
        </w:rPr>
        <w:t xml:space="preserve">Step 2: </w:t>
      </w:r>
      <w:r w:rsidRPr="00AC761D">
        <w:rPr>
          <w:rFonts w:cstheme="minorHAnsi"/>
          <w:lang w:val="en-GB" w:eastAsia="zh-CN"/>
        </w:rPr>
        <w:t xml:space="preserve"> New donor DU2 connects to the source donor CU1</w:t>
      </w:r>
      <w:r>
        <w:rPr>
          <w:rFonts w:cstheme="minorHAnsi"/>
          <w:lang w:val="en-GB" w:eastAsia="zh-CN"/>
        </w:rPr>
        <w:t xml:space="preserve">: This can be left to RAN3. </w:t>
      </w:r>
    </w:p>
    <w:p w14:paraId="768F1904" w14:textId="1531998F" w:rsidR="00AC761D" w:rsidRDefault="00AC761D" w:rsidP="00AF5CBA">
      <w:pPr>
        <w:spacing w:after="120"/>
        <w:rPr>
          <w:rFonts w:cstheme="minorHAnsi"/>
          <w:lang w:val="en-GB" w:eastAsia="zh-CN"/>
        </w:rPr>
      </w:pPr>
      <w:r>
        <w:rPr>
          <w:rFonts w:cstheme="minorHAnsi"/>
          <w:lang w:val="en-GB" w:eastAsia="zh-CN"/>
        </w:rPr>
        <w:t xml:space="preserve">Step 3: </w:t>
      </w:r>
      <w:r w:rsidRPr="00AC761D">
        <w:rPr>
          <w:rFonts w:cstheme="minorHAnsi"/>
          <w:lang w:val="en-GB" w:eastAsia="zh-CN"/>
        </w:rPr>
        <w:t xml:space="preserve"> New donor DU2 establishes a connection its parent donor CU2</w:t>
      </w:r>
      <w:r w:rsidR="002F0712">
        <w:rPr>
          <w:rFonts w:cstheme="minorHAnsi"/>
          <w:lang w:val="en-GB" w:eastAsia="zh-CN"/>
        </w:rPr>
        <w:t>: This can be left to RAN3.</w:t>
      </w:r>
    </w:p>
    <w:p w14:paraId="1261CEDA" w14:textId="33912543" w:rsidR="00AF5CBA" w:rsidRDefault="002F0712" w:rsidP="00AF5CBA">
      <w:pPr>
        <w:spacing w:after="120"/>
        <w:rPr>
          <w:rFonts w:cstheme="minorHAnsi"/>
          <w:lang w:val="en-GB" w:eastAsia="zh-CN"/>
        </w:rPr>
      </w:pPr>
      <w:r>
        <w:rPr>
          <w:rFonts w:cstheme="minorHAnsi"/>
          <w:lang w:val="en-GB" w:eastAsia="zh-CN"/>
        </w:rPr>
        <w:t xml:space="preserve">Step 4: </w:t>
      </w:r>
      <w:r w:rsidRPr="002F0712">
        <w:rPr>
          <w:rFonts w:cstheme="minorHAnsi"/>
          <w:lang w:val="en-GB" w:eastAsia="zh-CN"/>
        </w:rPr>
        <w:t xml:space="preserve">A new logical DU (mIABDU2) is created within the </w:t>
      </w:r>
      <w:proofErr w:type="spellStart"/>
      <w:r w:rsidRPr="002F0712">
        <w:rPr>
          <w:rFonts w:cstheme="minorHAnsi"/>
          <w:lang w:val="en-GB" w:eastAsia="zh-CN"/>
        </w:rPr>
        <w:t>mIAB</w:t>
      </w:r>
      <w:proofErr w:type="spellEnd"/>
      <w:r w:rsidRPr="002F0712">
        <w:rPr>
          <w:rFonts w:cstheme="minorHAnsi"/>
          <w:lang w:val="en-GB" w:eastAsia="zh-CN"/>
        </w:rPr>
        <w:t xml:space="preserve"> node</w:t>
      </w:r>
      <w:r>
        <w:rPr>
          <w:rFonts w:cstheme="minorHAnsi"/>
          <w:lang w:val="en-GB" w:eastAsia="zh-CN"/>
        </w:rPr>
        <w:t>:</w:t>
      </w:r>
      <w:r w:rsidRPr="002F0712">
        <w:rPr>
          <w:rFonts w:cstheme="minorHAnsi"/>
          <w:lang w:val="en-GB" w:eastAsia="zh-CN"/>
        </w:rPr>
        <w:t xml:space="preserve"> </w:t>
      </w:r>
      <w:r>
        <w:rPr>
          <w:rFonts w:cstheme="minorHAnsi"/>
          <w:lang w:val="en-GB" w:eastAsia="zh-CN"/>
        </w:rPr>
        <w:t>This can be left to RAN3.</w:t>
      </w:r>
    </w:p>
    <w:p w14:paraId="396D4FAB" w14:textId="3580B502" w:rsidR="002F0712" w:rsidRDefault="002F0712" w:rsidP="00AF5CBA">
      <w:pPr>
        <w:spacing w:after="120"/>
        <w:rPr>
          <w:rFonts w:cstheme="minorHAnsi"/>
          <w:lang w:val="en-GB" w:eastAsia="zh-CN"/>
        </w:rPr>
      </w:pPr>
      <w:r>
        <w:rPr>
          <w:rFonts w:cstheme="minorHAnsi"/>
          <w:lang w:val="en-GB" w:eastAsia="zh-CN"/>
        </w:rPr>
        <w:t xml:space="preserve">Step 5: </w:t>
      </w:r>
      <w:r w:rsidRPr="002F0712">
        <w:rPr>
          <w:rFonts w:cstheme="minorHAnsi"/>
          <w:lang w:val="en-GB" w:eastAsia="zh-CN"/>
        </w:rPr>
        <w:t>A new cell 2 is created for mIABDU2</w:t>
      </w:r>
      <w:r>
        <w:rPr>
          <w:rFonts w:cstheme="minorHAnsi"/>
          <w:lang w:val="en-GB" w:eastAsia="zh-CN"/>
        </w:rPr>
        <w:t>.  Details of this new cell including new PCI are discussed further below.</w:t>
      </w:r>
    </w:p>
    <w:p w14:paraId="25ACCC85" w14:textId="30F766E2" w:rsidR="002F0712" w:rsidRDefault="002F0712" w:rsidP="00AF5CBA">
      <w:pPr>
        <w:spacing w:after="120"/>
        <w:rPr>
          <w:rFonts w:cstheme="minorHAnsi"/>
          <w:lang w:val="en-GB" w:eastAsia="zh-CN"/>
        </w:rPr>
      </w:pPr>
      <w:r>
        <w:rPr>
          <w:rFonts w:cstheme="minorHAnsi"/>
          <w:lang w:val="en-GB" w:eastAsia="zh-CN"/>
        </w:rPr>
        <w:t xml:space="preserve">Step 6: </w:t>
      </w:r>
      <w:r w:rsidR="00AA047C" w:rsidRPr="00AA047C">
        <w:rPr>
          <w:rFonts w:cstheme="minorHAnsi"/>
          <w:lang w:val="en-GB" w:eastAsia="zh-CN"/>
        </w:rPr>
        <w:t>HO of UEs to cell 2</w:t>
      </w:r>
      <w:r w:rsidR="00AA047C">
        <w:rPr>
          <w:rFonts w:cstheme="minorHAnsi"/>
          <w:lang w:val="en-GB" w:eastAsia="zh-CN"/>
        </w:rPr>
        <w:t xml:space="preserve">. </w:t>
      </w:r>
      <w:r w:rsidR="005D6184">
        <w:rPr>
          <w:rFonts w:cstheme="minorHAnsi"/>
          <w:lang w:val="en-GB" w:eastAsia="zh-CN"/>
        </w:rPr>
        <w:t xml:space="preserve">As both cell 1 and cell 2 are active simultaneously for </w:t>
      </w:r>
      <w:proofErr w:type="gramStart"/>
      <w:r w:rsidR="005D6184">
        <w:rPr>
          <w:rFonts w:cstheme="minorHAnsi"/>
          <w:lang w:val="en-GB" w:eastAsia="zh-CN"/>
        </w:rPr>
        <w:t>a period of time</w:t>
      </w:r>
      <w:proofErr w:type="gramEnd"/>
      <w:r w:rsidR="005D6184">
        <w:rPr>
          <w:rFonts w:cstheme="minorHAnsi"/>
          <w:lang w:val="en-GB" w:eastAsia="zh-CN"/>
        </w:rPr>
        <w:t>, the UEs can be handed over to cell 2 over a period of time to avoid congestion.  Enhancements to HO procedure for served UEs is discussed in [2].</w:t>
      </w:r>
    </w:p>
    <w:p w14:paraId="3D597933" w14:textId="41A56E4D" w:rsidR="00AA047C" w:rsidRDefault="00AA047C" w:rsidP="00AF5CBA">
      <w:pPr>
        <w:spacing w:after="120"/>
        <w:rPr>
          <w:rFonts w:cstheme="minorHAnsi"/>
          <w:lang w:val="en-GB" w:eastAsia="zh-CN"/>
        </w:rPr>
      </w:pPr>
      <w:r>
        <w:rPr>
          <w:rFonts w:cstheme="minorHAnsi"/>
          <w:lang w:val="en-GB" w:eastAsia="zh-CN"/>
        </w:rPr>
        <w:t xml:space="preserve">Step 7: </w:t>
      </w:r>
      <w:r w:rsidRPr="00AA047C">
        <w:rPr>
          <w:rFonts w:cstheme="minorHAnsi"/>
          <w:lang w:val="en-GB" w:eastAsia="zh-CN"/>
        </w:rPr>
        <w:t>mIABDU1 and connection to the source donor CU1 is removed and migration is complete</w:t>
      </w:r>
    </w:p>
    <w:p w14:paraId="0285522C" w14:textId="53C18B51" w:rsidR="002F0DD0" w:rsidRDefault="002F0DD0" w:rsidP="00AF5CBA">
      <w:pPr>
        <w:spacing w:after="120"/>
        <w:rPr>
          <w:rFonts w:cstheme="minorHAnsi"/>
          <w:lang w:val="en-GB" w:eastAsia="zh-CN"/>
        </w:rPr>
      </w:pPr>
      <w:r>
        <w:rPr>
          <w:rFonts w:cstheme="minorHAnsi"/>
          <w:lang w:val="en-GB" w:eastAsia="zh-CN"/>
        </w:rPr>
        <w:t xml:space="preserve">A more detailed example procedure flow for partial migration based full migration is shown in the figure below.  </w:t>
      </w:r>
    </w:p>
    <w:p w14:paraId="06A4125F" w14:textId="77777777" w:rsidR="002F0DD0" w:rsidRPr="00AF5CBA" w:rsidRDefault="002F0DD0" w:rsidP="002F0DD0">
      <w:pPr>
        <w:pStyle w:val="Caption"/>
        <w:jc w:val="center"/>
        <w:rPr>
          <w:rFonts w:cstheme="minorHAnsi"/>
        </w:rPr>
      </w:pPr>
      <w:r w:rsidRPr="00AF5CBA">
        <w:rPr>
          <w:rFonts w:cstheme="minorHAnsi"/>
        </w:rPr>
        <w:object w:dxaOrig="16561" w:dyaOrig="10966" w14:anchorId="7C814795">
          <v:shape id="_x0000_i1026" type="#_x0000_t75" style="width:482.7pt;height:316.8pt" o:ole="">
            <v:imagedata r:id="rId13" o:title=""/>
          </v:shape>
          <o:OLEObject Type="Embed" ProgID="Visio.Drawing.15" ShapeID="_x0000_i1026" DrawAspect="Content" ObjectID="_1726029596" r:id="rId14"/>
        </w:object>
      </w:r>
    </w:p>
    <w:p w14:paraId="5F618813" w14:textId="35B2DC78" w:rsidR="002F0DD0" w:rsidRPr="00AF5CBA" w:rsidRDefault="00AC747C" w:rsidP="002F0DD0">
      <w:pPr>
        <w:pStyle w:val="Caption"/>
        <w:jc w:val="center"/>
        <w:rPr>
          <w:rFonts w:cstheme="minorHAnsi"/>
        </w:rPr>
      </w:pPr>
      <w:r w:rsidRPr="00AF5CBA">
        <w:rPr>
          <w:rFonts w:cstheme="minorHAnsi"/>
        </w:rPr>
        <w:t xml:space="preserve">Figure </w:t>
      </w:r>
      <w:r w:rsidRPr="00AF5CBA">
        <w:rPr>
          <w:rFonts w:cstheme="minorHAnsi"/>
        </w:rPr>
        <w:fldChar w:fldCharType="begin"/>
      </w:r>
      <w:r w:rsidRPr="00AF5CBA">
        <w:rPr>
          <w:rFonts w:cstheme="minorHAnsi"/>
        </w:rPr>
        <w:instrText xml:space="preserve"> SEQ Figure \* ARABIC </w:instrText>
      </w:r>
      <w:r w:rsidRPr="00AF5CBA">
        <w:rPr>
          <w:rFonts w:cstheme="minorHAnsi"/>
        </w:rPr>
        <w:fldChar w:fldCharType="separate"/>
      </w:r>
      <w:r>
        <w:rPr>
          <w:rFonts w:cstheme="minorHAnsi"/>
          <w:noProof/>
        </w:rPr>
        <w:t>2</w:t>
      </w:r>
      <w:r w:rsidRPr="00AF5CBA">
        <w:rPr>
          <w:rFonts w:cstheme="minorHAnsi"/>
        </w:rPr>
        <w:fldChar w:fldCharType="end"/>
      </w:r>
      <w:r>
        <w:rPr>
          <w:rFonts w:cstheme="minorHAnsi"/>
        </w:rPr>
        <w:t xml:space="preserve">: </w:t>
      </w:r>
      <w:r w:rsidR="002F0DD0" w:rsidRPr="00AF5CBA">
        <w:rPr>
          <w:rFonts w:cstheme="minorHAnsi"/>
        </w:rPr>
        <w:t xml:space="preserve"> Simplified high level example message flow for Partial migration based Full migration procedure</w:t>
      </w:r>
    </w:p>
    <w:p w14:paraId="57B1FA2B" w14:textId="77777777" w:rsidR="002F0DD0" w:rsidRPr="00AF5CBA" w:rsidRDefault="002F0DD0" w:rsidP="00AF5CBA">
      <w:pPr>
        <w:spacing w:after="120"/>
        <w:rPr>
          <w:rFonts w:cstheme="minorHAnsi"/>
          <w:lang w:val="en-GB" w:eastAsia="zh-CN"/>
        </w:rPr>
      </w:pPr>
    </w:p>
    <w:p w14:paraId="7A82E216" w14:textId="56970747" w:rsidR="00AA047C" w:rsidRDefault="00AA047C" w:rsidP="00DA2BB4">
      <w:pPr>
        <w:rPr>
          <w:rFonts w:cstheme="minorHAnsi"/>
          <w:lang w:val="en-GB" w:eastAsia="zh-CN"/>
        </w:rPr>
      </w:pPr>
      <w:r>
        <w:rPr>
          <w:rFonts w:cstheme="minorHAnsi"/>
          <w:lang w:val="en-GB" w:eastAsia="zh-CN"/>
        </w:rPr>
        <w:t>As listed above, many of them are under RAN3 responsibility.  This document focusses on step 5 and 6</w:t>
      </w:r>
      <w:r w:rsidR="005D6184">
        <w:rPr>
          <w:rFonts w:cstheme="minorHAnsi"/>
          <w:lang w:val="en-GB" w:eastAsia="zh-CN"/>
        </w:rPr>
        <w:t xml:space="preserve"> on supporting legacy procedures</w:t>
      </w:r>
      <w:r>
        <w:rPr>
          <w:rFonts w:cstheme="minorHAnsi"/>
          <w:lang w:val="en-GB" w:eastAsia="zh-CN"/>
        </w:rPr>
        <w:t>.</w:t>
      </w:r>
      <w:r w:rsidR="005D6184">
        <w:rPr>
          <w:rFonts w:cstheme="minorHAnsi"/>
          <w:lang w:val="en-GB" w:eastAsia="zh-CN"/>
        </w:rPr>
        <w:t xml:space="preserve">  Mobility enhancements for </w:t>
      </w:r>
      <w:proofErr w:type="gramStart"/>
      <w:r w:rsidR="00E46E9C">
        <w:rPr>
          <w:rFonts w:cstheme="minorHAnsi"/>
          <w:lang w:val="en-GB" w:eastAsia="zh-CN"/>
        </w:rPr>
        <w:t>step</w:t>
      </w:r>
      <w:proofErr w:type="gramEnd"/>
      <w:r w:rsidR="00E46E9C">
        <w:rPr>
          <w:rFonts w:cstheme="minorHAnsi"/>
          <w:lang w:val="en-GB" w:eastAsia="zh-CN"/>
        </w:rPr>
        <w:t xml:space="preserve"> 1 and 6 are useful and discussed in [2].</w:t>
      </w:r>
    </w:p>
    <w:p w14:paraId="784395C3" w14:textId="25E8330C" w:rsidR="00F53623" w:rsidRDefault="00F53623" w:rsidP="00F53623">
      <w:pPr>
        <w:rPr>
          <w:rFonts w:cstheme="minorHAnsi"/>
          <w:lang w:val="en-GB"/>
        </w:rPr>
      </w:pPr>
      <w:r>
        <w:rPr>
          <w:rFonts w:cstheme="minorHAnsi"/>
          <w:lang w:val="en-GB"/>
        </w:rPr>
        <w:t xml:space="preserve">One of the </w:t>
      </w:r>
      <w:r w:rsidR="00EA769A">
        <w:rPr>
          <w:rFonts w:cstheme="minorHAnsi"/>
          <w:lang w:val="en-GB"/>
        </w:rPr>
        <w:t>requirements</w:t>
      </w:r>
      <w:r>
        <w:rPr>
          <w:rFonts w:cstheme="minorHAnsi"/>
          <w:lang w:val="en-GB"/>
        </w:rPr>
        <w:t xml:space="preserve"> of the WI is to be able to support legacy UEs.  As discussed above, full migration involves a HO of the UEs from cell 1 to cell 2.  Hence it is essential that HO procedure supported by legacy UE implementations </w:t>
      </w:r>
      <w:r w:rsidR="00EA769A">
        <w:rPr>
          <w:rFonts w:cstheme="minorHAnsi"/>
          <w:lang w:val="en-GB"/>
        </w:rPr>
        <w:t>must</w:t>
      </w:r>
      <w:r>
        <w:rPr>
          <w:rFonts w:cstheme="minorHAnsi"/>
          <w:lang w:val="en-GB"/>
        </w:rPr>
        <w:t xml:space="preserve"> be used in step </w:t>
      </w:r>
      <w:r w:rsidR="00912C70">
        <w:rPr>
          <w:rFonts w:cstheme="minorHAnsi"/>
          <w:lang w:val="en-GB"/>
        </w:rPr>
        <w:t>6</w:t>
      </w:r>
      <w:r>
        <w:rPr>
          <w:rFonts w:cstheme="minorHAnsi"/>
          <w:lang w:val="en-GB"/>
        </w:rPr>
        <w:t>.</w:t>
      </w:r>
      <w:r w:rsidR="00912C70">
        <w:rPr>
          <w:rFonts w:cstheme="minorHAnsi"/>
          <w:lang w:val="en-GB"/>
        </w:rPr>
        <w:t xml:space="preserve">  </w:t>
      </w:r>
    </w:p>
    <w:p w14:paraId="649319DA" w14:textId="50E4B991" w:rsidR="00912C70" w:rsidRDefault="00912C70" w:rsidP="00F53623">
      <w:pPr>
        <w:rPr>
          <w:rFonts w:cstheme="minorHAnsi"/>
          <w:lang w:val="en-GB"/>
        </w:rPr>
      </w:pPr>
      <w:r>
        <w:rPr>
          <w:rFonts w:cstheme="minorHAnsi"/>
          <w:lang w:val="en-GB"/>
        </w:rPr>
        <w:t xml:space="preserve">After logical DU 2 and cell 2 is created, logical CU 1 and cell 1 can continue to exist together for </w:t>
      </w:r>
      <w:proofErr w:type="gramStart"/>
      <w:r>
        <w:rPr>
          <w:rFonts w:cstheme="minorHAnsi"/>
          <w:lang w:val="en-GB"/>
        </w:rPr>
        <w:t>a period of time</w:t>
      </w:r>
      <w:proofErr w:type="gramEnd"/>
      <w:r>
        <w:rPr>
          <w:rFonts w:cstheme="minorHAnsi"/>
          <w:lang w:val="en-GB"/>
        </w:rPr>
        <w:t xml:space="preserve"> (see discussion </w:t>
      </w:r>
      <w:r w:rsidR="00915EE4">
        <w:rPr>
          <w:rFonts w:cstheme="minorHAnsi"/>
          <w:lang w:val="en-GB"/>
        </w:rPr>
        <w:t xml:space="preserve">section </w:t>
      </w:r>
      <w:r>
        <w:rPr>
          <w:rFonts w:cstheme="minorHAnsi"/>
          <w:lang w:val="en-GB"/>
        </w:rPr>
        <w:t xml:space="preserve">below on </w:t>
      </w:r>
      <w:r w:rsidR="00915EE4">
        <w:rPr>
          <w:rFonts w:cstheme="minorHAnsi"/>
          <w:lang w:val="en-GB"/>
        </w:rPr>
        <w:t xml:space="preserve">feasibility).   The hard cut off for this period of </w:t>
      </w:r>
      <w:proofErr w:type="gramStart"/>
      <w:r w:rsidR="00915EE4">
        <w:rPr>
          <w:rFonts w:cstheme="minorHAnsi"/>
          <w:lang w:val="en-GB"/>
        </w:rPr>
        <w:t>period of time</w:t>
      </w:r>
      <w:proofErr w:type="gramEnd"/>
      <w:r w:rsidR="00915EE4">
        <w:rPr>
          <w:rFonts w:cstheme="minorHAnsi"/>
          <w:lang w:val="en-GB"/>
        </w:rPr>
        <w:t xml:space="preserve"> would be when the </w:t>
      </w:r>
      <w:proofErr w:type="spellStart"/>
      <w:r w:rsidR="00915EE4">
        <w:rPr>
          <w:rFonts w:cstheme="minorHAnsi"/>
          <w:lang w:val="en-GB"/>
        </w:rPr>
        <w:t>mIAB</w:t>
      </w:r>
      <w:proofErr w:type="spellEnd"/>
      <w:r w:rsidR="00915EE4">
        <w:rPr>
          <w:rFonts w:cstheme="minorHAnsi"/>
          <w:lang w:val="en-GB"/>
        </w:rPr>
        <w:t xml:space="preserve"> node moves to the coverage of yet another IAB donor CU3.  This </w:t>
      </w:r>
      <w:proofErr w:type="gramStart"/>
      <w:r w:rsidR="00915EE4">
        <w:rPr>
          <w:rFonts w:cstheme="minorHAnsi"/>
          <w:lang w:val="en-GB"/>
        </w:rPr>
        <w:t>period of time</w:t>
      </w:r>
      <w:proofErr w:type="gramEnd"/>
      <w:r w:rsidR="00915EE4">
        <w:rPr>
          <w:rFonts w:cstheme="minorHAnsi"/>
          <w:lang w:val="en-GB"/>
        </w:rPr>
        <w:t xml:space="preserve"> of co-existence is then unlikely to be very short.  That should </w:t>
      </w:r>
      <w:r w:rsidR="00C95041">
        <w:rPr>
          <w:rFonts w:cstheme="minorHAnsi"/>
          <w:lang w:val="en-GB"/>
        </w:rPr>
        <w:t xml:space="preserve">give sufficient time to move the served UEs from cell 1 to cell 2 using HO procedure distributed over time.  Such distribution will reduce the signalling spike of the HO procedure as well as the peak RACH load.  </w:t>
      </w:r>
    </w:p>
    <w:p w14:paraId="71AFDA25" w14:textId="4308CFD9" w:rsidR="006D4B70" w:rsidRDefault="006D4B70" w:rsidP="00F53623">
      <w:pPr>
        <w:rPr>
          <w:rFonts w:cstheme="minorHAnsi"/>
          <w:lang w:val="en-GB"/>
        </w:rPr>
      </w:pPr>
      <w:r>
        <w:rPr>
          <w:rFonts w:cstheme="minorHAnsi"/>
          <w:lang w:val="en-GB"/>
        </w:rPr>
        <w:t>Additional mobility enhancements can be considered for Rel-18 UE that is discussed in [1]</w:t>
      </w:r>
    </w:p>
    <w:p w14:paraId="69E5A50F" w14:textId="50FE0A1E" w:rsidR="00F53623" w:rsidRPr="00AF5CBA" w:rsidRDefault="00F53623" w:rsidP="00F53623">
      <w:pPr>
        <w:pStyle w:val="Obs-prop"/>
        <w:rPr>
          <w:rFonts w:cstheme="minorHAnsi"/>
        </w:rPr>
      </w:pPr>
      <w:r w:rsidRPr="00AF5CBA">
        <w:rPr>
          <w:rFonts w:cstheme="minorHAnsi"/>
        </w:rPr>
        <w:t xml:space="preserve">Proposal 1: For partial migration based full migration, legacy handover procedure </w:t>
      </w:r>
      <w:r w:rsidR="006D4B70">
        <w:rPr>
          <w:rFonts w:cstheme="minorHAnsi"/>
        </w:rPr>
        <w:t>can</w:t>
      </w:r>
      <w:r w:rsidRPr="00AF5CBA">
        <w:rPr>
          <w:rFonts w:cstheme="minorHAnsi"/>
        </w:rPr>
        <w:t xml:space="preserve"> be used </w:t>
      </w:r>
      <w:r w:rsidR="00565494">
        <w:rPr>
          <w:rFonts w:cstheme="minorHAnsi"/>
        </w:rPr>
        <w:t>(from RAN2 pers</w:t>
      </w:r>
      <w:r w:rsidR="00286AC4">
        <w:rPr>
          <w:rFonts w:cstheme="minorHAnsi"/>
        </w:rPr>
        <w:t>p</w:t>
      </w:r>
      <w:r w:rsidR="00565494">
        <w:rPr>
          <w:rFonts w:cstheme="minorHAnsi"/>
        </w:rPr>
        <w:t xml:space="preserve">ective) </w:t>
      </w:r>
      <w:r w:rsidRPr="00AF5CBA">
        <w:rPr>
          <w:rFonts w:cstheme="minorHAnsi"/>
        </w:rPr>
        <w:t xml:space="preserve">to switch served UEs from one logical mobile IAB-DU/cell (the source IAB-donor-CU) to another logical mobile IAB-DU/cell (the target IAB-donor-CU) in the same </w:t>
      </w:r>
      <w:proofErr w:type="spellStart"/>
      <w:r w:rsidRPr="00AF5CBA">
        <w:rPr>
          <w:rFonts w:cstheme="minorHAnsi"/>
        </w:rPr>
        <w:t>mIAB</w:t>
      </w:r>
      <w:proofErr w:type="spellEnd"/>
      <w:r w:rsidRPr="00AF5CBA">
        <w:rPr>
          <w:rFonts w:cstheme="minorHAnsi"/>
        </w:rPr>
        <w:t xml:space="preserve"> node</w:t>
      </w:r>
      <w:r w:rsidRPr="00AF5CBA">
        <w:rPr>
          <w:rFonts w:cstheme="minorHAnsi"/>
          <w:b w:val="0"/>
        </w:rPr>
        <w:t xml:space="preserve">.  </w:t>
      </w:r>
      <w:r w:rsidRPr="00AF5CBA">
        <w:rPr>
          <w:rFonts w:cstheme="minorHAnsi"/>
        </w:rPr>
        <w:t xml:space="preserve">The source IAB-donor CU can gradually trigger served UEs’ handover to avoid congestion.  </w:t>
      </w:r>
    </w:p>
    <w:p w14:paraId="7240AF20" w14:textId="1E6B0B00" w:rsidR="00E46E9C" w:rsidRDefault="00467EA3" w:rsidP="00467EA3">
      <w:pPr>
        <w:pStyle w:val="Heading2"/>
        <w:rPr>
          <w:lang w:eastAsia="zh-CN"/>
        </w:rPr>
      </w:pPr>
      <w:r>
        <w:rPr>
          <w:lang w:eastAsia="zh-CN"/>
        </w:rPr>
        <w:t>Different cells for different logical DUs</w:t>
      </w:r>
    </w:p>
    <w:p w14:paraId="19045C52" w14:textId="2CE35928" w:rsidR="00E46E9C" w:rsidRDefault="00832A36" w:rsidP="00DA2BB4">
      <w:pPr>
        <w:rPr>
          <w:rFonts w:cstheme="minorHAnsi"/>
          <w:lang w:val="en-GB" w:eastAsia="zh-CN"/>
        </w:rPr>
      </w:pPr>
      <w:r>
        <w:rPr>
          <w:rFonts w:cstheme="minorHAnsi"/>
          <w:lang w:val="en-GB" w:eastAsia="zh-CN"/>
        </w:rPr>
        <w:t>As discussed above</w:t>
      </w:r>
      <w:r w:rsidR="00467EA3">
        <w:rPr>
          <w:rFonts w:cstheme="minorHAnsi"/>
          <w:lang w:val="en-GB" w:eastAsia="zh-CN"/>
        </w:rPr>
        <w:t xml:space="preserve">, it was expected that multiple </w:t>
      </w:r>
      <w:r>
        <w:rPr>
          <w:rFonts w:cstheme="minorHAnsi"/>
          <w:lang w:val="en-GB" w:eastAsia="zh-CN"/>
        </w:rPr>
        <w:t xml:space="preserve">logical </w:t>
      </w:r>
      <w:r w:rsidR="00467EA3">
        <w:rPr>
          <w:rFonts w:cstheme="minorHAnsi"/>
          <w:lang w:val="en-GB" w:eastAsia="zh-CN"/>
        </w:rPr>
        <w:t xml:space="preserve">DUs will be used </w:t>
      </w:r>
      <w:r>
        <w:rPr>
          <w:rFonts w:cstheme="minorHAnsi"/>
          <w:lang w:val="en-GB" w:eastAsia="zh-CN"/>
        </w:rPr>
        <w:t xml:space="preserve">during the migration process.  </w:t>
      </w:r>
      <w:r w:rsidR="00022440">
        <w:rPr>
          <w:rFonts w:cstheme="minorHAnsi"/>
          <w:lang w:val="en-GB" w:eastAsia="zh-CN"/>
        </w:rPr>
        <w:t xml:space="preserve">RAN3 had also further expects that each logical DU will support a different cell – that is, from RAN3 point of view, these cells will broadcast different </w:t>
      </w:r>
      <w:r w:rsidR="00741D44" w:rsidRPr="00741D44">
        <w:rPr>
          <w:rFonts w:cstheme="minorHAnsi"/>
          <w:lang w:val="en-GB" w:eastAsia="zh-CN"/>
        </w:rPr>
        <w:t>NR Cell Global ID</w:t>
      </w:r>
      <w:r w:rsidR="00741D44">
        <w:rPr>
          <w:rFonts w:cstheme="minorHAnsi"/>
          <w:lang w:val="en-GB" w:eastAsia="zh-CN"/>
        </w:rPr>
        <w:t xml:space="preserve"> (</w:t>
      </w:r>
      <w:r w:rsidR="00022440">
        <w:rPr>
          <w:rFonts w:cstheme="minorHAnsi"/>
          <w:lang w:val="en-GB" w:eastAsia="zh-CN"/>
        </w:rPr>
        <w:t>NCGI</w:t>
      </w:r>
      <w:r w:rsidR="00741D44">
        <w:rPr>
          <w:rFonts w:cstheme="minorHAnsi"/>
          <w:lang w:val="en-GB" w:eastAsia="zh-CN"/>
        </w:rPr>
        <w:t>)</w:t>
      </w:r>
      <w:r w:rsidR="00022440">
        <w:rPr>
          <w:rFonts w:cstheme="minorHAnsi"/>
          <w:lang w:val="en-GB" w:eastAsia="zh-CN"/>
        </w:rPr>
        <w:t xml:space="preserve">.  </w:t>
      </w:r>
      <w:r w:rsidR="00741D44">
        <w:rPr>
          <w:rFonts w:cstheme="minorHAnsi"/>
          <w:lang w:val="en-GB" w:eastAsia="zh-CN"/>
        </w:rPr>
        <w:t xml:space="preserve">This implies that the SIB contents of the two cells </w:t>
      </w:r>
      <w:r w:rsidR="006D098C">
        <w:rPr>
          <w:rFonts w:cstheme="minorHAnsi"/>
          <w:lang w:val="en-GB" w:eastAsia="zh-CN"/>
        </w:rPr>
        <w:t>must</w:t>
      </w:r>
      <w:r w:rsidR="00741D44">
        <w:rPr>
          <w:rFonts w:cstheme="minorHAnsi"/>
          <w:lang w:val="en-GB" w:eastAsia="zh-CN"/>
        </w:rPr>
        <w:t xml:space="preserve"> be different</w:t>
      </w:r>
      <w:r w:rsidR="00DD109D">
        <w:rPr>
          <w:rFonts w:cstheme="minorHAnsi"/>
          <w:lang w:val="en-GB" w:eastAsia="zh-CN"/>
        </w:rPr>
        <w:t xml:space="preserve"> and hence they really are different cells even if the PCIs of the two cells are the same</w:t>
      </w:r>
      <w:r w:rsidR="00741D44">
        <w:rPr>
          <w:rFonts w:cstheme="minorHAnsi"/>
          <w:lang w:val="en-GB" w:eastAsia="zh-CN"/>
        </w:rPr>
        <w:t xml:space="preserve">.  </w:t>
      </w:r>
    </w:p>
    <w:p w14:paraId="25532AC7" w14:textId="74458815" w:rsidR="002F0DD0" w:rsidRDefault="00091753" w:rsidP="00B74643">
      <w:pPr>
        <w:jc w:val="center"/>
        <w:rPr>
          <w:rFonts w:cstheme="minorBidi"/>
          <w:lang w:val="en-GB" w:eastAsia="zh-CN"/>
        </w:rPr>
      </w:pPr>
      <w:r w:rsidRPr="00AF5CBA">
        <w:rPr>
          <w:rFonts w:cstheme="minorHAnsi"/>
        </w:rPr>
        <w:object w:dxaOrig="7186" w:dyaOrig="7665" w14:anchorId="2BBE2035">
          <v:shape id="_x0000_i1027" type="#_x0000_t75" style="width:172.8pt;height:180.3pt" o:ole="">
            <v:imagedata r:id="rId15" o:title=""/>
          </v:shape>
          <o:OLEObject Type="Embed" ProgID="Visio.Drawing.15" ShapeID="_x0000_i1027" DrawAspect="Content" ObjectID="_1726029597" r:id="rId16"/>
        </w:object>
      </w:r>
    </w:p>
    <w:p w14:paraId="6433E4F4" w14:textId="62EC50C6" w:rsidR="00091753" w:rsidRPr="00AF5CBA" w:rsidRDefault="00091753" w:rsidP="00091753">
      <w:pPr>
        <w:pStyle w:val="Caption"/>
        <w:jc w:val="center"/>
        <w:rPr>
          <w:rFonts w:cstheme="minorHAnsi"/>
        </w:rPr>
      </w:pPr>
      <w:r w:rsidRPr="00AF5CBA">
        <w:rPr>
          <w:rFonts w:cstheme="minorHAnsi"/>
        </w:rPr>
        <w:t xml:space="preserve">Figure </w:t>
      </w:r>
      <w:r w:rsidRPr="00AF5CBA">
        <w:rPr>
          <w:rFonts w:cstheme="minorHAnsi"/>
        </w:rPr>
        <w:fldChar w:fldCharType="begin"/>
      </w:r>
      <w:r w:rsidRPr="00AF5CBA">
        <w:rPr>
          <w:rFonts w:cstheme="minorHAnsi"/>
        </w:rPr>
        <w:instrText xml:space="preserve"> SEQ Figure \* ARABIC </w:instrText>
      </w:r>
      <w:r w:rsidRPr="00AF5CBA">
        <w:rPr>
          <w:rFonts w:cstheme="minorHAnsi"/>
        </w:rPr>
        <w:fldChar w:fldCharType="separate"/>
      </w:r>
      <w:r>
        <w:rPr>
          <w:rFonts w:cstheme="minorHAnsi"/>
          <w:noProof/>
        </w:rPr>
        <w:t>3</w:t>
      </w:r>
      <w:r w:rsidRPr="00AF5CBA">
        <w:rPr>
          <w:rFonts w:cstheme="minorHAnsi"/>
        </w:rPr>
        <w:fldChar w:fldCharType="end"/>
      </w:r>
      <w:r>
        <w:rPr>
          <w:rFonts w:cstheme="minorHAnsi"/>
        </w:rPr>
        <w:t xml:space="preserve">: </w:t>
      </w:r>
      <w:r w:rsidRPr="00AF5CBA">
        <w:rPr>
          <w:rFonts w:cstheme="minorHAnsi"/>
        </w:rPr>
        <w:t xml:space="preserve"> </w:t>
      </w:r>
      <w:r>
        <w:rPr>
          <w:rFonts w:cstheme="minorHAnsi"/>
        </w:rPr>
        <w:t>Two overlapping cells of the two logical DUs during the migration transition period</w:t>
      </w:r>
    </w:p>
    <w:p w14:paraId="565E47AE" w14:textId="37894891" w:rsidR="006D098C" w:rsidRDefault="006D098C" w:rsidP="006D098C">
      <w:pPr>
        <w:pStyle w:val="Obs-prop"/>
        <w:rPr>
          <w:rFonts w:cstheme="minorHAnsi"/>
          <w:lang w:eastAsia="zh-CN"/>
        </w:rPr>
      </w:pPr>
      <w:r w:rsidRPr="00DD109D">
        <w:rPr>
          <w:rFonts w:cstheme="minorHAnsi"/>
          <w:lang w:eastAsia="zh-CN"/>
        </w:rPr>
        <w:t xml:space="preserve">Observation </w:t>
      </w:r>
      <w:r w:rsidR="001E72DC">
        <w:rPr>
          <w:rFonts w:cstheme="minorHAnsi"/>
          <w:lang w:eastAsia="zh-CN"/>
        </w:rPr>
        <w:t>3</w:t>
      </w:r>
      <w:r w:rsidRPr="00DD109D">
        <w:rPr>
          <w:rFonts w:cstheme="minorHAnsi"/>
          <w:lang w:eastAsia="zh-CN"/>
        </w:rPr>
        <w:t>: The SIB contents of the two cells of the two logical DUs are different (at least the NCGI)</w:t>
      </w:r>
      <w:r>
        <w:rPr>
          <w:rFonts w:cstheme="minorHAnsi"/>
          <w:lang w:eastAsia="zh-CN"/>
        </w:rPr>
        <w:t xml:space="preserve"> and they should be treated as two different cells even if the PCIs are the same.</w:t>
      </w:r>
    </w:p>
    <w:p w14:paraId="3AE8DDCB" w14:textId="4E73A64C" w:rsidR="00AD7483" w:rsidRDefault="007628E7" w:rsidP="00AD7483">
      <w:pPr>
        <w:rPr>
          <w:rFonts w:cstheme="minorHAnsi"/>
          <w:lang w:val="en-GB"/>
        </w:rPr>
      </w:pPr>
      <w:r>
        <w:rPr>
          <w:rFonts w:cstheme="minorHAnsi"/>
          <w:lang w:val="en-GB" w:eastAsia="zh-CN"/>
        </w:rPr>
        <w:t xml:space="preserve">The most common scenario can be expected to be where the </w:t>
      </w:r>
      <w:proofErr w:type="spellStart"/>
      <w:r>
        <w:rPr>
          <w:rFonts w:cstheme="minorHAnsi"/>
          <w:lang w:val="en-GB" w:eastAsia="zh-CN"/>
        </w:rPr>
        <w:t>mIAB</w:t>
      </w:r>
      <w:proofErr w:type="spellEnd"/>
      <w:r>
        <w:rPr>
          <w:rFonts w:cstheme="minorHAnsi"/>
          <w:lang w:val="en-GB" w:eastAsia="zh-CN"/>
        </w:rPr>
        <w:t xml:space="preserve"> operates on a certain frequency and hence both cell 1 and cell 2 are on the same frequency.  </w:t>
      </w:r>
      <w:r w:rsidR="003E4B41">
        <w:rPr>
          <w:rFonts w:cstheme="minorHAnsi"/>
          <w:lang w:val="en-GB" w:eastAsia="zh-CN"/>
        </w:rPr>
        <w:t xml:space="preserve">This deployment where two cells of the same frequency exactly overlap in coverage is not a normal deployment scenario.   RAN3 had previously in Rel-17 sought feedback from different groups on the feasibility of such deployment.  </w:t>
      </w:r>
      <w:r w:rsidR="00AD7483" w:rsidRPr="00AF5CBA">
        <w:rPr>
          <w:rFonts w:cstheme="minorHAnsi"/>
          <w:lang w:val="en-GB"/>
        </w:rPr>
        <w:t xml:space="preserve">Based on the LS responses from RAN1 and RAN4 [1,5] during the Rel-17 discussions, it appears separate PCIs should be used by these two logical DUs. That is, every time there is a full migration of the </w:t>
      </w:r>
      <w:proofErr w:type="spellStart"/>
      <w:r w:rsidR="00AD7483" w:rsidRPr="00AF5CBA">
        <w:rPr>
          <w:rFonts w:cstheme="minorHAnsi"/>
          <w:lang w:val="en-GB"/>
        </w:rPr>
        <w:t>mIAB</w:t>
      </w:r>
      <w:proofErr w:type="spellEnd"/>
      <w:r w:rsidR="00AD7483" w:rsidRPr="00AF5CBA">
        <w:rPr>
          <w:rFonts w:cstheme="minorHAnsi"/>
          <w:lang w:val="en-GB"/>
        </w:rPr>
        <w:t xml:space="preserve"> node, a new PCI is used for the </w:t>
      </w:r>
      <w:proofErr w:type="spellStart"/>
      <w:r w:rsidR="00AD7483" w:rsidRPr="00AF5CBA">
        <w:rPr>
          <w:rFonts w:cstheme="minorHAnsi"/>
          <w:lang w:val="en-GB"/>
        </w:rPr>
        <w:t>mIAB</w:t>
      </w:r>
      <w:proofErr w:type="spellEnd"/>
      <w:r w:rsidR="00AD7483" w:rsidRPr="00AF5CBA">
        <w:rPr>
          <w:rFonts w:cstheme="minorHAnsi"/>
          <w:lang w:val="en-GB"/>
        </w:rPr>
        <w:t xml:space="preserve"> cell after the migration.</w:t>
      </w:r>
    </w:p>
    <w:p w14:paraId="485DF4B7" w14:textId="6E1651B9" w:rsidR="00AD7483" w:rsidRDefault="00AD7483" w:rsidP="00AD7483">
      <w:pPr>
        <w:rPr>
          <w:rFonts w:cstheme="minorHAnsi"/>
          <w:lang w:val="en-GB"/>
        </w:rPr>
      </w:pPr>
      <w:r>
        <w:rPr>
          <w:rFonts w:cstheme="minorHAnsi"/>
          <w:lang w:val="en-GB"/>
        </w:rPr>
        <w:t xml:space="preserve">One of the </w:t>
      </w:r>
      <w:proofErr w:type="gramStart"/>
      <w:r>
        <w:rPr>
          <w:rFonts w:cstheme="minorHAnsi"/>
          <w:lang w:val="en-GB"/>
        </w:rPr>
        <w:t>requirement</w:t>
      </w:r>
      <w:proofErr w:type="gramEnd"/>
      <w:r>
        <w:rPr>
          <w:rFonts w:cstheme="minorHAnsi"/>
          <w:lang w:val="en-GB"/>
        </w:rPr>
        <w:t xml:space="preserve"> of the WI is to be able to support legacy UEs.  As discussed above, full migration involves a HO </w:t>
      </w:r>
      <w:r w:rsidR="003E4B41">
        <w:rPr>
          <w:rFonts w:cstheme="minorHAnsi"/>
          <w:lang w:val="en-GB"/>
        </w:rPr>
        <w:t xml:space="preserve">of the UEs from cell 1 to cell 2.  Hence it is essential that legacy UE implementations can support such a HO </w:t>
      </w:r>
      <w:r w:rsidR="003C181B">
        <w:rPr>
          <w:rFonts w:cstheme="minorHAnsi"/>
          <w:lang w:val="en-GB"/>
        </w:rPr>
        <w:t>across two total overlapping cells on the same frequency – either on the same PCI or different PCI.</w:t>
      </w:r>
    </w:p>
    <w:p w14:paraId="694A103A" w14:textId="491605C0" w:rsidR="003C181B" w:rsidRDefault="003C181B" w:rsidP="00AD7483">
      <w:pPr>
        <w:rPr>
          <w:rFonts w:cstheme="minorHAnsi"/>
          <w:lang w:val="en-GB"/>
        </w:rPr>
      </w:pPr>
      <w:r>
        <w:rPr>
          <w:rFonts w:cstheme="minorHAnsi"/>
          <w:lang w:val="en-GB"/>
        </w:rPr>
        <w:t xml:space="preserve">As the Rel-17 LS discussions happened at the end of Rel-17, it could be useful to get further confirmation from RAN1/4 on the feasibility of total overlapping cells on the same frequency with different or same PCI.  And whether handover </w:t>
      </w:r>
      <w:r w:rsidR="00193B20">
        <w:rPr>
          <w:rFonts w:cstheme="minorHAnsi"/>
          <w:lang w:val="en-GB"/>
        </w:rPr>
        <w:t xml:space="preserve">between them </w:t>
      </w:r>
      <w:r>
        <w:rPr>
          <w:rFonts w:cstheme="minorHAnsi"/>
          <w:lang w:val="en-GB"/>
        </w:rPr>
        <w:t xml:space="preserve">can be supported </w:t>
      </w:r>
      <w:r w:rsidR="00193B20">
        <w:rPr>
          <w:rFonts w:cstheme="minorHAnsi"/>
          <w:lang w:val="en-GB"/>
        </w:rPr>
        <w:t xml:space="preserve">by legacy UEs </w:t>
      </w:r>
      <w:r>
        <w:rPr>
          <w:rFonts w:cstheme="minorHAnsi"/>
          <w:lang w:val="en-GB"/>
        </w:rPr>
        <w:t xml:space="preserve">from RAN1/4 specification point of view.   </w:t>
      </w:r>
    </w:p>
    <w:p w14:paraId="2D2F8729" w14:textId="458B8646" w:rsidR="00AD7483" w:rsidRPr="00193B20" w:rsidRDefault="00193B20" w:rsidP="00193B20">
      <w:pPr>
        <w:pStyle w:val="Obs-prop"/>
      </w:pPr>
      <w:r w:rsidRPr="4626EA64">
        <w:t xml:space="preserve">Proposal </w:t>
      </w:r>
      <w:r w:rsidR="001E72DC" w:rsidRPr="4626EA64">
        <w:t>2</w:t>
      </w:r>
      <w:r w:rsidRPr="4626EA64">
        <w:t xml:space="preserve">: Discuss if an LS should be sent to RAN1/4 to get confirmation from RAN1/4 on the feasibility of total overlapping cells on the same frequency with different or same PCI.  And whether handover between them can be supported by legacy UEs from RAN1/4 specification point of view.   </w:t>
      </w:r>
    </w:p>
    <w:p w14:paraId="1A9E7D92" w14:textId="268D9D06" w:rsidR="00AD7483" w:rsidRDefault="00193B20" w:rsidP="00AD7483">
      <w:pPr>
        <w:rPr>
          <w:rFonts w:cstheme="minorHAnsi"/>
          <w:lang w:val="en-GB"/>
        </w:rPr>
      </w:pPr>
      <w:r>
        <w:rPr>
          <w:rFonts w:cstheme="minorHAnsi"/>
          <w:lang w:val="en-GB"/>
        </w:rPr>
        <w:t xml:space="preserve">Another aspect to discuss whether PCI collision detection and avoidance.  </w:t>
      </w:r>
      <w:r w:rsidR="00B73B25">
        <w:rPr>
          <w:rFonts w:cstheme="minorHAnsi"/>
          <w:lang w:val="en-GB"/>
        </w:rPr>
        <w:t xml:space="preserve">Even with split allocation of PCIs to fixed and </w:t>
      </w:r>
      <w:proofErr w:type="spellStart"/>
      <w:r w:rsidR="00B73B25">
        <w:rPr>
          <w:rFonts w:cstheme="minorHAnsi"/>
          <w:lang w:val="en-GB"/>
        </w:rPr>
        <w:t>mIAB</w:t>
      </w:r>
      <w:proofErr w:type="spellEnd"/>
      <w:r w:rsidR="00B73B25">
        <w:rPr>
          <w:rFonts w:cstheme="minorHAnsi"/>
          <w:lang w:val="en-GB"/>
        </w:rPr>
        <w:t xml:space="preserve"> nodes, i</w:t>
      </w:r>
      <w:r>
        <w:rPr>
          <w:rFonts w:cstheme="minorHAnsi"/>
          <w:lang w:val="en-GB"/>
        </w:rPr>
        <w:t xml:space="preserve">t is possible that PCI collision may happen between </w:t>
      </w:r>
      <w:r w:rsidR="00B73B25">
        <w:rPr>
          <w:rFonts w:cstheme="minorHAnsi"/>
          <w:lang w:val="en-GB"/>
        </w:rPr>
        <w:t xml:space="preserve">two </w:t>
      </w:r>
      <w:proofErr w:type="spellStart"/>
      <w:r>
        <w:rPr>
          <w:rFonts w:cstheme="minorHAnsi"/>
          <w:lang w:val="en-GB"/>
        </w:rPr>
        <w:t>mIAB</w:t>
      </w:r>
      <w:proofErr w:type="spellEnd"/>
      <w:r>
        <w:rPr>
          <w:rFonts w:cstheme="minorHAnsi"/>
          <w:lang w:val="en-GB"/>
        </w:rPr>
        <w:t xml:space="preserve"> nodes due to the nature of their unpredictable mobility </w:t>
      </w:r>
      <w:r w:rsidR="00B73B25">
        <w:rPr>
          <w:rFonts w:cstheme="minorHAnsi"/>
          <w:lang w:val="en-GB"/>
        </w:rPr>
        <w:t xml:space="preserve">pattern.  The conventional method of detecting PCI collision is when the network notices it during measurement reporting.  It can be verified by using ANR reporting from UEs.  While ANR can report the different NCGIs of the PCIs to detect PCI collision, it may not always do it reliably </w:t>
      </w:r>
      <w:r w:rsidR="00EC231A">
        <w:rPr>
          <w:rFonts w:cstheme="minorHAnsi"/>
          <w:lang w:val="en-GB"/>
        </w:rPr>
        <w:t xml:space="preserve">as it a slow procedure and the period of collision due to </w:t>
      </w:r>
      <w:proofErr w:type="spellStart"/>
      <w:r w:rsidR="00EC231A">
        <w:rPr>
          <w:rFonts w:cstheme="minorHAnsi"/>
          <w:lang w:val="en-GB"/>
        </w:rPr>
        <w:t>mIAB</w:t>
      </w:r>
      <w:proofErr w:type="spellEnd"/>
      <w:r w:rsidR="00EC231A">
        <w:rPr>
          <w:rFonts w:cstheme="minorHAnsi"/>
          <w:lang w:val="en-GB"/>
        </w:rPr>
        <w:t xml:space="preserve"> mobility could be too short to detect it.  However, even if it is detected quickly, changing the PCI of a cell (</w:t>
      </w:r>
      <w:r w:rsidR="00A662B5">
        <w:rPr>
          <w:rFonts w:cstheme="minorHAnsi"/>
          <w:lang w:val="en-GB"/>
        </w:rPr>
        <w:t>as discussed below</w:t>
      </w:r>
      <w:r w:rsidR="00EC231A">
        <w:rPr>
          <w:rFonts w:cstheme="minorHAnsi"/>
          <w:lang w:val="en-GB"/>
        </w:rPr>
        <w:t>) to avoid the collision is likely to take even longer as all the UEs will need to be moved to the new PCI.  Hence the current ANR can be considered sufficient for PCI collision detection.</w:t>
      </w:r>
    </w:p>
    <w:p w14:paraId="5C9655F2" w14:textId="7D3B7929" w:rsidR="00EC231A" w:rsidRDefault="00EC231A" w:rsidP="00320A63">
      <w:pPr>
        <w:pStyle w:val="Obs-prop"/>
      </w:pPr>
      <w:r>
        <w:t xml:space="preserve">Proposal </w:t>
      </w:r>
      <w:r w:rsidR="001E72DC">
        <w:t>3</w:t>
      </w:r>
      <w:r>
        <w:t xml:space="preserve">: Current ANR procedure is sufficient for PCI collision detection for </w:t>
      </w:r>
      <w:proofErr w:type="spellStart"/>
      <w:r>
        <w:t>mIAB</w:t>
      </w:r>
      <w:proofErr w:type="spellEnd"/>
      <w:r>
        <w:t>.</w:t>
      </w:r>
    </w:p>
    <w:p w14:paraId="6CABAD3F" w14:textId="71D95F6C" w:rsidR="00A662B5" w:rsidRPr="00A662B5" w:rsidRDefault="00A662B5" w:rsidP="00A662B5">
      <w:pPr>
        <w:rPr>
          <w:lang w:val="en-GB"/>
        </w:rPr>
      </w:pPr>
      <w:r>
        <w:rPr>
          <w:lang w:val="en-GB"/>
        </w:rPr>
        <w:t xml:space="preserve">On detection of a PCI collision, the PCI of the </w:t>
      </w:r>
      <w:proofErr w:type="spellStart"/>
      <w:r>
        <w:rPr>
          <w:lang w:val="en-GB"/>
        </w:rPr>
        <w:t>mIAB</w:t>
      </w:r>
      <w:proofErr w:type="spellEnd"/>
      <w:r>
        <w:rPr>
          <w:lang w:val="en-GB"/>
        </w:rPr>
        <w:t xml:space="preserve"> cell would need to be updated.  And such update should be supported by legacy </w:t>
      </w:r>
      <w:r w:rsidR="00630C16">
        <w:rPr>
          <w:lang w:val="en-GB"/>
        </w:rPr>
        <w:t xml:space="preserve">UEs.  A change of PCI of the cell will require all the served UEs to be “handed over” to the new PCI.  </w:t>
      </w:r>
      <w:r w:rsidR="00AA5CB1">
        <w:rPr>
          <w:lang w:val="en-GB"/>
        </w:rPr>
        <w:t xml:space="preserve">All this </w:t>
      </w:r>
      <w:proofErr w:type="gramStart"/>
      <w:r w:rsidR="00AA5CB1">
        <w:rPr>
          <w:lang w:val="en-GB"/>
        </w:rPr>
        <w:t>has to</w:t>
      </w:r>
      <w:proofErr w:type="gramEnd"/>
      <w:r w:rsidR="00AA5CB1">
        <w:rPr>
          <w:lang w:val="en-GB"/>
        </w:rPr>
        <w:t xml:space="preserve"> be done without </w:t>
      </w:r>
    </w:p>
    <w:bookmarkEnd w:id="0"/>
    <w:p w14:paraId="0A91FFF6" w14:textId="77777777" w:rsidR="002A529C" w:rsidRDefault="002A529C" w:rsidP="002A529C">
      <w:pPr>
        <w:pStyle w:val="Heading2"/>
      </w:pPr>
      <w:r>
        <w:t xml:space="preserve">TAC/RNA for the mIAB node </w:t>
      </w:r>
    </w:p>
    <w:p w14:paraId="1E153ABE" w14:textId="77777777" w:rsidR="002A529C" w:rsidRDefault="002A529C" w:rsidP="002A529C">
      <w:pPr>
        <w:rPr>
          <w:lang w:val="en-GB"/>
        </w:rPr>
      </w:pPr>
      <w:r>
        <w:rPr>
          <w:lang w:val="en-GB"/>
        </w:rPr>
        <w:t xml:space="preserve">As identified by SA2 on-going SI “Study on VMR” key issue #6, how to provide appropriate cell ID/TACs information of a mobile IAB-node when it moves around has RAN dependency. </w:t>
      </w:r>
    </w:p>
    <w:tbl>
      <w:tblPr>
        <w:tblStyle w:val="TableGrid"/>
        <w:tblW w:w="0" w:type="auto"/>
        <w:tblLook w:val="04A0" w:firstRow="1" w:lastRow="0" w:firstColumn="1" w:lastColumn="0" w:noHBand="0" w:noVBand="1"/>
      </w:tblPr>
      <w:tblGrid>
        <w:gridCol w:w="9350"/>
      </w:tblGrid>
      <w:tr w:rsidR="002A529C" w14:paraId="72306172" w14:textId="77777777" w:rsidTr="00C53F1B">
        <w:tc>
          <w:tcPr>
            <w:tcW w:w="9350" w:type="dxa"/>
          </w:tcPr>
          <w:p w14:paraId="2F7B423D" w14:textId="77777777" w:rsidR="002A529C" w:rsidRPr="004A1EE2" w:rsidRDefault="002A529C" w:rsidP="00C53F1B">
            <w:pPr>
              <w:pStyle w:val="B1"/>
              <w:rPr>
                <w:rFonts w:eastAsia="SimSun"/>
                <w:lang w:val="en-US" w:eastAsia="zh-CN"/>
              </w:rPr>
            </w:pPr>
            <w:r>
              <w:rPr>
                <w:rFonts w:eastAsia="SimSun"/>
                <w:lang w:val="en-US" w:eastAsia="zh-CN"/>
              </w:rPr>
              <w:t xml:space="preserve">How to provide appropriate cell ID/TACs information (and possible its corresponding geographic area) of mobile base station relay that moves when such cell ID/TACs are needed, </w:t>
            </w:r>
            <w:proofErr w:type="gramStart"/>
            <w:r>
              <w:rPr>
                <w:rFonts w:eastAsia="SimSun"/>
                <w:lang w:val="en-US" w:eastAsia="zh-CN"/>
              </w:rPr>
              <w:t>e.g.</w:t>
            </w:r>
            <w:proofErr w:type="gramEnd"/>
            <w:r>
              <w:rPr>
                <w:rFonts w:eastAsia="SimSun"/>
                <w:lang w:val="en-US" w:eastAsia="zh-CN"/>
              </w:rPr>
              <w:t xml:space="preserve"> to assist route an emergency call to the correct PSAP, to assist to handle Lawful Interception, to assist the Public Warning System, etc.</w:t>
            </w:r>
          </w:p>
          <w:p w14:paraId="26A8E3BC" w14:textId="77777777" w:rsidR="002A529C" w:rsidRPr="004A1EE2" w:rsidRDefault="002A529C" w:rsidP="00C53F1B">
            <w:pPr>
              <w:pStyle w:val="NO"/>
              <w:rPr>
                <w:rFonts w:eastAsia="SimSun"/>
                <w:lang w:eastAsia="zh-CN"/>
              </w:rPr>
            </w:pPr>
            <w:r w:rsidRPr="004A1EE2">
              <w:t>NOTE 1:</w:t>
            </w:r>
            <w:r w:rsidRPr="004A1EE2">
              <w:tab/>
              <w:t>For mobile base station relay</w:t>
            </w:r>
            <w:r w:rsidRPr="004A1EE2">
              <w:rPr>
                <w:rFonts w:eastAsia="SimSun" w:hint="eastAsia"/>
                <w:lang w:eastAsia="zh-CN"/>
              </w:rPr>
              <w:t xml:space="preserve"> that moves</w:t>
            </w:r>
            <w:r w:rsidRPr="004A1EE2">
              <w:t xml:space="preserve">, whether </w:t>
            </w:r>
            <w:r w:rsidRPr="004A1EE2">
              <w:rPr>
                <w:rFonts w:hint="eastAsia"/>
              </w:rPr>
              <w:t>its</w:t>
            </w:r>
            <w:r w:rsidRPr="004A1EE2">
              <w:t xml:space="preserve"> cell information in the System Information Broadcast (</w:t>
            </w:r>
            <w:proofErr w:type="gramStart"/>
            <w:r w:rsidRPr="004A1EE2">
              <w:t>e.g.</w:t>
            </w:r>
            <w:proofErr w:type="gramEnd"/>
            <w:r w:rsidRPr="004A1EE2">
              <w:t xml:space="preserve"> Cell ID, TAC) changes or not </w:t>
            </w:r>
            <w:r w:rsidRPr="004A1EE2">
              <w:rPr>
                <w:rFonts w:hint="eastAsia"/>
              </w:rPr>
              <w:t xml:space="preserve">due to its movement </w:t>
            </w:r>
            <w:r w:rsidRPr="004A1EE2">
              <w:t>has RAN dependency.</w:t>
            </w:r>
          </w:p>
          <w:p w14:paraId="38355CA8" w14:textId="77777777" w:rsidR="002A529C" w:rsidRPr="00AC7105" w:rsidRDefault="002A529C" w:rsidP="00C53F1B">
            <w:pPr>
              <w:pStyle w:val="NO"/>
              <w:rPr>
                <w:rFonts w:eastAsia="SimSun"/>
                <w:lang w:eastAsia="zh-CN"/>
              </w:rPr>
            </w:pPr>
            <w:r w:rsidRPr="004A1EE2">
              <w:rPr>
                <w:rFonts w:eastAsia="SimSun"/>
                <w:lang w:eastAsia="zh-CN"/>
              </w:rPr>
              <w:t>NOTE </w:t>
            </w:r>
            <w:r w:rsidRPr="004A1EE2">
              <w:rPr>
                <w:rFonts w:eastAsia="SimSun" w:hint="eastAsia"/>
                <w:lang w:eastAsia="zh-CN"/>
              </w:rPr>
              <w:t>2</w:t>
            </w:r>
            <w:r w:rsidRPr="004A1EE2">
              <w:rPr>
                <w:rFonts w:eastAsia="SimSun"/>
                <w:lang w:eastAsia="zh-CN"/>
              </w:rPr>
              <w:t>:</w:t>
            </w:r>
            <w:r w:rsidRPr="004A1EE2">
              <w:rPr>
                <w:rFonts w:eastAsia="SimSun"/>
                <w:lang w:eastAsia="zh-CN"/>
              </w:rPr>
              <w:tab/>
              <w:t>For mobile base station relay</w:t>
            </w:r>
            <w:r w:rsidRPr="004A1EE2">
              <w:rPr>
                <w:rFonts w:eastAsia="SimSun" w:hint="eastAsia"/>
                <w:lang w:eastAsia="zh-CN"/>
              </w:rPr>
              <w:t xml:space="preserve"> that moves</w:t>
            </w:r>
            <w:r w:rsidRPr="004A1EE2">
              <w:rPr>
                <w:rFonts w:eastAsia="SimSun"/>
                <w:lang w:eastAsia="zh-CN"/>
              </w:rPr>
              <w:t xml:space="preserve">, </w:t>
            </w:r>
            <w:r w:rsidRPr="004A1EE2">
              <w:rPr>
                <w:rFonts w:eastAsia="SimSun" w:hint="eastAsia"/>
                <w:lang w:eastAsia="zh-CN"/>
              </w:rPr>
              <w:t>even the</w:t>
            </w:r>
            <w:r w:rsidRPr="004A1EE2">
              <w:rPr>
                <w:rFonts w:eastAsia="SimSun"/>
                <w:lang w:eastAsia="zh-CN"/>
              </w:rPr>
              <w:t xml:space="preserve"> cell information in the System Information Broadcast (</w:t>
            </w:r>
            <w:proofErr w:type="gramStart"/>
            <w:r w:rsidRPr="004A1EE2">
              <w:rPr>
                <w:rFonts w:eastAsia="SimSun"/>
                <w:lang w:eastAsia="zh-CN"/>
              </w:rPr>
              <w:t>e.g.</w:t>
            </w:r>
            <w:proofErr w:type="gramEnd"/>
            <w:r w:rsidRPr="004A1EE2">
              <w:rPr>
                <w:rFonts w:eastAsia="SimSun"/>
                <w:lang w:eastAsia="zh-CN"/>
              </w:rPr>
              <w:t xml:space="preserve"> Cell ID, TAC) </w:t>
            </w:r>
            <w:r w:rsidRPr="004A1EE2">
              <w:rPr>
                <w:rFonts w:eastAsia="SimSun" w:hint="eastAsia"/>
                <w:lang w:eastAsia="zh-CN"/>
              </w:rPr>
              <w:t xml:space="preserve">does not </w:t>
            </w:r>
            <w:r w:rsidRPr="004A1EE2">
              <w:rPr>
                <w:rFonts w:eastAsia="SimSun"/>
                <w:lang w:eastAsia="zh-CN"/>
              </w:rPr>
              <w:t>change</w:t>
            </w:r>
            <w:r w:rsidRPr="004A1EE2">
              <w:rPr>
                <w:rFonts w:eastAsia="SimSun" w:hint="eastAsia"/>
                <w:lang w:eastAsia="zh-CN"/>
              </w:rPr>
              <w:t xml:space="preserve">, it may represents different </w:t>
            </w:r>
            <w:r w:rsidRPr="004A1EE2">
              <w:rPr>
                <w:rFonts w:eastAsia="SimSun"/>
                <w:lang w:eastAsia="zh-CN"/>
              </w:rPr>
              <w:t>geographic</w:t>
            </w:r>
            <w:r w:rsidRPr="004A1EE2">
              <w:rPr>
                <w:rFonts w:eastAsia="SimSun" w:hint="eastAsia"/>
                <w:lang w:eastAsia="zh-CN"/>
              </w:rPr>
              <w:t xml:space="preserve"> area due to the movement.</w:t>
            </w:r>
          </w:p>
        </w:tc>
      </w:tr>
    </w:tbl>
    <w:p w14:paraId="451754CA" w14:textId="77777777" w:rsidR="002A529C" w:rsidRDefault="002A529C" w:rsidP="002A529C">
      <w:pPr>
        <w:rPr>
          <w:lang w:val="en-GB"/>
        </w:rPr>
      </w:pPr>
      <w:r>
        <w:rPr>
          <w:lang w:val="en-GB"/>
        </w:rPr>
        <w:t>In general, there are two options for the mobile IAB-node to provide location information (TAC, RNA) to the UEs:</w:t>
      </w:r>
    </w:p>
    <w:p w14:paraId="2B1CA552" w14:textId="77777777" w:rsidR="002A529C" w:rsidRDefault="002A529C" w:rsidP="002A529C">
      <w:pPr>
        <w:rPr>
          <w:lang w:val="en-GB"/>
        </w:rPr>
      </w:pPr>
      <w:r>
        <w:rPr>
          <w:lang w:val="en-GB"/>
        </w:rPr>
        <w:t>Option 1: broadcast a unique TAC/RNA (unchanged during mobile IAB-node’s mobility)</w:t>
      </w:r>
    </w:p>
    <w:p w14:paraId="04FF0FC3" w14:textId="77777777" w:rsidR="002A529C" w:rsidRDefault="002A529C" w:rsidP="002A529C">
      <w:pPr>
        <w:rPr>
          <w:lang w:val="en-GB"/>
        </w:rPr>
      </w:pPr>
      <w:r>
        <w:rPr>
          <w:lang w:val="en-GB"/>
        </w:rPr>
        <w:t>Option 2: broadcast the same TAC/RNA as its parent IAB-node or IAB-donor DU (changes during mobile IAB-node’s mobility)</w:t>
      </w:r>
    </w:p>
    <w:p w14:paraId="480C5E91" w14:textId="77777777" w:rsidR="002A529C" w:rsidRDefault="002A529C" w:rsidP="002A529C">
      <w:pPr>
        <w:rPr>
          <w:lang w:val="en-GB"/>
        </w:rPr>
      </w:pPr>
      <w:r>
        <w:rPr>
          <w:lang w:val="en-GB"/>
        </w:rPr>
        <w:t>From UE point of view, both options can be well-supported by existing mechanisms.</w:t>
      </w:r>
    </w:p>
    <w:p w14:paraId="1D94B965" w14:textId="77777777" w:rsidR="002A529C" w:rsidRDefault="002A529C" w:rsidP="002A529C">
      <w:pPr>
        <w:rPr>
          <w:lang w:val="en-GB"/>
        </w:rPr>
      </w:pPr>
      <w:r>
        <w:rPr>
          <w:lang w:val="en-GB"/>
        </w:rPr>
        <w:t xml:space="preserve">For Option 1, the network can use this unique TAC/RNA and send paging messages to the corresponding </w:t>
      </w:r>
      <w:proofErr w:type="gramStart"/>
      <w:r>
        <w:rPr>
          <w:lang w:val="en-GB"/>
        </w:rPr>
        <w:t>UEs</w:t>
      </w:r>
      <w:proofErr w:type="gramEnd"/>
      <w:r>
        <w:rPr>
          <w:lang w:val="en-GB"/>
        </w:rPr>
        <w:t xml:space="preserve"> and UE will not need to preform tracking area update while it is camped on the </w:t>
      </w:r>
      <w:proofErr w:type="spellStart"/>
      <w:r>
        <w:rPr>
          <w:lang w:val="en-GB"/>
        </w:rPr>
        <w:t>mIAB</w:t>
      </w:r>
      <w:proofErr w:type="spellEnd"/>
      <w:r>
        <w:rPr>
          <w:lang w:val="en-GB"/>
        </w:rPr>
        <w:t xml:space="preserve"> node. </w:t>
      </w:r>
      <w:proofErr w:type="gramStart"/>
      <w:r>
        <w:rPr>
          <w:lang w:val="en-GB"/>
        </w:rPr>
        <w:t>However</w:t>
      </w:r>
      <w:proofErr w:type="gramEnd"/>
      <w:r>
        <w:rPr>
          <w:lang w:val="en-GB"/>
        </w:rPr>
        <w:t xml:space="preserve"> the consequences of mapping this unique TAC to different geographic area due to mobile IAB-node’s mobility should be studied in SA2. </w:t>
      </w:r>
    </w:p>
    <w:p w14:paraId="6D990D90" w14:textId="77777777" w:rsidR="002A529C" w:rsidRDefault="002A529C" w:rsidP="002A529C">
      <w:pPr>
        <w:rPr>
          <w:lang w:val="en-GB"/>
        </w:rPr>
      </w:pPr>
      <w:r>
        <w:rPr>
          <w:lang w:val="en-GB"/>
        </w:rPr>
        <w:t xml:space="preserve">Since RNA is a subdivision of the TAC, its handling is dependent on the TAC design.  The design of RNA mapping to different geographic area can follow the same principle as TAC discussion in SA2. </w:t>
      </w:r>
    </w:p>
    <w:p w14:paraId="23AA3E28" w14:textId="4C111CD3" w:rsidR="002A529C" w:rsidRDefault="002A529C" w:rsidP="000925FC">
      <w:pPr>
        <w:pStyle w:val="Obs-prop"/>
      </w:pPr>
      <w:r w:rsidRPr="002A529C">
        <w:t>Observation</w:t>
      </w:r>
      <w:r w:rsidRPr="00604572">
        <w:t xml:space="preserve"> </w:t>
      </w:r>
      <w:r w:rsidR="001E72DC">
        <w:t>4</w:t>
      </w:r>
      <w:r w:rsidRPr="00604572">
        <w:t>: How</w:t>
      </w:r>
      <w:r>
        <w:t>/whether</w:t>
      </w:r>
      <w:r w:rsidRPr="00604572">
        <w:t xml:space="preserve"> to use a unique/unchanged TAC </w:t>
      </w:r>
      <w:r>
        <w:t xml:space="preserve">for a </w:t>
      </w:r>
      <w:proofErr w:type="spellStart"/>
      <w:r>
        <w:t>mIAB</w:t>
      </w:r>
      <w:proofErr w:type="spellEnd"/>
      <w:r>
        <w:t xml:space="preserve"> cell while moving in </w:t>
      </w:r>
      <w:r w:rsidRPr="00604572">
        <w:t>different geographic area</w:t>
      </w:r>
      <w:r>
        <w:t>s</w:t>
      </w:r>
      <w:r w:rsidRPr="00604572">
        <w:t xml:space="preserve"> should be studied in SA2.</w:t>
      </w:r>
    </w:p>
    <w:p w14:paraId="551F4D49" w14:textId="77777777" w:rsidR="002A529C" w:rsidRDefault="002A529C" w:rsidP="002A529C">
      <w:pPr>
        <w:rPr>
          <w:lang w:val="en-GB"/>
        </w:rPr>
      </w:pPr>
      <w:r>
        <w:rPr>
          <w:lang w:val="en-GB"/>
        </w:rPr>
        <w:t xml:space="preserve">For Option 2, when the mobile IAB-node broadcasts the same TAC/RNA as its parent IAB-node or IAB-donor DU, for the UEs.  There are (at least) two areas to address.  One is about having to update the TAC/RNA in the SIB to match the TAC/RNA of the neighbouring cells while the </w:t>
      </w:r>
      <w:proofErr w:type="spellStart"/>
      <w:r>
        <w:rPr>
          <w:lang w:val="en-GB"/>
        </w:rPr>
        <w:t>mIAB</w:t>
      </w:r>
      <w:proofErr w:type="spellEnd"/>
      <w:r>
        <w:rPr>
          <w:lang w:val="en-GB"/>
        </w:rPr>
        <w:t xml:space="preserve"> node is moving around.  From </w:t>
      </w:r>
      <w:proofErr w:type="spellStart"/>
      <w:r>
        <w:rPr>
          <w:lang w:val="en-GB"/>
        </w:rPr>
        <w:t>Uu</w:t>
      </w:r>
      <w:proofErr w:type="spellEnd"/>
      <w:r>
        <w:rPr>
          <w:lang w:val="en-GB"/>
        </w:rPr>
        <w:t xml:space="preserve"> point of view, the frequent update of the TAC/RNA in SIB1 should not cause big problems.  RAN3/SA2 may need to evaluate how the neighbouring TAC/RNA information is updated in the </w:t>
      </w:r>
      <w:proofErr w:type="spellStart"/>
      <w:r>
        <w:rPr>
          <w:lang w:val="en-GB"/>
        </w:rPr>
        <w:t>mIAB</w:t>
      </w:r>
      <w:proofErr w:type="spellEnd"/>
      <w:r>
        <w:rPr>
          <w:lang w:val="en-GB"/>
        </w:rPr>
        <w:t xml:space="preserve"> node.  </w:t>
      </w:r>
    </w:p>
    <w:p w14:paraId="2CE4D1AC" w14:textId="560634E2" w:rsidR="002A529C" w:rsidRDefault="002A529C" w:rsidP="002A529C">
      <w:pPr>
        <w:rPr>
          <w:lang w:val="en-GB"/>
        </w:rPr>
      </w:pPr>
      <w:r>
        <w:rPr>
          <w:lang w:val="en-GB"/>
        </w:rPr>
        <w:t xml:space="preserve">The other concern is that the group of UEs inside of mobile IAB-node may need to send tracking area update to the network at the same time, which may cause congestion. However, the same problem also occurs when considering massive number of UEs served by high-speed train </w:t>
      </w:r>
      <w:r w:rsidR="001837B3">
        <w:rPr>
          <w:lang w:val="en-GB"/>
        </w:rPr>
        <w:t>performing</w:t>
      </w:r>
      <w:r>
        <w:rPr>
          <w:lang w:val="en-GB"/>
        </w:rPr>
        <w:t xml:space="preserve"> the tracking area</w:t>
      </w:r>
      <w:r w:rsidR="001837B3">
        <w:rPr>
          <w:lang w:val="en-GB"/>
        </w:rPr>
        <w:t xml:space="preserve"> update</w:t>
      </w:r>
      <w:r>
        <w:rPr>
          <w:lang w:val="en-GB"/>
        </w:rPr>
        <w:t xml:space="preserve"> simultaneously when a train arrives at a station and passengers come out of the train. For such scenario, the existing congestion control mechanism can support it well without further optimization, regardless the frequency of changing tracking area or simultaneous messages of tracking area update. </w:t>
      </w:r>
    </w:p>
    <w:p w14:paraId="614C7964" w14:textId="54F2B345" w:rsidR="002A529C" w:rsidRDefault="002A529C" w:rsidP="000925FC">
      <w:pPr>
        <w:pStyle w:val="Obs-prop"/>
      </w:pPr>
      <w:r w:rsidRPr="00604572">
        <w:t xml:space="preserve">Observation </w:t>
      </w:r>
      <w:r w:rsidR="001E72DC">
        <w:t>5</w:t>
      </w:r>
      <w:r w:rsidRPr="00604572">
        <w:t xml:space="preserve">: </w:t>
      </w:r>
      <w:r>
        <w:t>If mobile IAB-node broadcasts the same TAC/RNA as its parent IAB-node, the existing congestion control mechanism can well-support for frequent and large number of tracking area updates from group of served UEs.</w:t>
      </w:r>
    </w:p>
    <w:p w14:paraId="4DD9DD39" w14:textId="77777777" w:rsidR="002A529C" w:rsidRDefault="002A529C" w:rsidP="002A529C">
      <w:pPr>
        <w:rPr>
          <w:lang w:val="en-GB"/>
        </w:rPr>
      </w:pPr>
      <w:r>
        <w:rPr>
          <w:lang w:val="en-GB"/>
        </w:rPr>
        <w:t>Therefore, from RAN2 point of view, both changed/unchanged TAC/RNA can be supported without further optimization. How to design TAC of the mobile IAB-node is a SA2/RAN3 decision.</w:t>
      </w:r>
    </w:p>
    <w:p w14:paraId="3A08C320" w14:textId="52C4C1B1" w:rsidR="002A529C" w:rsidRPr="00B2406C" w:rsidRDefault="002A529C" w:rsidP="000925FC">
      <w:pPr>
        <w:pStyle w:val="Obs-prop"/>
      </w:pPr>
      <w:r w:rsidRPr="00B2406C">
        <w:t xml:space="preserve">Proposal </w:t>
      </w:r>
      <w:r w:rsidR="001E72DC">
        <w:t>4</w:t>
      </w:r>
      <w:r w:rsidRPr="00B2406C">
        <w:t xml:space="preserve">: </w:t>
      </w:r>
      <w:r w:rsidRPr="001837B3">
        <w:t>RAN2</w:t>
      </w:r>
      <w:r w:rsidRPr="00B2406C">
        <w:t xml:space="preserve"> to conclude that both changed and unchanged TAC/RNA of mobile IAB-node can be supported by existing mechanism. How to design TAC of the mobile IAB-node is left to SA2</w:t>
      </w:r>
      <w:r>
        <w:t>/RAN3</w:t>
      </w:r>
      <w:r w:rsidRPr="00B2406C">
        <w:t>.</w:t>
      </w:r>
    </w:p>
    <w:p w14:paraId="4A437F05" w14:textId="77777777" w:rsidR="00364EFA" w:rsidRPr="00AF5CBA" w:rsidRDefault="00364EFA" w:rsidP="00C21771">
      <w:pPr>
        <w:rPr>
          <w:rFonts w:cstheme="minorHAnsi"/>
        </w:rPr>
      </w:pPr>
    </w:p>
    <w:p w14:paraId="2D3797AA" w14:textId="77777777" w:rsidR="00017FC6" w:rsidRPr="00AF5CBA" w:rsidRDefault="00017FC6" w:rsidP="00017FC6">
      <w:pPr>
        <w:pStyle w:val="Heading1"/>
        <w:rPr>
          <w:rFonts w:asciiTheme="minorHAnsi" w:hAnsiTheme="minorHAnsi" w:cstheme="minorHAnsi"/>
        </w:rPr>
      </w:pPr>
      <w:r w:rsidRPr="00AF5CBA">
        <w:rPr>
          <w:rFonts w:asciiTheme="minorHAnsi" w:hAnsiTheme="minorHAnsi" w:cstheme="minorHAnsi"/>
        </w:rPr>
        <w:t>Conclusion</w:t>
      </w:r>
    </w:p>
    <w:p w14:paraId="48C21BF1" w14:textId="51E580E6" w:rsidR="00025E78" w:rsidRPr="00AF5CBA" w:rsidRDefault="00017FC6" w:rsidP="00025E78">
      <w:pPr>
        <w:rPr>
          <w:rFonts w:cstheme="minorHAnsi"/>
        </w:rPr>
      </w:pPr>
      <w:r w:rsidRPr="00AF5CBA">
        <w:rPr>
          <w:rFonts w:cstheme="minorHAnsi"/>
        </w:rPr>
        <w:t xml:space="preserve">In this contribution, </w:t>
      </w:r>
      <w:r w:rsidR="00025E78" w:rsidRPr="00AF5CBA">
        <w:rPr>
          <w:rFonts w:cstheme="minorHAnsi"/>
        </w:rPr>
        <w:t>we mainly</w:t>
      </w:r>
      <w:r w:rsidR="00F53B17" w:rsidRPr="00AF5CBA">
        <w:rPr>
          <w:rFonts w:cstheme="minorHAnsi"/>
        </w:rPr>
        <w:t xml:space="preserve"> discussed </w:t>
      </w:r>
      <w:r w:rsidR="00B92BE0" w:rsidRPr="00AF5CBA">
        <w:rPr>
          <w:rFonts w:cstheme="minorHAnsi"/>
        </w:rPr>
        <w:t>RAN2 impacts of mobile IAB-node full migration</w:t>
      </w:r>
      <w:r w:rsidR="00EC761E">
        <w:rPr>
          <w:rFonts w:cstheme="minorHAnsi"/>
        </w:rPr>
        <w:t xml:space="preserve">.  </w:t>
      </w:r>
      <w:r w:rsidR="00B92BE0" w:rsidRPr="00AF5CBA">
        <w:rPr>
          <w:rFonts w:cstheme="minorHAnsi"/>
        </w:rPr>
        <w:t xml:space="preserve">Additionally, we also discussed </w:t>
      </w:r>
      <w:r w:rsidR="00EC761E" w:rsidRPr="00AF5CBA">
        <w:rPr>
          <w:rFonts w:cstheme="minorHAnsi"/>
        </w:rPr>
        <w:t xml:space="preserve">PCI handling, </w:t>
      </w:r>
      <w:r w:rsidR="00EC761E">
        <w:rPr>
          <w:rFonts w:cstheme="minorHAnsi"/>
        </w:rPr>
        <w:t>and</w:t>
      </w:r>
      <w:r w:rsidR="00EC761E" w:rsidRPr="00AF5CBA">
        <w:rPr>
          <w:rFonts w:cstheme="minorHAnsi"/>
        </w:rPr>
        <w:t xml:space="preserve"> </w:t>
      </w:r>
      <w:r w:rsidR="00B92BE0" w:rsidRPr="00AF5CBA">
        <w:rPr>
          <w:rFonts w:cstheme="minorHAnsi"/>
        </w:rPr>
        <w:t xml:space="preserve">topology integration </w:t>
      </w:r>
      <w:r w:rsidR="006D670B" w:rsidRPr="00AF5CBA">
        <w:rPr>
          <w:rFonts w:cstheme="minorHAnsi"/>
        </w:rPr>
        <w:t>of mobile IAB-node</w:t>
      </w:r>
      <w:r w:rsidR="001E1C89" w:rsidRPr="00AF5CBA">
        <w:rPr>
          <w:rFonts w:cstheme="minorHAnsi"/>
        </w:rPr>
        <w:t>.</w:t>
      </w:r>
    </w:p>
    <w:p w14:paraId="29F86272" w14:textId="3CD84A56" w:rsidR="00742A32" w:rsidRDefault="00742A32" w:rsidP="00742A32">
      <w:pPr>
        <w:rPr>
          <w:rFonts w:cstheme="minorHAnsi"/>
        </w:rPr>
      </w:pPr>
      <w:r w:rsidRPr="00AF5CBA">
        <w:rPr>
          <w:rFonts w:cstheme="minorHAnsi"/>
        </w:rPr>
        <w:t>We propose following observations and proposals:</w:t>
      </w:r>
    </w:p>
    <w:p w14:paraId="1AF7B2DC" w14:textId="77777777" w:rsidR="001E72DC" w:rsidRPr="001E72DC" w:rsidRDefault="001E72DC" w:rsidP="001E72DC">
      <w:pPr>
        <w:pStyle w:val="Obs-prop"/>
        <w:rPr>
          <w:rFonts w:cstheme="minorHAnsi"/>
          <w:b w:val="0"/>
          <w:bCs w:val="0"/>
          <w:lang w:eastAsia="zh-CN"/>
        </w:rPr>
      </w:pPr>
      <w:r w:rsidRPr="001E72DC">
        <w:rPr>
          <w:rFonts w:cstheme="minorHAnsi"/>
          <w:lang w:eastAsia="zh-CN"/>
        </w:rPr>
        <w:t>Observation 1:</w:t>
      </w:r>
      <w:r w:rsidRPr="001E72DC">
        <w:rPr>
          <w:rFonts w:cstheme="minorHAnsi"/>
          <w:b w:val="0"/>
          <w:bCs w:val="0"/>
          <w:lang w:eastAsia="zh-CN"/>
        </w:rPr>
        <w:t xml:space="preserve"> RAN2 can focus on the partial migration based full migration (</w:t>
      </w:r>
      <w:proofErr w:type="gramStart"/>
      <w:r w:rsidRPr="001E72DC">
        <w:rPr>
          <w:rFonts w:cstheme="minorHAnsi"/>
          <w:b w:val="0"/>
          <w:bCs w:val="0"/>
          <w:lang w:eastAsia="zh-CN"/>
        </w:rPr>
        <w:t>i.e.</w:t>
      </w:r>
      <w:proofErr w:type="gramEnd"/>
      <w:r w:rsidRPr="001E72DC">
        <w:rPr>
          <w:rFonts w:cstheme="minorHAnsi"/>
          <w:b w:val="0"/>
          <w:bCs w:val="0"/>
          <w:lang w:eastAsia="zh-CN"/>
        </w:rPr>
        <w:t xml:space="preserve"> dual-DU way of doing full migration) while we wait for RAN3 discussion and conclusion on the need for standalone full migration.</w:t>
      </w:r>
    </w:p>
    <w:p w14:paraId="2B9572EC" w14:textId="77777777" w:rsidR="001E72DC" w:rsidRPr="001E72DC" w:rsidRDefault="001E72DC" w:rsidP="001E72DC">
      <w:pPr>
        <w:pStyle w:val="Obs-prop"/>
        <w:rPr>
          <w:b w:val="0"/>
          <w:bCs w:val="0"/>
          <w:lang w:eastAsia="zh-CN"/>
        </w:rPr>
      </w:pPr>
      <w:r w:rsidRPr="001E72DC">
        <w:rPr>
          <w:lang w:eastAsia="zh-CN"/>
        </w:rPr>
        <w:t>Observation 2:</w:t>
      </w:r>
      <w:r w:rsidRPr="001E72DC">
        <w:rPr>
          <w:b w:val="0"/>
          <w:bCs w:val="0"/>
          <w:lang w:eastAsia="zh-CN"/>
        </w:rPr>
        <w:t xml:space="preserve"> Partial migration based full migration is based on multiple logical DUs during the migration.</w:t>
      </w:r>
    </w:p>
    <w:p w14:paraId="5581A219" w14:textId="15CFB16F" w:rsidR="00565494" w:rsidRPr="00565494" w:rsidRDefault="00565494" w:rsidP="00565494">
      <w:pPr>
        <w:pStyle w:val="Obs-prop"/>
        <w:rPr>
          <w:b w:val="0"/>
        </w:rPr>
      </w:pPr>
      <w:r w:rsidRPr="4626EA64">
        <w:t>Proposal 1:</w:t>
      </w:r>
      <w:r w:rsidRPr="4626EA64">
        <w:rPr>
          <w:b w:val="0"/>
        </w:rPr>
        <w:t xml:space="preserve"> For partial migration based full migration, legacy handover procedure can be used (from RAN2 </w:t>
      </w:r>
      <w:r w:rsidR="6A0E26D6" w:rsidRPr="4626EA64">
        <w:rPr>
          <w:b w:val="0"/>
          <w:bCs w:val="0"/>
        </w:rPr>
        <w:t>perspective</w:t>
      </w:r>
      <w:r w:rsidRPr="4626EA64">
        <w:rPr>
          <w:b w:val="0"/>
        </w:rPr>
        <w:t xml:space="preserve">) to switch served UEs from one logical mobile IAB-DU/cell (the source IAB-donor-CU) to another logical mobile IAB-DU/cell (the target IAB-donor-CU) in the same </w:t>
      </w:r>
      <w:proofErr w:type="spellStart"/>
      <w:r w:rsidRPr="4626EA64">
        <w:rPr>
          <w:b w:val="0"/>
        </w:rPr>
        <w:t>mIAB</w:t>
      </w:r>
      <w:proofErr w:type="spellEnd"/>
      <w:r w:rsidRPr="4626EA64">
        <w:rPr>
          <w:b w:val="0"/>
        </w:rPr>
        <w:t xml:space="preserve"> node.  The source IAB-donor CU can gradually trigger served UEs’ handover to avoid congestion.  </w:t>
      </w:r>
    </w:p>
    <w:p w14:paraId="3B99E0E2" w14:textId="77777777" w:rsidR="001E72DC" w:rsidRPr="001E72DC" w:rsidRDefault="001E72DC" w:rsidP="001E72DC">
      <w:pPr>
        <w:pStyle w:val="Obs-prop"/>
        <w:rPr>
          <w:rFonts w:cstheme="minorHAnsi"/>
          <w:b w:val="0"/>
          <w:bCs w:val="0"/>
          <w:lang w:eastAsia="zh-CN"/>
        </w:rPr>
      </w:pPr>
      <w:r w:rsidRPr="001E72DC">
        <w:rPr>
          <w:rFonts w:cstheme="minorHAnsi"/>
          <w:lang w:eastAsia="zh-CN"/>
        </w:rPr>
        <w:t>Observation 3:</w:t>
      </w:r>
      <w:r w:rsidRPr="001E72DC">
        <w:rPr>
          <w:rFonts w:cstheme="minorHAnsi"/>
          <w:b w:val="0"/>
          <w:bCs w:val="0"/>
          <w:lang w:eastAsia="zh-CN"/>
        </w:rPr>
        <w:t xml:space="preserve"> The SIB contents of the two cells of the two logical DUs are different (at least the NCGI) and they should be treated as two different cells even if the PCIs are the same.</w:t>
      </w:r>
    </w:p>
    <w:p w14:paraId="1955067C" w14:textId="77777777" w:rsidR="001E72DC" w:rsidRPr="001E72DC" w:rsidRDefault="001E72DC" w:rsidP="001E72DC">
      <w:pPr>
        <w:pStyle w:val="Obs-prop"/>
        <w:rPr>
          <w:rFonts w:cstheme="minorHAnsi"/>
          <w:b w:val="0"/>
          <w:bCs w:val="0"/>
        </w:rPr>
      </w:pPr>
      <w:r w:rsidRPr="00565494">
        <w:rPr>
          <w:rFonts w:cstheme="minorHAnsi"/>
        </w:rPr>
        <w:t>Proposal 2:</w:t>
      </w:r>
      <w:r w:rsidRPr="001E72DC">
        <w:rPr>
          <w:rFonts w:cstheme="minorHAnsi"/>
          <w:b w:val="0"/>
          <w:bCs w:val="0"/>
        </w:rPr>
        <w:t xml:space="preserve"> Discuss if an LS should be sent to RAN1/4 to get confirmation from RAN1/4 on the feasibility of total overlapping cells on the same frequency with different or same PCI.  And whether handover between them can be supported by legacy UEs from RAN1/4 specification point of view.   </w:t>
      </w:r>
    </w:p>
    <w:p w14:paraId="6DE6885A" w14:textId="77777777" w:rsidR="001E72DC" w:rsidRPr="001E72DC" w:rsidRDefault="001E72DC" w:rsidP="001E72DC">
      <w:pPr>
        <w:pStyle w:val="Obs-prop"/>
        <w:rPr>
          <w:b w:val="0"/>
          <w:bCs w:val="0"/>
        </w:rPr>
      </w:pPr>
      <w:r w:rsidRPr="001E72DC">
        <w:t>Proposal 3:</w:t>
      </w:r>
      <w:r w:rsidRPr="001E72DC">
        <w:rPr>
          <w:b w:val="0"/>
          <w:bCs w:val="0"/>
        </w:rPr>
        <w:t xml:space="preserve"> Current ANR procedure is sufficient for PCI collision detection for </w:t>
      </w:r>
      <w:proofErr w:type="spellStart"/>
      <w:r w:rsidRPr="001E72DC">
        <w:rPr>
          <w:b w:val="0"/>
          <w:bCs w:val="0"/>
        </w:rPr>
        <w:t>mIAB</w:t>
      </w:r>
      <w:proofErr w:type="spellEnd"/>
      <w:r w:rsidRPr="001E72DC">
        <w:rPr>
          <w:b w:val="0"/>
          <w:bCs w:val="0"/>
        </w:rPr>
        <w:t>.</w:t>
      </w:r>
    </w:p>
    <w:p w14:paraId="4009E593" w14:textId="77777777" w:rsidR="001E72DC" w:rsidRPr="001E72DC" w:rsidRDefault="001E72DC" w:rsidP="001E72DC">
      <w:pPr>
        <w:pStyle w:val="Obs-prop"/>
        <w:rPr>
          <w:b w:val="0"/>
          <w:bCs w:val="0"/>
        </w:rPr>
      </w:pPr>
      <w:r w:rsidRPr="00F7392E">
        <w:t>Observation 4:</w:t>
      </w:r>
      <w:r w:rsidRPr="001E72DC">
        <w:rPr>
          <w:b w:val="0"/>
          <w:bCs w:val="0"/>
        </w:rPr>
        <w:t xml:space="preserve"> How/whether to use a unique/unchanged TAC for a </w:t>
      </w:r>
      <w:proofErr w:type="spellStart"/>
      <w:r w:rsidRPr="001E72DC">
        <w:rPr>
          <w:b w:val="0"/>
          <w:bCs w:val="0"/>
        </w:rPr>
        <w:t>mIAB</w:t>
      </w:r>
      <w:proofErr w:type="spellEnd"/>
      <w:r w:rsidRPr="001E72DC">
        <w:rPr>
          <w:b w:val="0"/>
          <w:bCs w:val="0"/>
        </w:rPr>
        <w:t xml:space="preserve"> cell while moving in different geographic areas should be studied in SA2.</w:t>
      </w:r>
    </w:p>
    <w:p w14:paraId="56B8FC10" w14:textId="77777777" w:rsidR="001E72DC" w:rsidRPr="001E72DC" w:rsidRDefault="001E72DC" w:rsidP="001E72DC">
      <w:pPr>
        <w:pStyle w:val="Obs-prop"/>
        <w:rPr>
          <w:b w:val="0"/>
          <w:bCs w:val="0"/>
        </w:rPr>
      </w:pPr>
      <w:r w:rsidRPr="001E72DC">
        <w:t>Observation 5:</w:t>
      </w:r>
      <w:r w:rsidRPr="001E72DC">
        <w:rPr>
          <w:b w:val="0"/>
          <w:bCs w:val="0"/>
        </w:rPr>
        <w:t xml:space="preserve"> If mobile IAB-node broadcasts the same TAC/RNA as its parent IAB-node, the existing congestion control mechanism can well-support for frequent and large number of tracking area updates from group of served UEs.</w:t>
      </w:r>
    </w:p>
    <w:p w14:paraId="11AACC7B" w14:textId="77777777" w:rsidR="001E72DC" w:rsidRPr="001E72DC" w:rsidRDefault="001E72DC" w:rsidP="001E72DC">
      <w:pPr>
        <w:pStyle w:val="Obs-prop"/>
        <w:rPr>
          <w:b w:val="0"/>
          <w:bCs w:val="0"/>
        </w:rPr>
      </w:pPr>
      <w:r w:rsidRPr="001E72DC">
        <w:t>Proposal 4:</w:t>
      </w:r>
      <w:r w:rsidRPr="001E72DC">
        <w:rPr>
          <w:b w:val="0"/>
          <w:bCs w:val="0"/>
        </w:rPr>
        <w:t xml:space="preserve"> RAN2 to conclude that both changed and unchanged TAC/RNA of mobile IAB-node can be supported by existing mechanism. How to design TAC of the mobile IAB-node is left to SA2/RAN3.</w:t>
      </w:r>
    </w:p>
    <w:p w14:paraId="50A8A453" w14:textId="77777777" w:rsidR="001E72DC" w:rsidRDefault="001E72DC" w:rsidP="00742A32">
      <w:pPr>
        <w:rPr>
          <w:rFonts w:cstheme="minorHAnsi"/>
        </w:rPr>
      </w:pPr>
    </w:p>
    <w:p w14:paraId="0F50A711" w14:textId="77777777" w:rsidR="00017FC6" w:rsidRPr="00AF5CBA" w:rsidRDefault="00017FC6" w:rsidP="00017FC6">
      <w:pPr>
        <w:pStyle w:val="Heading1"/>
        <w:rPr>
          <w:rFonts w:asciiTheme="minorHAnsi" w:hAnsiTheme="minorHAnsi" w:cstheme="minorHAnsi"/>
        </w:rPr>
      </w:pPr>
      <w:r w:rsidRPr="00AF5CBA">
        <w:rPr>
          <w:rFonts w:asciiTheme="minorHAnsi" w:hAnsiTheme="minorHAnsi" w:cstheme="minorHAnsi"/>
        </w:rPr>
        <w:t>References</w:t>
      </w:r>
    </w:p>
    <w:p w14:paraId="61EBFB1C" w14:textId="45EBD8F6" w:rsidR="00C44528" w:rsidRPr="00AF5CBA" w:rsidRDefault="006D4B70" w:rsidP="00C44528">
      <w:pPr>
        <w:pStyle w:val="ListParagraph"/>
        <w:numPr>
          <w:ilvl w:val="0"/>
          <w:numId w:val="5"/>
        </w:numPr>
        <w:rPr>
          <w:rFonts w:asciiTheme="minorHAnsi" w:hAnsiTheme="minorHAnsi" w:cstheme="minorHAnsi"/>
          <w:sz w:val="20"/>
          <w:szCs w:val="20"/>
        </w:rPr>
      </w:pPr>
      <w:r w:rsidRPr="006D4B70">
        <w:rPr>
          <w:rFonts w:asciiTheme="minorHAnsi" w:hAnsiTheme="minorHAnsi" w:cstheme="minorHAnsi"/>
          <w:sz w:val="20"/>
          <w:szCs w:val="20"/>
        </w:rPr>
        <w:t>R2-2209640</w:t>
      </w:r>
      <w:r w:rsidRPr="006D4B70">
        <w:rPr>
          <w:rFonts w:asciiTheme="minorHAnsi" w:hAnsiTheme="minorHAnsi" w:cstheme="minorHAnsi"/>
          <w:sz w:val="20"/>
          <w:szCs w:val="20"/>
        </w:rPr>
        <w:tab/>
        <w:t>Mobility Enhancement of mobile IAB-node and served UEs</w:t>
      </w:r>
      <w:r w:rsidR="00F85C5B" w:rsidRPr="00AF5CBA">
        <w:rPr>
          <w:rFonts w:asciiTheme="minorHAnsi" w:hAnsiTheme="minorHAnsi" w:cstheme="minorHAnsi"/>
          <w:sz w:val="20"/>
          <w:szCs w:val="20"/>
        </w:rPr>
        <w:t>, Intel Corporation</w:t>
      </w:r>
    </w:p>
    <w:p w14:paraId="1490A337" w14:textId="05642960" w:rsidR="00F7441C" w:rsidRPr="00AF5CBA" w:rsidRDefault="00F7441C" w:rsidP="00C44528">
      <w:pPr>
        <w:pStyle w:val="ListParagraph"/>
        <w:numPr>
          <w:ilvl w:val="0"/>
          <w:numId w:val="5"/>
        </w:numPr>
        <w:rPr>
          <w:rFonts w:asciiTheme="minorHAnsi" w:hAnsiTheme="minorHAnsi" w:cstheme="minorHAnsi"/>
          <w:sz w:val="20"/>
          <w:szCs w:val="20"/>
        </w:rPr>
      </w:pPr>
      <w:r w:rsidRPr="00AF5CBA">
        <w:rPr>
          <w:rFonts w:asciiTheme="minorHAnsi" w:hAnsiTheme="minorHAnsi" w:cstheme="minorHAnsi"/>
          <w:sz w:val="20"/>
          <w:szCs w:val="20"/>
        </w:rPr>
        <w:t>R2-2109320</w:t>
      </w:r>
      <w:r w:rsidR="00AE4547" w:rsidRPr="00AF5CBA">
        <w:rPr>
          <w:rFonts w:asciiTheme="minorHAnsi" w:hAnsiTheme="minorHAnsi" w:cstheme="minorHAnsi"/>
          <w:sz w:val="20"/>
          <w:szCs w:val="20"/>
        </w:rPr>
        <w:t>, Reply LS on Inter-donor migration</w:t>
      </w:r>
    </w:p>
    <w:p w14:paraId="2A7FE5C5" w14:textId="77777777" w:rsidR="00FC54D3" w:rsidRPr="006D4B70" w:rsidRDefault="00FC54D3" w:rsidP="006D4B70">
      <w:pPr>
        <w:pStyle w:val="ListParagraph"/>
        <w:numPr>
          <w:ilvl w:val="0"/>
          <w:numId w:val="5"/>
        </w:numPr>
        <w:rPr>
          <w:rFonts w:asciiTheme="minorHAnsi" w:hAnsiTheme="minorHAnsi" w:cstheme="minorHAnsi"/>
          <w:sz w:val="20"/>
          <w:szCs w:val="20"/>
        </w:rPr>
      </w:pPr>
      <w:r w:rsidRPr="006D4B70">
        <w:rPr>
          <w:rFonts w:asciiTheme="minorHAnsi" w:hAnsiTheme="minorHAnsi" w:cstheme="minorHAnsi"/>
          <w:sz w:val="20"/>
          <w:szCs w:val="20"/>
        </w:rPr>
        <w:t>R1-2108529, Reply LS on Inter-donor migration, RAN1</w:t>
      </w:r>
    </w:p>
    <w:p w14:paraId="079E9188" w14:textId="77777777" w:rsidR="00FC54D3" w:rsidRPr="006D4B70" w:rsidRDefault="00FC54D3" w:rsidP="006D4B70">
      <w:pPr>
        <w:pStyle w:val="ListParagraph"/>
        <w:numPr>
          <w:ilvl w:val="0"/>
          <w:numId w:val="5"/>
        </w:numPr>
        <w:rPr>
          <w:rFonts w:asciiTheme="minorHAnsi" w:hAnsiTheme="minorHAnsi" w:cstheme="minorHAnsi"/>
          <w:sz w:val="20"/>
          <w:szCs w:val="20"/>
        </w:rPr>
      </w:pPr>
      <w:r w:rsidRPr="006D4B70">
        <w:rPr>
          <w:rFonts w:asciiTheme="minorHAnsi" w:hAnsiTheme="minorHAnsi" w:cstheme="minorHAnsi"/>
          <w:sz w:val="20"/>
          <w:szCs w:val="20"/>
        </w:rPr>
        <w:t>R2-2109143, Reply LS on Inter-donor migration, RAN2</w:t>
      </w:r>
    </w:p>
    <w:p w14:paraId="6941D583" w14:textId="4ABA5D87" w:rsidR="00FC54D3" w:rsidRPr="006D4B70" w:rsidRDefault="00FC54D3" w:rsidP="006D4B70">
      <w:pPr>
        <w:pStyle w:val="ListParagraph"/>
        <w:numPr>
          <w:ilvl w:val="0"/>
          <w:numId w:val="5"/>
        </w:numPr>
        <w:rPr>
          <w:rFonts w:asciiTheme="minorHAnsi" w:hAnsiTheme="minorHAnsi" w:cstheme="minorHAnsi"/>
          <w:sz w:val="20"/>
          <w:szCs w:val="20"/>
        </w:rPr>
      </w:pPr>
      <w:r w:rsidRPr="006D4B70">
        <w:rPr>
          <w:rFonts w:asciiTheme="minorHAnsi" w:hAnsiTheme="minorHAnsi" w:cstheme="minorHAnsi"/>
          <w:sz w:val="20"/>
          <w:szCs w:val="20"/>
        </w:rPr>
        <w:t>R4-2115354, Reply LS on Inter-donor migration, RAN4</w:t>
      </w:r>
    </w:p>
    <w:p w14:paraId="6AA2EB11" w14:textId="138B6A14" w:rsidR="006D4B70" w:rsidRPr="00AF5CBA" w:rsidRDefault="006D4B70" w:rsidP="006D4B70">
      <w:pPr>
        <w:ind w:left="360"/>
        <w:rPr>
          <w:rFonts w:cstheme="minorHAnsi"/>
          <w:lang w:eastAsia="zh-CN"/>
        </w:rPr>
      </w:pPr>
    </w:p>
    <w:p w14:paraId="6DDA6BC8" w14:textId="1ABA61BF" w:rsidR="005D76C4" w:rsidRPr="00EC761E" w:rsidRDefault="005D76C4" w:rsidP="00EC761E">
      <w:pPr>
        <w:ind w:left="360"/>
        <w:rPr>
          <w:rFonts w:cstheme="minorHAnsi"/>
        </w:rPr>
      </w:pPr>
    </w:p>
    <w:sectPr w:rsidR="005D76C4" w:rsidRPr="00EC76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102B" w14:textId="77777777" w:rsidR="00D81D17" w:rsidRDefault="00D81D17" w:rsidP="00094E6A">
      <w:pPr>
        <w:spacing w:after="0"/>
      </w:pPr>
      <w:r>
        <w:separator/>
      </w:r>
    </w:p>
  </w:endnote>
  <w:endnote w:type="continuationSeparator" w:id="0">
    <w:p w14:paraId="1F9EDDB7" w14:textId="77777777" w:rsidR="00D81D17" w:rsidRDefault="00D81D17" w:rsidP="00094E6A">
      <w:pPr>
        <w:spacing w:after="0"/>
      </w:pPr>
      <w:r>
        <w:continuationSeparator/>
      </w:r>
    </w:p>
  </w:endnote>
  <w:endnote w:type="continuationNotice" w:id="1">
    <w:p w14:paraId="6FAD54DE" w14:textId="77777777" w:rsidR="00D81D17" w:rsidRDefault="00D81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nSymbol10">
    <w:altName w:val="Cambria"/>
    <w:charset w:val="00"/>
    <w:family w:val="roman"/>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5CDC6" w14:textId="77777777" w:rsidR="00D81D17" w:rsidRDefault="00D81D17" w:rsidP="00094E6A">
      <w:pPr>
        <w:spacing w:after="0"/>
      </w:pPr>
      <w:r>
        <w:separator/>
      </w:r>
    </w:p>
  </w:footnote>
  <w:footnote w:type="continuationSeparator" w:id="0">
    <w:p w14:paraId="416AE8FE" w14:textId="77777777" w:rsidR="00D81D17" w:rsidRDefault="00D81D17" w:rsidP="00094E6A">
      <w:pPr>
        <w:spacing w:after="0"/>
      </w:pPr>
      <w:r>
        <w:continuationSeparator/>
      </w:r>
    </w:p>
  </w:footnote>
  <w:footnote w:type="continuationNotice" w:id="1">
    <w:p w14:paraId="6B28C65E" w14:textId="77777777" w:rsidR="00D81D17" w:rsidRDefault="00D81D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7E3D99"/>
    <w:multiLevelType w:val="hybridMultilevel"/>
    <w:tmpl w:val="6CC66C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162D2F"/>
    <w:multiLevelType w:val="multilevel"/>
    <w:tmpl w:val="16A4029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3">
      <w:start w:val="1"/>
      <w:numFmt w:val="decimal"/>
      <w:pStyle w:val="Heading4"/>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61FC553B"/>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D12EA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6C322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6"/>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num>
  <w:num w:numId="9">
    <w:abstractNumId w:val="9"/>
  </w:num>
  <w:num w:numId="10">
    <w:abstractNumId w:val="5"/>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FC6"/>
    <w:rsid w:val="00001460"/>
    <w:rsid w:val="00001929"/>
    <w:rsid w:val="00001C9B"/>
    <w:rsid w:val="00002BB7"/>
    <w:rsid w:val="00002D70"/>
    <w:rsid w:val="000039FD"/>
    <w:rsid w:val="0000423A"/>
    <w:rsid w:val="0001154F"/>
    <w:rsid w:val="0001190B"/>
    <w:rsid w:val="00013BEF"/>
    <w:rsid w:val="00015A3B"/>
    <w:rsid w:val="00016354"/>
    <w:rsid w:val="00016EDE"/>
    <w:rsid w:val="00017FC6"/>
    <w:rsid w:val="0002231B"/>
    <w:rsid w:val="00022440"/>
    <w:rsid w:val="00025E78"/>
    <w:rsid w:val="000267DC"/>
    <w:rsid w:val="00031AC3"/>
    <w:rsid w:val="000322AF"/>
    <w:rsid w:val="000323E2"/>
    <w:rsid w:val="00033397"/>
    <w:rsid w:val="000369AD"/>
    <w:rsid w:val="00036DA9"/>
    <w:rsid w:val="000372FF"/>
    <w:rsid w:val="00042A0F"/>
    <w:rsid w:val="000433AF"/>
    <w:rsid w:val="000440C5"/>
    <w:rsid w:val="000454F8"/>
    <w:rsid w:val="0004594A"/>
    <w:rsid w:val="00045DFE"/>
    <w:rsid w:val="00045EBF"/>
    <w:rsid w:val="00050865"/>
    <w:rsid w:val="00051AF7"/>
    <w:rsid w:val="0005226F"/>
    <w:rsid w:val="000540CD"/>
    <w:rsid w:val="0005516D"/>
    <w:rsid w:val="0005751E"/>
    <w:rsid w:val="0006201C"/>
    <w:rsid w:val="00062A9B"/>
    <w:rsid w:val="000637E1"/>
    <w:rsid w:val="0006619D"/>
    <w:rsid w:val="00070265"/>
    <w:rsid w:val="00071180"/>
    <w:rsid w:val="00072091"/>
    <w:rsid w:val="000731E0"/>
    <w:rsid w:val="000743FB"/>
    <w:rsid w:val="00081B91"/>
    <w:rsid w:val="0008391E"/>
    <w:rsid w:val="00083DC4"/>
    <w:rsid w:val="000909E2"/>
    <w:rsid w:val="000915D2"/>
    <w:rsid w:val="00091753"/>
    <w:rsid w:val="000925FC"/>
    <w:rsid w:val="00092C77"/>
    <w:rsid w:val="00093AEA"/>
    <w:rsid w:val="00093DDA"/>
    <w:rsid w:val="00094E6A"/>
    <w:rsid w:val="000963FA"/>
    <w:rsid w:val="00096E8F"/>
    <w:rsid w:val="000A1A97"/>
    <w:rsid w:val="000A1AAC"/>
    <w:rsid w:val="000A1E37"/>
    <w:rsid w:val="000A5E63"/>
    <w:rsid w:val="000B011B"/>
    <w:rsid w:val="000B0966"/>
    <w:rsid w:val="000B0C79"/>
    <w:rsid w:val="000B1312"/>
    <w:rsid w:val="000B1D8B"/>
    <w:rsid w:val="000B1EAD"/>
    <w:rsid w:val="000B27B8"/>
    <w:rsid w:val="000B5316"/>
    <w:rsid w:val="000C093F"/>
    <w:rsid w:val="000C1A5A"/>
    <w:rsid w:val="000C1E8A"/>
    <w:rsid w:val="000C3449"/>
    <w:rsid w:val="000D072A"/>
    <w:rsid w:val="000D1C01"/>
    <w:rsid w:val="000D200B"/>
    <w:rsid w:val="000D5D40"/>
    <w:rsid w:val="000D63A3"/>
    <w:rsid w:val="000E1B51"/>
    <w:rsid w:val="000E3249"/>
    <w:rsid w:val="000E4EB9"/>
    <w:rsid w:val="000E5529"/>
    <w:rsid w:val="000E64BC"/>
    <w:rsid w:val="000E6774"/>
    <w:rsid w:val="000E67A7"/>
    <w:rsid w:val="000E6A0E"/>
    <w:rsid w:val="000E6D8D"/>
    <w:rsid w:val="000E7B9F"/>
    <w:rsid w:val="000E7CFE"/>
    <w:rsid w:val="000E7EC8"/>
    <w:rsid w:val="000F025C"/>
    <w:rsid w:val="000F0285"/>
    <w:rsid w:val="000F1CC0"/>
    <w:rsid w:val="000F554F"/>
    <w:rsid w:val="000F61D8"/>
    <w:rsid w:val="000F6492"/>
    <w:rsid w:val="000F68ED"/>
    <w:rsid w:val="001007F2"/>
    <w:rsid w:val="00105565"/>
    <w:rsid w:val="00107221"/>
    <w:rsid w:val="001108E5"/>
    <w:rsid w:val="00110D3A"/>
    <w:rsid w:val="001113CE"/>
    <w:rsid w:val="0011395D"/>
    <w:rsid w:val="001146ED"/>
    <w:rsid w:val="0011560A"/>
    <w:rsid w:val="0011783D"/>
    <w:rsid w:val="00120860"/>
    <w:rsid w:val="00122AE5"/>
    <w:rsid w:val="001231C6"/>
    <w:rsid w:val="00124176"/>
    <w:rsid w:val="0012599F"/>
    <w:rsid w:val="00126823"/>
    <w:rsid w:val="00130F66"/>
    <w:rsid w:val="00131C86"/>
    <w:rsid w:val="001333FC"/>
    <w:rsid w:val="0013453C"/>
    <w:rsid w:val="00134EA6"/>
    <w:rsid w:val="00135456"/>
    <w:rsid w:val="00140CA5"/>
    <w:rsid w:val="00142BE9"/>
    <w:rsid w:val="00142E31"/>
    <w:rsid w:val="00145799"/>
    <w:rsid w:val="00145E00"/>
    <w:rsid w:val="00147C10"/>
    <w:rsid w:val="00150047"/>
    <w:rsid w:val="00151876"/>
    <w:rsid w:val="0015354F"/>
    <w:rsid w:val="0015378F"/>
    <w:rsid w:val="001568B8"/>
    <w:rsid w:val="00156F7F"/>
    <w:rsid w:val="00162003"/>
    <w:rsid w:val="00163423"/>
    <w:rsid w:val="00174FBA"/>
    <w:rsid w:val="001837B3"/>
    <w:rsid w:val="00184007"/>
    <w:rsid w:val="00184C7E"/>
    <w:rsid w:val="001862EA"/>
    <w:rsid w:val="00186323"/>
    <w:rsid w:val="00186720"/>
    <w:rsid w:val="001937AD"/>
    <w:rsid w:val="00193B20"/>
    <w:rsid w:val="001954A1"/>
    <w:rsid w:val="0019598E"/>
    <w:rsid w:val="00197910"/>
    <w:rsid w:val="001A1D21"/>
    <w:rsid w:val="001A49F8"/>
    <w:rsid w:val="001A521C"/>
    <w:rsid w:val="001A6617"/>
    <w:rsid w:val="001A73D8"/>
    <w:rsid w:val="001A7C23"/>
    <w:rsid w:val="001B39BE"/>
    <w:rsid w:val="001B5AAE"/>
    <w:rsid w:val="001B6DBD"/>
    <w:rsid w:val="001B6E09"/>
    <w:rsid w:val="001B7083"/>
    <w:rsid w:val="001B79E5"/>
    <w:rsid w:val="001B7B05"/>
    <w:rsid w:val="001C09F8"/>
    <w:rsid w:val="001C1772"/>
    <w:rsid w:val="001C2736"/>
    <w:rsid w:val="001C2AED"/>
    <w:rsid w:val="001C2DC3"/>
    <w:rsid w:val="001C5455"/>
    <w:rsid w:val="001C549A"/>
    <w:rsid w:val="001C584C"/>
    <w:rsid w:val="001C5A7B"/>
    <w:rsid w:val="001C6AE1"/>
    <w:rsid w:val="001D1AEA"/>
    <w:rsid w:val="001D3B75"/>
    <w:rsid w:val="001D7F04"/>
    <w:rsid w:val="001E0022"/>
    <w:rsid w:val="001E068E"/>
    <w:rsid w:val="001E1C89"/>
    <w:rsid w:val="001E3D76"/>
    <w:rsid w:val="001E4950"/>
    <w:rsid w:val="001E72DC"/>
    <w:rsid w:val="001E7FD6"/>
    <w:rsid w:val="001E7FF8"/>
    <w:rsid w:val="001F0239"/>
    <w:rsid w:val="001F076C"/>
    <w:rsid w:val="001F3CA5"/>
    <w:rsid w:val="001F4821"/>
    <w:rsid w:val="001F6AA8"/>
    <w:rsid w:val="002139AC"/>
    <w:rsid w:val="00214CE4"/>
    <w:rsid w:val="00217172"/>
    <w:rsid w:val="00220E7A"/>
    <w:rsid w:val="002261B9"/>
    <w:rsid w:val="002276E6"/>
    <w:rsid w:val="002301C1"/>
    <w:rsid w:val="00231CD7"/>
    <w:rsid w:val="002324E4"/>
    <w:rsid w:val="00233447"/>
    <w:rsid w:val="002334A8"/>
    <w:rsid w:val="00234D63"/>
    <w:rsid w:val="00240625"/>
    <w:rsid w:val="00243288"/>
    <w:rsid w:val="0024497F"/>
    <w:rsid w:val="002457C7"/>
    <w:rsid w:val="00246360"/>
    <w:rsid w:val="00250481"/>
    <w:rsid w:val="0025124A"/>
    <w:rsid w:val="002515C6"/>
    <w:rsid w:val="00251CD6"/>
    <w:rsid w:val="002536D2"/>
    <w:rsid w:val="0025638B"/>
    <w:rsid w:val="00260415"/>
    <w:rsid w:val="00260A56"/>
    <w:rsid w:val="00261638"/>
    <w:rsid w:val="0026318E"/>
    <w:rsid w:val="0026374D"/>
    <w:rsid w:val="00265614"/>
    <w:rsid w:val="002704C4"/>
    <w:rsid w:val="00271484"/>
    <w:rsid w:val="0027381B"/>
    <w:rsid w:val="00273FDC"/>
    <w:rsid w:val="002747D8"/>
    <w:rsid w:val="0027565E"/>
    <w:rsid w:val="00275FB5"/>
    <w:rsid w:val="00277D72"/>
    <w:rsid w:val="00281386"/>
    <w:rsid w:val="00282C89"/>
    <w:rsid w:val="00286265"/>
    <w:rsid w:val="00286AC4"/>
    <w:rsid w:val="00287FAD"/>
    <w:rsid w:val="00290485"/>
    <w:rsid w:val="002910E5"/>
    <w:rsid w:val="00291236"/>
    <w:rsid w:val="0029271C"/>
    <w:rsid w:val="002965DC"/>
    <w:rsid w:val="00296878"/>
    <w:rsid w:val="002A2752"/>
    <w:rsid w:val="002A37AD"/>
    <w:rsid w:val="002A529C"/>
    <w:rsid w:val="002A6D02"/>
    <w:rsid w:val="002A6F06"/>
    <w:rsid w:val="002A758F"/>
    <w:rsid w:val="002A7DDB"/>
    <w:rsid w:val="002B026E"/>
    <w:rsid w:val="002B03B0"/>
    <w:rsid w:val="002B1FC8"/>
    <w:rsid w:val="002B20FB"/>
    <w:rsid w:val="002C0213"/>
    <w:rsid w:val="002C052F"/>
    <w:rsid w:val="002C12E0"/>
    <w:rsid w:val="002C3663"/>
    <w:rsid w:val="002C3775"/>
    <w:rsid w:val="002C4959"/>
    <w:rsid w:val="002D0291"/>
    <w:rsid w:val="002D03D8"/>
    <w:rsid w:val="002D1C28"/>
    <w:rsid w:val="002D2AC3"/>
    <w:rsid w:val="002D6000"/>
    <w:rsid w:val="002E1863"/>
    <w:rsid w:val="002E191F"/>
    <w:rsid w:val="002E42D9"/>
    <w:rsid w:val="002E4581"/>
    <w:rsid w:val="002E5E41"/>
    <w:rsid w:val="002E6251"/>
    <w:rsid w:val="002F025F"/>
    <w:rsid w:val="002F0712"/>
    <w:rsid w:val="002F0DD0"/>
    <w:rsid w:val="002F4A2E"/>
    <w:rsid w:val="002F5AC8"/>
    <w:rsid w:val="002F61ED"/>
    <w:rsid w:val="003016F2"/>
    <w:rsid w:val="003048A1"/>
    <w:rsid w:val="003059EA"/>
    <w:rsid w:val="00305D0D"/>
    <w:rsid w:val="00306837"/>
    <w:rsid w:val="00314E24"/>
    <w:rsid w:val="00315F5E"/>
    <w:rsid w:val="0031603E"/>
    <w:rsid w:val="00316DCF"/>
    <w:rsid w:val="00320A63"/>
    <w:rsid w:val="00321AEB"/>
    <w:rsid w:val="00321D8E"/>
    <w:rsid w:val="00322633"/>
    <w:rsid w:val="0033172F"/>
    <w:rsid w:val="00332FB7"/>
    <w:rsid w:val="003336E3"/>
    <w:rsid w:val="00335DA8"/>
    <w:rsid w:val="003400EF"/>
    <w:rsid w:val="00340810"/>
    <w:rsid w:val="00342593"/>
    <w:rsid w:val="00343182"/>
    <w:rsid w:val="003431D3"/>
    <w:rsid w:val="003437A1"/>
    <w:rsid w:val="00351A86"/>
    <w:rsid w:val="00354ED3"/>
    <w:rsid w:val="00355A05"/>
    <w:rsid w:val="00356F99"/>
    <w:rsid w:val="003575D1"/>
    <w:rsid w:val="0036060B"/>
    <w:rsid w:val="003635D8"/>
    <w:rsid w:val="00364EFA"/>
    <w:rsid w:val="00367278"/>
    <w:rsid w:val="00367905"/>
    <w:rsid w:val="003725EA"/>
    <w:rsid w:val="00372F00"/>
    <w:rsid w:val="003739AA"/>
    <w:rsid w:val="00380A31"/>
    <w:rsid w:val="00381E59"/>
    <w:rsid w:val="00382804"/>
    <w:rsid w:val="003835CA"/>
    <w:rsid w:val="0038379B"/>
    <w:rsid w:val="00384AC5"/>
    <w:rsid w:val="00386BC0"/>
    <w:rsid w:val="00386E50"/>
    <w:rsid w:val="0038739E"/>
    <w:rsid w:val="00387F4C"/>
    <w:rsid w:val="00390051"/>
    <w:rsid w:val="00390D8D"/>
    <w:rsid w:val="00391933"/>
    <w:rsid w:val="00391F57"/>
    <w:rsid w:val="00392F35"/>
    <w:rsid w:val="00393CD6"/>
    <w:rsid w:val="003952AD"/>
    <w:rsid w:val="00395663"/>
    <w:rsid w:val="00395A26"/>
    <w:rsid w:val="00395CCE"/>
    <w:rsid w:val="003A09C2"/>
    <w:rsid w:val="003A2A50"/>
    <w:rsid w:val="003A421C"/>
    <w:rsid w:val="003A5064"/>
    <w:rsid w:val="003A6DB4"/>
    <w:rsid w:val="003B2BD1"/>
    <w:rsid w:val="003B2C3B"/>
    <w:rsid w:val="003B325B"/>
    <w:rsid w:val="003B7F0A"/>
    <w:rsid w:val="003C09E9"/>
    <w:rsid w:val="003C0EC2"/>
    <w:rsid w:val="003C181B"/>
    <w:rsid w:val="003C238D"/>
    <w:rsid w:val="003C2E5D"/>
    <w:rsid w:val="003C37C2"/>
    <w:rsid w:val="003C41F5"/>
    <w:rsid w:val="003C47B4"/>
    <w:rsid w:val="003C4CD0"/>
    <w:rsid w:val="003C525E"/>
    <w:rsid w:val="003D1FD4"/>
    <w:rsid w:val="003D234B"/>
    <w:rsid w:val="003D407B"/>
    <w:rsid w:val="003D6112"/>
    <w:rsid w:val="003D6E99"/>
    <w:rsid w:val="003E1866"/>
    <w:rsid w:val="003E1E7C"/>
    <w:rsid w:val="003E38AE"/>
    <w:rsid w:val="003E4B41"/>
    <w:rsid w:val="003E4CD7"/>
    <w:rsid w:val="003E55E1"/>
    <w:rsid w:val="003E5B9A"/>
    <w:rsid w:val="003E686B"/>
    <w:rsid w:val="003E6A42"/>
    <w:rsid w:val="003F1323"/>
    <w:rsid w:val="003F14C0"/>
    <w:rsid w:val="003F1C8B"/>
    <w:rsid w:val="003F1D46"/>
    <w:rsid w:val="003F2355"/>
    <w:rsid w:val="003F54EF"/>
    <w:rsid w:val="003F7E5F"/>
    <w:rsid w:val="00405E3A"/>
    <w:rsid w:val="00406113"/>
    <w:rsid w:val="004072BC"/>
    <w:rsid w:val="00410D30"/>
    <w:rsid w:val="0041140F"/>
    <w:rsid w:val="00411539"/>
    <w:rsid w:val="004119A7"/>
    <w:rsid w:val="00413B74"/>
    <w:rsid w:val="00415020"/>
    <w:rsid w:val="00415051"/>
    <w:rsid w:val="00417021"/>
    <w:rsid w:val="004170DD"/>
    <w:rsid w:val="00421775"/>
    <w:rsid w:val="0042264A"/>
    <w:rsid w:val="00422658"/>
    <w:rsid w:val="00422993"/>
    <w:rsid w:val="00422DEB"/>
    <w:rsid w:val="00426AFA"/>
    <w:rsid w:val="00437C40"/>
    <w:rsid w:val="00440D96"/>
    <w:rsid w:val="00451783"/>
    <w:rsid w:val="0045335C"/>
    <w:rsid w:val="00455536"/>
    <w:rsid w:val="00455685"/>
    <w:rsid w:val="004611C5"/>
    <w:rsid w:val="004618CB"/>
    <w:rsid w:val="004619FD"/>
    <w:rsid w:val="004623CB"/>
    <w:rsid w:val="00464537"/>
    <w:rsid w:val="004652DF"/>
    <w:rsid w:val="00465367"/>
    <w:rsid w:val="004653EF"/>
    <w:rsid w:val="00466781"/>
    <w:rsid w:val="00467EA3"/>
    <w:rsid w:val="0047176C"/>
    <w:rsid w:val="00472742"/>
    <w:rsid w:val="00472E32"/>
    <w:rsid w:val="00473AEE"/>
    <w:rsid w:val="00473C6F"/>
    <w:rsid w:val="00474A69"/>
    <w:rsid w:val="00474BFB"/>
    <w:rsid w:val="00475DF6"/>
    <w:rsid w:val="00476171"/>
    <w:rsid w:val="004774FC"/>
    <w:rsid w:val="0047789F"/>
    <w:rsid w:val="00477A66"/>
    <w:rsid w:val="004801A3"/>
    <w:rsid w:val="004807F9"/>
    <w:rsid w:val="00486655"/>
    <w:rsid w:val="00486AAF"/>
    <w:rsid w:val="00486B15"/>
    <w:rsid w:val="004968E5"/>
    <w:rsid w:val="004A0145"/>
    <w:rsid w:val="004A1BE8"/>
    <w:rsid w:val="004A468B"/>
    <w:rsid w:val="004B0B6F"/>
    <w:rsid w:val="004B2DA7"/>
    <w:rsid w:val="004B4A6A"/>
    <w:rsid w:val="004C08AF"/>
    <w:rsid w:val="004D1D29"/>
    <w:rsid w:val="004D2936"/>
    <w:rsid w:val="004D3B8A"/>
    <w:rsid w:val="004D40FC"/>
    <w:rsid w:val="004D4666"/>
    <w:rsid w:val="004D48CC"/>
    <w:rsid w:val="004D498D"/>
    <w:rsid w:val="004D7DD6"/>
    <w:rsid w:val="004E16C4"/>
    <w:rsid w:val="004E26DA"/>
    <w:rsid w:val="004E3812"/>
    <w:rsid w:val="004E5848"/>
    <w:rsid w:val="004E701D"/>
    <w:rsid w:val="004E73C4"/>
    <w:rsid w:val="004F0020"/>
    <w:rsid w:val="004F3EC0"/>
    <w:rsid w:val="004F454B"/>
    <w:rsid w:val="004F53BC"/>
    <w:rsid w:val="00500C66"/>
    <w:rsid w:val="00500E1A"/>
    <w:rsid w:val="00500E52"/>
    <w:rsid w:val="0050104F"/>
    <w:rsid w:val="00501486"/>
    <w:rsid w:val="0050401C"/>
    <w:rsid w:val="005044A4"/>
    <w:rsid w:val="005077CD"/>
    <w:rsid w:val="005106C5"/>
    <w:rsid w:val="00510911"/>
    <w:rsid w:val="00510E98"/>
    <w:rsid w:val="0051222D"/>
    <w:rsid w:val="00512342"/>
    <w:rsid w:val="005136DD"/>
    <w:rsid w:val="00514118"/>
    <w:rsid w:val="0051607E"/>
    <w:rsid w:val="005202B5"/>
    <w:rsid w:val="00520A1B"/>
    <w:rsid w:val="00523194"/>
    <w:rsid w:val="00523F0C"/>
    <w:rsid w:val="0052551B"/>
    <w:rsid w:val="00526756"/>
    <w:rsid w:val="00530BC7"/>
    <w:rsid w:val="00531301"/>
    <w:rsid w:val="00533599"/>
    <w:rsid w:val="00540226"/>
    <w:rsid w:val="005514EB"/>
    <w:rsid w:val="00555DC7"/>
    <w:rsid w:val="00556060"/>
    <w:rsid w:val="00560413"/>
    <w:rsid w:val="00560659"/>
    <w:rsid w:val="00563A54"/>
    <w:rsid w:val="00565494"/>
    <w:rsid w:val="00570682"/>
    <w:rsid w:val="00570F0E"/>
    <w:rsid w:val="005734A3"/>
    <w:rsid w:val="0057398F"/>
    <w:rsid w:val="005755FE"/>
    <w:rsid w:val="005761BE"/>
    <w:rsid w:val="00577B7B"/>
    <w:rsid w:val="00580060"/>
    <w:rsid w:val="0058626B"/>
    <w:rsid w:val="005872A5"/>
    <w:rsid w:val="00590913"/>
    <w:rsid w:val="0059097D"/>
    <w:rsid w:val="005924B0"/>
    <w:rsid w:val="005954A7"/>
    <w:rsid w:val="00597D90"/>
    <w:rsid w:val="00597EED"/>
    <w:rsid w:val="005A05BA"/>
    <w:rsid w:val="005A0EA8"/>
    <w:rsid w:val="005A19EF"/>
    <w:rsid w:val="005A2D06"/>
    <w:rsid w:val="005A4BE0"/>
    <w:rsid w:val="005B03C4"/>
    <w:rsid w:val="005B11D9"/>
    <w:rsid w:val="005B40AF"/>
    <w:rsid w:val="005B511E"/>
    <w:rsid w:val="005B711C"/>
    <w:rsid w:val="005B7C32"/>
    <w:rsid w:val="005C07A1"/>
    <w:rsid w:val="005C0923"/>
    <w:rsid w:val="005C19A1"/>
    <w:rsid w:val="005C1F2C"/>
    <w:rsid w:val="005C3054"/>
    <w:rsid w:val="005C4BD2"/>
    <w:rsid w:val="005C69F2"/>
    <w:rsid w:val="005D1E1C"/>
    <w:rsid w:val="005D2345"/>
    <w:rsid w:val="005D5111"/>
    <w:rsid w:val="005D5F93"/>
    <w:rsid w:val="005D6184"/>
    <w:rsid w:val="005D76C4"/>
    <w:rsid w:val="005D7FBF"/>
    <w:rsid w:val="005D7FE0"/>
    <w:rsid w:val="005E0922"/>
    <w:rsid w:val="005E6A9D"/>
    <w:rsid w:val="005F2435"/>
    <w:rsid w:val="005F2BCD"/>
    <w:rsid w:val="005F3439"/>
    <w:rsid w:val="005F4434"/>
    <w:rsid w:val="005F667B"/>
    <w:rsid w:val="0060073E"/>
    <w:rsid w:val="00601A39"/>
    <w:rsid w:val="00603C1E"/>
    <w:rsid w:val="00605D52"/>
    <w:rsid w:val="00610EFC"/>
    <w:rsid w:val="00611404"/>
    <w:rsid w:val="00612085"/>
    <w:rsid w:val="006125E0"/>
    <w:rsid w:val="00612DD2"/>
    <w:rsid w:val="00612FF2"/>
    <w:rsid w:val="006131CE"/>
    <w:rsid w:val="00613522"/>
    <w:rsid w:val="00613DEB"/>
    <w:rsid w:val="00615EE9"/>
    <w:rsid w:val="006164C6"/>
    <w:rsid w:val="006212B4"/>
    <w:rsid w:val="0062151C"/>
    <w:rsid w:val="006219B0"/>
    <w:rsid w:val="00622A00"/>
    <w:rsid w:val="00623648"/>
    <w:rsid w:val="00625A27"/>
    <w:rsid w:val="00630C16"/>
    <w:rsid w:val="006313C4"/>
    <w:rsid w:val="006354D8"/>
    <w:rsid w:val="00636714"/>
    <w:rsid w:val="00637E90"/>
    <w:rsid w:val="006429D5"/>
    <w:rsid w:val="00647494"/>
    <w:rsid w:val="00647681"/>
    <w:rsid w:val="0065126D"/>
    <w:rsid w:val="0065359A"/>
    <w:rsid w:val="00653BF3"/>
    <w:rsid w:val="006560BB"/>
    <w:rsid w:val="0065697B"/>
    <w:rsid w:val="006602B1"/>
    <w:rsid w:val="00661F15"/>
    <w:rsid w:val="00662255"/>
    <w:rsid w:val="006628BB"/>
    <w:rsid w:val="006643A1"/>
    <w:rsid w:val="00664B64"/>
    <w:rsid w:val="00667574"/>
    <w:rsid w:val="00673A47"/>
    <w:rsid w:val="006766D0"/>
    <w:rsid w:val="00680031"/>
    <w:rsid w:val="00680F66"/>
    <w:rsid w:val="006815CF"/>
    <w:rsid w:val="006817C8"/>
    <w:rsid w:val="0068454D"/>
    <w:rsid w:val="00684D85"/>
    <w:rsid w:val="00684F76"/>
    <w:rsid w:val="006859F2"/>
    <w:rsid w:val="0069544D"/>
    <w:rsid w:val="00696BA6"/>
    <w:rsid w:val="00696DA4"/>
    <w:rsid w:val="00696F62"/>
    <w:rsid w:val="0069749F"/>
    <w:rsid w:val="006A0DB9"/>
    <w:rsid w:val="006A5AB5"/>
    <w:rsid w:val="006A7575"/>
    <w:rsid w:val="006A7EC3"/>
    <w:rsid w:val="006B24C6"/>
    <w:rsid w:val="006B33EA"/>
    <w:rsid w:val="006C0EF1"/>
    <w:rsid w:val="006C1721"/>
    <w:rsid w:val="006C22C6"/>
    <w:rsid w:val="006C33E5"/>
    <w:rsid w:val="006C4EF1"/>
    <w:rsid w:val="006C6265"/>
    <w:rsid w:val="006C6A65"/>
    <w:rsid w:val="006D098C"/>
    <w:rsid w:val="006D0CE1"/>
    <w:rsid w:val="006D2D54"/>
    <w:rsid w:val="006D4B70"/>
    <w:rsid w:val="006D5A48"/>
    <w:rsid w:val="006D5BAE"/>
    <w:rsid w:val="006D670B"/>
    <w:rsid w:val="006E137D"/>
    <w:rsid w:val="006E355B"/>
    <w:rsid w:val="006E48F6"/>
    <w:rsid w:val="006E579F"/>
    <w:rsid w:val="006E73A1"/>
    <w:rsid w:val="006F3AA1"/>
    <w:rsid w:val="006F47FD"/>
    <w:rsid w:val="006F5FDF"/>
    <w:rsid w:val="007025D9"/>
    <w:rsid w:val="00703FBB"/>
    <w:rsid w:val="00705D68"/>
    <w:rsid w:val="00706415"/>
    <w:rsid w:val="00712C96"/>
    <w:rsid w:val="00715FD0"/>
    <w:rsid w:val="00717223"/>
    <w:rsid w:val="00722A1B"/>
    <w:rsid w:val="00723A48"/>
    <w:rsid w:val="00724240"/>
    <w:rsid w:val="00725C57"/>
    <w:rsid w:val="00726BEF"/>
    <w:rsid w:val="007315F5"/>
    <w:rsid w:val="00734181"/>
    <w:rsid w:val="007347A2"/>
    <w:rsid w:val="00735DC6"/>
    <w:rsid w:val="00735E7D"/>
    <w:rsid w:val="00740AD5"/>
    <w:rsid w:val="00741B14"/>
    <w:rsid w:val="00741D44"/>
    <w:rsid w:val="00742A32"/>
    <w:rsid w:val="0075551F"/>
    <w:rsid w:val="0075621B"/>
    <w:rsid w:val="007577AE"/>
    <w:rsid w:val="00760968"/>
    <w:rsid w:val="007616F6"/>
    <w:rsid w:val="00761A80"/>
    <w:rsid w:val="007628E7"/>
    <w:rsid w:val="00762EFD"/>
    <w:rsid w:val="00764AFB"/>
    <w:rsid w:val="00765BCB"/>
    <w:rsid w:val="00767C23"/>
    <w:rsid w:val="00770FBB"/>
    <w:rsid w:val="00771B45"/>
    <w:rsid w:val="007728E8"/>
    <w:rsid w:val="00776EAF"/>
    <w:rsid w:val="00777364"/>
    <w:rsid w:val="00780C4A"/>
    <w:rsid w:val="00780E7A"/>
    <w:rsid w:val="00782755"/>
    <w:rsid w:val="00782B86"/>
    <w:rsid w:val="00783B9F"/>
    <w:rsid w:val="00784FF3"/>
    <w:rsid w:val="007851DB"/>
    <w:rsid w:val="007853FB"/>
    <w:rsid w:val="00790F33"/>
    <w:rsid w:val="007A0D03"/>
    <w:rsid w:val="007A1E24"/>
    <w:rsid w:val="007A7EE2"/>
    <w:rsid w:val="007B0DA0"/>
    <w:rsid w:val="007B44F1"/>
    <w:rsid w:val="007B54A0"/>
    <w:rsid w:val="007B5EDD"/>
    <w:rsid w:val="007C1D0B"/>
    <w:rsid w:val="007D02AF"/>
    <w:rsid w:val="007D42C4"/>
    <w:rsid w:val="007D5B85"/>
    <w:rsid w:val="007D67DD"/>
    <w:rsid w:val="007D6FE6"/>
    <w:rsid w:val="007D7FCD"/>
    <w:rsid w:val="007E0385"/>
    <w:rsid w:val="007E03C5"/>
    <w:rsid w:val="007E1218"/>
    <w:rsid w:val="007F34FB"/>
    <w:rsid w:val="007F3803"/>
    <w:rsid w:val="007F5C11"/>
    <w:rsid w:val="007F7F4E"/>
    <w:rsid w:val="007F7FD3"/>
    <w:rsid w:val="0080059D"/>
    <w:rsid w:val="008009A0"/>
    <w:rsid w:val="00800F96"/>
    <w:rsid w:val="00810E12"/>
    <w:rsid w:val="00811985"/>
    <w:rsid w:val="00815B83"/>
    <w:rsid w:val="00815FF5"/>
    <w:rsid w:val="00816F54"/>
    <w:rsid w:val="00817161"/>
    <w:rsid w:val="00822454"/>
    <w:rsid w:val="00823821"/>
    <w:rsid w:val="00825015"/>
    <w:rsid w:val="00825547"/>
    <w:rsid w:val="008274DC"/>
    <w:rsid w:val="00830BE8"/>
    <w:rsid w:val="008316B5"/>
    <w:rsid w:val="00832A36"/>
    <w:rsid w:val="00833D5B"/>
    <w:rsid w:val="0083441D"/>
    <w:rsid w:val="00835230"/>
    <w:rsid w:val="00840E3B"/>
    <w:rsid w:val="008413B5"/>
    <w:rsid w:val="0084253B"/>
    <w:rsid w:val="008435F1"/>
    <w:rsid w:val="008447AC"/>
    <w:rsid w:val="00845F72"/>
    <w:rsid w:val="0084678F"/>
    <w:rsid w:val="008472B9"/>
    <w:rsid w:val="008472D4"/>
    <w:rsid w:val="00851B93"/>
    <w:rsid w:val="0085323A"/>
    <w:rsid w:val="00856377"/>
    <w:rsid w:val="00856F48"/>
    <w:rsid w:val="008578C8"/>
    <w:rsid w:val="0086047A"/>
    <w:rsid w:val="00860CE4"/>
    <w:rsid w:val="00866D02"/>
    <w:rsid w:val="00867473"/>
    <w:rsid w:val="00867ED2"/>
    <w:rsid w:val="00867F3C"/>
    <w:rsid w:val="00872CF6"/>
    <w:rsid w:val="008747D1"/>
    <w:rsid w:val="008752FB"/>
    <w:rsid w:val="0088046A"/>
    <w:rsid w:val="00880E15"/>
    <w:rsid w:val="00881A0C"/>
    <w:rsid w:val="00882DFB"/>
    <w:rsid w:val="008865AA"/>
    <w:rsid w:val="008872A3"/>
    <w:rsid w:val="008879FE"/>
    <w:rsid w:val="00893377"/>
    <w:rsid w:val="008962A6"/>
    <w:rsid w:val="008968E3"/>
    <w:rsid w:val="0089724D"/>
    <w:rsid w:val="008A1084"/>
    <w:rsid w:val="008A1A69"/>
    <w:rsid w:val="008A1B76"/>
    <w:rsid w:val="008A30D2"/>
    <w:rsid w:val="008A4AC4"/>
    <w:rsid w:val="008A62CB"/>
    <w:rsid w:val="008B0F44"/>
    <w:rsid w:val="008B4517"/>
    <w:rsid w:val="008B5486"/>
    <w:rsid w:val="008B6A65"/>
    <w:rsid w:val="008C072C"/>
    <w:rsid w:val="008C11CF"/>
    <w:rsid w:val="008C14E3"/>
    <w:rsid w:val="008C47ED"/>
    <w:rsid w:val="008C7E23"/>
    <w:rsid w:val="008D1D22"/>
    <w:rsid w:val="008D31C9"/>
    <w:rsid w:val="008D3D6D"/>
    <w:rsid w:val="008D74E7"/>
    <w:rsid w:val="008D7E2E"/>
    <w:rsid w:val="008E3741"/>
    <w:rsid w:val="008E45D0"/>
    <w:rsid w:val="008E48E6"/>
    <w:rsid w:val="008E4B7B"/>
    <w:rsid w:val="008E7DBC"/>
    <w:rsid w:val="008F2B60"/>
    <w:rsid w:val="008F3123"/>
    <w:rsid w:val="008F3E11"/>
    <w:rsid w:val="008F5F32"/>
    <w:rsid w:val="008F6940"/>
    <w:rsid w:val="008F7319"/>
    <w:rsid w:val="008F77CE"/>
    <w:rsid w:val="009023D8"/>
    <w:rsid w:val="00903E64"/>
    <w:rsid w:val="00904555"/>
    <w:rsid w:val="009063E0"/>
    <w:rsid w:val="0090687F"/>
    <w:rsid w:val="009077AF"/>
    <w:rsid w:val="00912C62"/>
    <w:rsid w:val="00912C70"/>
    <w:rsid w:val="009133E8"/>
    <w:rsid w:val="00913E38"/>
    <w:rsid w:val="0091404A"/>
    <w:rsid w:val="0091512D"/>
    <w:rsid w:val="00915EE4"/>
    <w:rsid w:val="009160FE"/>
    <w:rsid w:val="009161EF"/>
    <w:rsid w:val="00916895"/>
    <w:rsid w:val="00923D14"/>
    <w:rsid w:val="00924765"/>
    <w:rsid w:val="009254E5"/>
    <w:rsid w:val="00925607"/>
    <w:rsid w:val="00925DF7"/>
    <w:rsid w:val="009333DA"/>
    <w:rsid w:val="009350DC"/>
    <w:rsid w:val="00936B35"/>
    <w:rsid w:val="009373C4"/>
    <w:rsid w:val="00942556"/>
    <w:rsid w:val="009432C4"/>
    <w:rsid w:val="00945F09"/>
    <w:rsid w:val="009559E7"/>
    <w:rsid w:val="00956CBC"/>
    <w:rsid w:val="00964DF5"/>
    <w:rsid w:val="00965826"/>
    <w:rsid w:val="00967247"/>
    <w:rsid w:val="00971012"/>
    <w:rsid w:val="00972591"/>
    <w:rsid w:val="00974144"/>
    <w:rsid w:val="00974BEE"/>
    <w:rsid w:val="009834FF"/>
    <w:rsid w:val="00985306"/>
    <w:rsid w:val="00986912"/>
    <w:rsid w:val="009879C1"/>
    <w:rsid w:val="0099250A"/>
    <w:rsid w:val="00994770"/>
    <w:rsid w:val="00994C60"/>
    <w:rsid w:val="009975A1"/>
    <w:rsid w:val="009A0710"/>
    <w:rsid w:val="009A07E7"/>
    <w:rsid w:val="009A3362"/>
    <w:rsid w:val="009A6057"/>
    <w:rsid w:val="009A62F1"/>
    <w:rsid w:val="009B71C8"/>
    <w:rsid w:val="009C132D"/>
    <w:rsid w:val="009C3E8C"/>
    <w:rsid w:val="009C42F3"/>
    <w:rsid w:val="009C4A97"/>
    <w:rsid w:val="009C5AEE"/>
    <w:rsid w:val="009D0C41"/>
    <w:rsid w:val="009D2E8C"/>
    <w:rsid w:val="009D3C99"/>
    <w:rsid w:val="009D5E72"/>
    <w:rsid w:val="009D75C9"/>
    <w:rsid w:val="009D7F6E"/>
    <w:rsid w:val="009E0772"/>
    <w:rsid w:val="009E0959"/>
    <w:rsid w:val="009E1115"/>
    <w:rsid w:val="009E76C0"/>
    <w:rsid w:val="009E78D1"/>
    <w:rsid w:val="009F3EBF"/>
    <w:rsid w:val="009F4E6D"/>
    <w:rsid w:val="009F5F9B"/>
    <w:rsid w:val="009F658D"/>
    <w:rsid w:val="00A02780"/>
    <w:rsid w:val="00A07319"/>
    <w:rsid w:val="00A1071C"/>
    <w:rsid w:val="00A130E5"/>
    <w:rsid w:val="00A1CACA"/>
    <w:rsid w:val="00A21AA0"/>
    <w:rsid w:val="00A2203B"/>
    <w:rsid w:val="00A222B7"/>
    <w:rsid w:val="00A22FA8"/>
    <w:rsid w:val="00A244C9"/>
    <w:rsid w:val="00A329A7"/>
    <w:rsid w:val="00A3620A"/>
    <w:rsid w:val="00A4128A"/>
    <w:rsid w:val="00A41DF2"/>
    <w:rsid w:val="00A425A5"/>
    <w:rsid w:val="00A42DEB"/>
    <w:rsid w:val="00A42EE5"/>
    <w:rsid w:val="00A4391F"/>
    <w:rsid w:val="00A44767"/>
    <w:rsid w:val="00A4669F"/>
    <w:rsid w:val="00A52FE6"/>
    <w:rsid w:val="00A53D98"/>
    <w:rsid w:val="00A55EA5"/>
    <w:rsid w:val="00A56731"/>
    <w:rsid w:val="00A57266"/>
    <w:rsid w:val="00A61057"/>
    <w:rsid w:val="00A61D00"/>
    <w:rsid w:val="00A62168"/>
    <w:rsid w:val="00A63392"/>
    <w:rsid w:val="00A6535B"/>
    <w:rsid w:val="00A662B5"/>
    <w:rsid w:val="00A67190"/>
    <w:rsid w:val="00A67CAA"/>
    <w:rsid w:val="00A72237"/>
    <w:rsid w:val="00A726B1"/>
    <w:rsid w:val="00A740CC"/>
    <w:rsid w:val="00A76CE5"/>
    <w:rsid w:val="00A804FD"/>
    <w:rsid w:val="00A82210"/>
    <w:rsid w:val="00A82211"/>
    <w:rsid w:val="00A825E8"/>
    <w:rsid w:val="00A931B8"/>
    <w:rsid w:val="00A93F3D"/>
    <w:rsid w:val="00A94344"/>
    <w:rsid w:val="00A9449D"/>
    <w:rsid w:val="00A960A3"/>
    <w:rsid w:val="00A97033"/>
    <w:rsid w:val="00A97B29"/>
    <w:rsid w:val="00A97C33"/>
    <w:rsid w:val="00AA047C"/>
    <w:rsid w:val="00AA0830"/>
    <w:rsid w:val="00AA16C7"/>
    <w:rsid w:val="00AA24FB"/>
    <w:rsid w:val="00AA5CB1"/>
    <w:rsid w:val="00AA7EBB"/>
    <w:rsid w:val="00AB34B5"/>
    <w:rsid w:val="00AB5DCB"/>
    <w:rsid w:val="00AC2240"/>
    <w:rsid w:val="00AC6147"/>
    <w:rsid w:val="00AC690C"/>
    <w:rsid w:val="00AC747C"/>
    <w:rsid w:val="00AC761D"/>
    <w:rsid w:val="00AD18FC"/>
    <w:rsid w:val="00AD2430"/>
    <w:rsid w:val="00AD2769"/>
    <w:rsid w:val="00AD2D1E"/>
    <w:rsid w:val="00AD32BA"/>
    <w:rsid w:val="00AD3A3A"/>
    <w:rsid w:val="00AD6ABE"/>
    <w:rsid w:val="00AD7411"/>
    <w:rsid w:val="00AD7483"/>
    <w:rsid w:val="00AE13B9"/>
    <w:rsid w:val="00AE18A3"/>
    <w:rsid w:val="00AE1AD9"/>
    <w:rsid w:val="00AE346D"/>
    <w:rsid w:val="00AE414A"/>
    <w:rsid w:val="00AE4547"/>
    <w:rsid w:val="00AE4CF5"/>
    <w:rsid w:val="00AE6A24"/>
    <w:rsid w:val="00AF17AE"/>
    <w:rsid w:val="00AF5CBA"/>
    <w:rsid w:val="00AF63E3"/>
    <w:rsid w:val="00B044A7"/>
    <w:rsid w:val="00B06B54"/>
    <w:rsid w:val="00B07087"/>
    <w:rsid w:val="00B1325B"/>
    <w:rsid w:val="00B13C46"/>
    <w:rsid w:val="00B13EA0"/>
    <w:rsid w:val="00B1685C"/>
    <w:rsid w:val="00B16AC4"/>
    <w:rsid w:val="00B16B0E"/>
    <w:rsid w:val="00B176BC"/>
    <w:rsid w:val="00B20BC5"/>
    <w:rsid w:val="00B26EC8"/>
    <w:rsid w:val="00B30084"/>
    <w:rsid w:val="00B30BB4"/>
    <w:rsid w:val="00B31C0C"/>
    <w:rsid w:val="00B3201F"/>
    <w:rsid w:val="00B32959"/>
    <w:rsid w:val="00B332AC"/>
    <w:rsid w:val="00B36A44"/>
    <w:rsid w:val="00B43794"/>
    <w:rsid w:val="00B46170"/>
    <w:rsid w:val="00B479FD"/>
    <w:rsid w:val="00B542F0"/>
    <w:rsid w:val="00B5525C"/>
    <w:rsid w:val="00B55889"/>
    <w:rsid w:val="00B65013"/>
    <w:rsid w:val="00B65220"/>
    <w:rsid w:val="00B65274"/>
    <w:rsid w:val="00B65362"/>
    <w:rsid w:val="00B657EB"/>
    <w:rsid w:val="00B66F3B"/>
    <w:rsid w:val="00B670B9"/>
    <w:rsid w:val="00B67AA0"/>
    <w:rsid w:val="00B70B44"/>
    <w:rsid w:val="00B7150B"/>
    <w:rsid w:val="00B73B25"/>
    <w:rsid w:val="00B74643"/>
    <w:rsid w:val="00B776EF"/>
    <w:rsid w:val="00B83A76"/>
    <w:rsid w:val="00B8492D"/>
    <w:rsid w:val="00B84E13"/>
    <w:rsid w:val="00B85CBB"/>
    <w:rsid w:val="00B92BE0"/>
    <w:rsid w:val="00B94E60"/>
    <w:rsid w:val="00B96B20"/>
    <w:rsid w:val="00BA03BA"/>
    <w:rsid w:val="00BA0E11"/>
    <w:rsid w:val="00BA12AA"/>
    <w:rsid w:val="00BA147C"/>
    <w:rsid w:val="00BA1900"/>
    <w:rsid w:val="00BA1D4D"/>
    <w:rsid w:val="00BA312C"/>
    <w:rsid w:val="00BB7401"/>
    <w:rsid w:val="00BC074F"/>
    <w:rsid w:val="00BC1A3B"/>
    <w:rsid w:val="00BC1B6D"/>
    <w:rsid w:val="00BC4253"/>
    <w:rsid w:val="00BC47D7"/>
    <w:rsid w:val="00BC58E5"/>
    <w:rsid w:val="00BC5BCE"/>
    <w:rsid w:val="00BC748C"/>
    <w:rsid w:val="00BC7699"/>
    <w:rsid w:val="00BD3394"/>
    <w:rsid w:val="00BD36F8"/>
    <w:rsid w:val="00BD715C"/>
    <w:rsid w:val="00BE0DD1"/>
    <w:rsid w:val="00BE0FE5"/>
    <w:rsid w:val="00BE60E3"/>
    <w:rsid w:val="00BE73B2"/>
    <w:rsid w:val="00BF0DD0"/>
    <w:rsid w:val="00BF32B5"/>
    <w:rsid w:val="00BF352E"/>
    <w:rsid w:val="00BF7313"/>
    <w:rsid w:val="00BF7403"/>
    <w:rsid w:val="00C00FE3"/>
    <w:rsid w:val="00C028BD"/>
    <w:rsid w:val="00C05987"/>
    <w:rsid w:val="00C072AB"/>
    <w:rsid w:val="00C07551"/>
    <w:rsid w:val="00C07D07"/>
    <w:rsid w:val="00C11430"/>
    <w:rsid w:val="00C133E6"/>
    <w:rsid w:val="00C21771"/>
    <w:rsid w:val="00C21A6D"/>
    <w:rsid w:val="00C22B79"/>
    <w:rsid w:val="00C22C5A"/>
    <w:rsid w:val="00C23396"/>
    <w:rsid w:val="00C24900"/>
    <w:rsid w:val="00C25404"/>
    <w:rsid w:val="00C2749E"/>
    <w:rsid w:val="00C31FA5"/>
    <w:rsid w:val="00C33557"/>
    <w:rsid w:val="00C33AB4"/>
    <w:rsid w:val="00C36AAE"/>
    <w:rsid w:val="00C36C03"/>
    <w:rsid w:val="00C42CF7"/>
    <w:rsid w:val="00C43303"/>
    <w:rsid w:val="00C43411"/>
    <w:rsid w:val="00C441FB"/>
    <w:rsid w:val="00C44528"/>
    <w:rsid w:val="00C44616"/>
    <w:rsid w:val="00C44F4F"/>
    <w:rsid w:val="00C515A0"/>
    <w:rsid w:val="00C528E3"/>
    <w:rsid w:val="00C5319D"/>
    <w:rsid w:val="00C53B54"/>
    <w:rsid w:val="00C54990"/>
    <w:rsid w:val="00C54C0F"/>
    <w:rsid w:val="00C54F2C"/>
    <w:rsid w:val="00C57191"/>
    <w:rsid w:val="00C67336"/>
    <w:rsid w:val="00C70019"/>
    <w:rsid w:val="00C70ABA"/>
    <w:rsid w:val="00C7161D"/>
    <w:rsid w:val="00C71CF8"/>
    <w:rsid w:val="00C74DFE"/>
    <w:rsid w:val="00C75523"/>
    <w:rsid w:val="00C76189"/>
    <w:rsid w:val="00C768DE"/>
    <w:rsid w:val="00C80FE1"/>
    <w:rsid w:val="00C816D3"/>
    <w:rsid w:val="00C85581"/>
    <w:rsid w:val="00C863B3"/>
    <w:rsid w:val="00C9047D"/>
    <w:rsid w:val="00C92297"/>
    <w:rsid w:val="00C92FDE"/>
    <w:rsid w:val="00C94D27"/>
    <w:rsid w:val="00C95041"/>
    <w:rsid w:val="00CA01AC"/>
    <w:rsid w:val="00CA28FF"/>
    <w:rsid w:val="00CA29E5"/>
    <w:rsid w:val="00CA5E8F"/>
    <w:rsid w:val="00CA6851"/>
    <w:rsid w:val="00CA6FFF"/>
    <w:rsid w:val="00CB4357"/>
    <w:rsid w:val="00CB4DB2"/>
    <w:rsid w:val="00CB7BEB"/>
    <w:rsid w:val="00CC0953"/>
    <w:rsid w:val="00CC2D50"/>
    <w:rsid w:val="00CD095F"/>
    <w:rsid w:val="00CD1D8F"/>
    <w:rsid w:val="00CD2960"/>
    <w:rsid w:val="00CD42FD"/>
    <w:rsid w:val="00CD55A1"/>
    <w:rsid w:val="00CE0C6C"/>
    <w:rsid w:val="00CE313E"/>
    <w:rsid w:val="00CE5786"/>
    <w:rsid w:val="00CF093E"/>
    <w:rsid w:val="00CF0C2C"/>
    <w:rsid w:val="00CF4938"/>
    <w:rsid w:val="00CF525C"/>
    <w:rsid w:val="00CF5CF9"/>
    <w:rsid w:val="00CF61E4"/>
    <w:rsid w:val="00D010A1"/>
    <w:rsid w:val="00D04634"/>
    <w:rsid w:val="00D06E4E"/>
    <w:rsid w:val="00D109F5"/>
    <w:rsid w:val="00D11C4B"/>
    <w:rsid w:val="00D12235"/>
    <w:rsid w:val="00D12331"/>
    <w:rsid w:val="00D12348"/>
    <w:rsid w:val="00D13E1B"/>
    <w:rsid w:val="00D15668"/>
    <w:rsid w:val="00D2132F"/>
    <w:rsid w:val="00D217FA"/>
    <w:rsid w:val="00D2182E"/>
    <w:rsid w:val="00D24AF7"/>
    <w:rsid w:val="00D24F22"/>
    <w:rsid w:val="00D26492"/>
    <w:rsid w:val="00D2666C"/>
    <w:rsid w:val="00D315C0"/>
    <w:rsid w:val="00D31A08"/>
    <w:rsid w:val="00D37AE9"/>
    <w:rsid w:val="00D402A3"/>
    <w:rsid w:val="00D4163B"/>
    <w:rsid w:val="00D441E0"/>
    <w:rsid w:val="00D46079"/>
    <w:rsid w:val="00D46865"/>
    <w:rsid w:val="00D52611"/>
    <w:rsid w:val="00D54874"/>
    <w:rsid w:val="00D62D15"/>
    <w:rsid w:val="00D6412C"/>
    <w:rsid w:val="00D711B3"/>
    <w:rsid w:val="00D74D46"/>
    <w:rsid w:val="00D7575F"/>
    <w:rsid w:val="00D75CBD"/>
    <w:rsid w:val="00D81D17"/>
    <w:rsid w:val="00D829EC"/>
    <w:rsid w:val="00D843D0"/>
    <w:rsid w:val="00D8481A"/>
    <w:rsid w:val="00D8649F"/>
    <w:rsid w:val="00D90697"/>
    <w:rsid w:val="00D911B5"/>
    <w:rsid w:val="00D92E7C"/>
    <w:rsid w:val="00DA00BF"/>
    <w:rsid w:val="00DA1FAF"/>
    <w:rsid w:val="00DA2BB4"/>
    <w:rsid w:val="00DA5486"/>
    <w:rsid w:val="00DB095F"/>
    <w:rsid w:val="00DB1CED"/>
    <w:rsid w:val="00DB2209"/>
    <w:rsid w:val="00DB2265"/>
    <w:rsid w:val="00DB26AB"/>
    <w:rsid w:val="00DB57FB"/>
    <w:rsid w:val="00DB6A2E"/>
    <w:rsid w:val="00DB77B7"/>
    <w:rsid w:val="00DC1554"/>
    <w:rsid w:val="00DC47E1"/>
    <w:rsid w:val="00DC4F94"/>
    <w:rsid w:val="00DC5131"/>
    <w:rsid w:val="00DD0DCC"/>
    <w:rsid w:val="00DD109D"/>
    <w:rsid w:val="00DD222B"/>
    <w:rsid w:val="00DD729A"/>
    <w:rsid w:val="00DE00AE"/>
    <w:rsid w:val="00DE2F4E"/>
    <w:rsid w:val="00DE6601"/>
    <w:rsid w:val="00DE70EF"/>
    <w:rsid w:val="00DE7612"/>
    <w:rsid w:val="00DF01D1"/>
    <w:rsid w:val="00DF3391"/>
    <w:rsid w:val="00DF4DEC"/>
    <w:rsid w:val="00DF5BF3"/>
    <w:rsid w:val="00DF6AAA"/>
    <w:rsid w:val="00E0059E"/>
    <w:rsid w:val="00E00E3B"/>
    <w:rsid w:val="00E02B6F"/>
    <w:rsid w:val="00E10F36"/>
    <w:rsid w:val="00E11E37"/>
    <w:rsid w:val="00E13506"/>
    <w:rsid w:val="00E16250"/>
    <w:rsid w:val="00E168D0"/>
    <w:rsid w:val="00E17546"/>
    <w:rsid w:val="00E2029D"/>
    <w:rsid w:val="00E27C8A"/>
    <w:rsid w:val="00E27E24"/>
    <w:rsid w:val="00E32507"/>
    <w:rsid w:val="00E33164"/>
    <w:rsid w:val="00E34AA6"/>
    <w:rsid w:val="00E37C47"/>
    <w:rsid w:val="00E4234C"/>
    <w:rsid w:val="00E43753"/>
    <w:rsid w:val="00E445B6"/>
    <w:rsid w:val="00E44B3D"/>
    <w:rsid w:val="00E45A6A"/>
    <w:rsid w:val="00E46C3A"/>
    <w:rsid w:val="00E46E9C"/>
    <w:rsid w:val="00E47223"/>
    <w:rsid w:val="00E474B1"/>
    <w:rsid w:val="00E47A59"/>
    <w:rsid w:val="00E52D19"/>
    <w:rsid w:val="00E5490D"/>
    <w:rsid w:val="00E55506"/>
    <w:rsid w:val="00E5636E"/>
    <w:rsid w:val="00E62183"/>
    <w:rsid w:val="00E65722"/>
    <w:rsid w:val="00E66757"/>
    <w:rsid w:val="00E71053"/>
    <w:rsid w:val="00E7180D"/>
    <w:rsid w:val="00E71EF9"/>
    <w:rsid w:val="00E7304F"/>
    <w:rsid w:val="00E73074"/>
    <w:rsid w:val="00E73691"/>
    <w:rsid w:val="00E745F0"/>
    <w:rsid w:val="00E82DBC"/>
    <w:rsid w:val="00E856B0"/>
    <w:rsid w:val="00E8608B"/>
    <w:rsid w:val="00E929DE"/>
    <w:rsid w:val="00E937AE"/>
    <w:rsid w:val="00E938DC"/>
    <w:rsid w:val="00E945A6"/>
    <w:rsid w:val="00E94B91"/>
    <w:rsid w:val="00E95537"/>
    <w:rsid w:val="00E962D6"/>
    <w:rsid w:val="00E970F8"/>
    <w:rsid w:val="00E97FB4"/>
    <w:rsid w:val="00EA08FA"/>
    <w:rsid w:val="00EA30B2"/>
    <w:rsid w:val="00EA4005"/>
    <w:rsid w:val="00EA769A"/>
    <w:rsid w:val="00EB18A1"/>
    <w:rsid w:val="00EB2E73"/>
    <w:rsid w:val="00EB42A9"/>
    <w:rsid w:val="00EB5562"/>
    <w:rsid w:val="00EB7909"/>
    <w:rsid w:val="00EC231A"/>
    <w:rsid w:val="00EC573D"/>
    <w:rsid w:val="00EC75C8"/>
    <w:rsid w:val="00EC761E"/>
    <w:rsid w:val="00ED0781"/>
    <w:rsid w:val="00ED0BA6"/>
    <w:rsid w:val="00ED271C"/>
    <w:rsid w:val="00ED4C8A"/>
    <w:rsid w:val="00ED7B61"/>
    <w:rsid w:val="00EE01A8"/>
    <w:rsid w:val="00EE0282"/>
    <w:rsid w:val="00EE4C0F"/>
    <w:rsid w:val="00EE5354"/>
    <w:rsid w:val="00EF014E"/>
    <w:rsid w:val="00EF12E4"/>
    <w:rsid w:val="00EF2411"/>
    <w:rsid w:val="00EF2613"/>
    <w:rsid w:val="00EF4C75"/>
    <w:rsid w:val="00F064F3"/>
    <w:rsid w:val="00F07C46"/>
    <w:rsid w:val="00F07D87"/>
    <w:rsid w:val="00F07F77"/>
    <w:rsid w:val="00F141B3"/>
    <w:rsid w:val="00F14E50"/>
    <w:rsid w:val="00F169FC"/>
    <w:rsid w:val="00F217D1"/>
    <w:rsid w:val="00F21BD6"/>
    <w:rsid w:val="00F220FA"/>
    <w:rsid w:val="00F2486F"/>
    <w:rsid w:val="00F24A67"/>
    <w:rsid w:val="00F25019"/>
    <w:rsid w:val="00F25672"/>
    <w:rsid w:val="00F3012C"/>
    <w:rsid w:val="00F30693"/>
    <w:rsid w:val="00F33F0F"/>
    <w:rsid w:val="00F40CCC"/>
    <w:rsid w:val="00F42D8F"/>
    <w:rsid w:val="00F46BE0"/>
    <w:rsid w:val="00F4789B"/>
    <w:rsid w:val="00F53623"/>
    <w:rsid w:val="00F53B17"/>
    <w:rsid w:val="00F553D2"/>
    <w:rsid w:val="00F55BD4"/>
    <w:rsid w:val="00F565C3"/>
    <w:rsid w:val="00F56724"/>
    <w:rsid w:val="00F570BA"/>
    <w:rsid w:val="00F602D5"/>
    <w:rsid w:val="00F60BB3"/>
    <w:rsid w:val="00F61998"/>
    <w:rsid w:val="00F62449"/>
    <w:rsid w:val="00F62C3D"/>
    <w:rsid w:val="00F647E3"/>
    <w:rsid w:val="00F658C8"/>
    <w:rsid w:val="00F71129"/>
    <w:rsid w:val="00F73187"/>
    <w:rsid w:val="00F7392E"/>
    <w:rsid w:val="00F74336"/>
    <w:rsid w:val="00F7441C"/>
    <w:rsid w:val="00F7464E"/>
    <w:rsid w:val="00F74F40"/>
    <w:rsid w:val="00F808C2"/>
    <w:rsid w:val="00F82086"/>
    <w:rsid w:val="00F85C5B"/>
    <w:rsid w:val="00F866A6"/>
    <w:rsid w:val="00F86855"/>
    <w:rsid w:val="00F9086D"/>
    <w:rsid w:val="00F918AA"/>
    <w:rsid w:val="00F91FF3"/>
    <w:rsid w:val="00F93181"/>
    <w:rsid w:val="00F94C51"/>
    <w:rsid w:val="00F95B28"/>
    <w:rsid w:val="00F96BA2"/>
    <w:rsid w:val="00FA13E6"/>
    <w:rsid w:val="00FA3E3F"/>
    <w:rsid w:val="00FA4133"/>
    <w:rsid w:val="00FA41F0"/>
    <w:rsid w:val="00FA45C8"/>
    <w:rsid w:val="00FA4948"/>
    <w:rsid w:val="00FA5909"/>
    <w:rsid w:val="00FA7528"/>
    <w:rsid w:val="00FA7CDB"/>
    <w:rsid w:val="00FB1652"/>
    <w:rsid w:val="00FB1CC1"/>
    <w:rsid w:val="00FB1F37"/>
    <w:rsid w:val="00FB33C9"/>
    <w:rsid w:val="00FB508B"/>
    <w:rsid w:val="00FB67E4"/>
    <w:rsid w:val="00FB6F5F"/>
    <w:rsid w:val="00FB7CF2"/>
    <w:rsid w:val="00FC0FB4"/>
    <w:rsid w:val="00FC4720"/>
    <w:rsid w:val="00FC54D3"/>
    <w:rsid w:val="00FC61FB"/>
    <w:rsid w:val="00FD09D0"/>
    <w:rsid w:val="00FD11C2"/>
    <w:rsid w:val="00FD29D4"/>
    <w:rsid w:val="00FD6336"/>
    <w:rsid w:val="00FD6F04"/>
    <w:rsid w:val="00FE3C37"/>
    <w:rsid w:val="00FE53C0"/>
    <w:rsid w:val="00FE6E89"/>
    <w:rsid w:val="00FF0A26"/>
    <w:rsid w:val="00FF1212"/>
    <w:rsid w:val="00FF58CC"/>
    <w:rsid w:val="00FF7641"/>
    <w:rsid w:val="0786D8A1"/>
    <w:rsid w:val="0BD6EED9"/>
    <w:rsid w:val="0CA08572"/>
    <w:rsid w:val="156F4EA2"/>
    <w:rsid w:val="19DD1DF5"/>
    <w:rsid w:val="2253317E"/>
    <w:rsid w:val="231EEE22"/>
    <w:rsid w:val="25D24813"/>
    <w:rsid w:val="2A80B1E3"/>
    <w:rsid w:val="3C9762E5"/>
    <w:rsid w:val="44F4B777"/>
    <w:rsid w:val="4626EA64"/>
    <w:rsid w:val="54BA56D3"/>
    <w:rsid w:val="60DA601C"/>
    <w:rsid w:val="6A0E26D6"/>
    <w:rsid w:val="7807549C"/>
    <w:rsid w:val="7C8E4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A3DF54D"/>
  <w15:chartTrackingRefBased/>
  <w15:docId w15:val="{C1E62089-D4DE-4D5E-A660-EBC597BE5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2B5"/>
    <w:pPr>
      <w:overflowPunct w:val="0"/>
      <w:autoSpaceDE w:val="0"/>
      <w:autoSpaceDN w:val="0"/>
      <w:adjustRightInd w:val="0"/>
      <w:spacing w:after="180" w:line="240" w:lineRule="auto"/>
      <w:textAlignment w:val="baseline"/>
    </w:pPr>
    <w:rPr>
      <w:rFonts w:eastAsia="SimSun" w:cs="Times New Roman"/>
      <w:sz w:val="20"/>
      <w:szCs w:val="20"/>
      <w:lang w:eastAsia="en-US"/>
    </w:rPr>
  </w:style>
  <w:style w:type="paragraph" w:styleId="Heading1">
    <w:name w:val="heading 1"/>
    <w:aliases w:val="H1,h1,Heading 1 3GPP"/>
    <w:basedOn w:val="Header"/>
    <w:next w:val="Normal"/>
    <w:link w:val="Heading1Char"/>
    <w:autoRedefine/>
    <w:qFormat/>
    <w:rsid w:val="00017FC6"/>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017FC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17FC6"/>
    <w:pPr>
      <w:numPr>
        <w:ilvl w:val="2"/>
      </w:numPr>
      <w:spacing w:before="120"/>
      <w:outlineLvl w:val="2"/>
    </w:pPr>
    <w:rPr>
      <w:rFonts w:cs="Times New Roman"/>
      <w:sz w:val="28"/>
    </w:rPr>
  </w:style>
  <w:style w:type="paragraph" w:styleId="Heading4">
    <w:name w:val="heading 4"/>
    <w:basedOn w:val="Heading3"/>
    <w:next w:val="Normal"/>
    <w:link w:val="Heading4Char"/>
    <w:autoRedefine/>
    <w:uiPriority w:val="9"/>
    <w:unhideWhenUsed/>
    <w:qFormat/>
    <w:rsid w:val="00070265"/>
    <w:pPr>
      <w:numPr>
        <w:ilvl w:val="3"/>
      </w:numPr>
      <w:spacing w:before="40" w:after="120"/>
      <w:ind w:left="1299" w:hanging="1225"/>
      <w:outlineLvl w:val="3"/>
    </w:pPr>
    <w:rPr>
      <w:rFonts w:ascii="Times New Roman" w:eastAsiaTheme="majorEastAsia" w:hAnsi="Times New Roman" w:cstheme="majorBidi"/>
      <w:iC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17FC6"/>
    <w:rPr>
      <w:rFonts w:ascii="Arial" w:eastAsia="Arial" w:hAnsi="Arial" w:cstheme="majorBidi"/>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017FC6"/>
    <w:rPr>
      <w:rFonts w:ascii="Arial" w:eastAsia="Arial" w:hAnsi="Arial" w:cstheme="majorBidi"/>
      <w:noProof/>
      <w:sz w:val="32"/>
      <w:szCs w:val="20"/>
      <w:lang w:val="en-GB" w:eastAsia="en-US"/>
    </w:rPr>
  </w:style>
  <w:style w:type="character" w:customStyle="1" w:styleId="Heading3Char">
    <w:name w:val="Heading 3 Char"/>
    <w:aliases w:val="Heading 3 3GPP Char"/>
    <w:basedOn w:val="DefaultParagraphFont"/>
    <w:link w:val="Heading3"/>
    <w:rsid w:val="00017FC6"/>
    <w:rPr>
      <w:rFonts w:ascii="Arial" w:eastAsia="Arial" w:hAnsi="Arial" w:cs="Times New Roman"/>
      <w:noProof/>
      <w:sz w:val="28"/>
      <w:szCs w:val="20"/>
      <w:lang w:val="en-GB" w:eastAsia="en-US"/>
    </w:rPr>
  </w:style>
  <w:style w:type="paragraph" w:customStyle="1" w:styleId="3GPPHeader">
    <w:name w:val="3GPP_Header"/>
    <w:basedOn w:val="Normal"/>
    <w:rsid w:val="00017FC6"/>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017FC6"/>
    <w:pPr>
      <w:overflowPunct/>
      <w:autoSpaceDE/>
      <w:autoSpaceDN/>
      <w:adjustRightInd/>
      <w:spacing w:after="200" w:line="276" w:lineRule="auto"/>
      <w:ind w:left="720"/>
      <w:contextualSpacing/>
      <w:textAlignment w:val="auto"/>
    </w:pPr>
    <w:rPr>
      <w:rFonts w:ascii="Calibri" w:eastAsia="Calibri" w:hAnsi="Calibri"/>
      <w:sz w:val="22"/>
      <w:szCs w:val="22"/>
    </w:rPr>
  </w:style>
  <w:style w:type="table" w:styleId="TableGrid">
    <w:name w:val="Table Grid"/>
    <w:basedOn w:val="TableNormal"/>
    <w:uiPriority w:val="39"/>
    <w:rsid w:val="00017FC6"/>
    <w:pPr>
      <w:spacing w:after="0" w:line="240" w:lineRule="auto"/>
    </w:pPr>
    <w:rPr>
      <w:rFonts w:ascii="CG Times (WN)" w:eastAsia="Calibri"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017FC6"/>
    <w:rPr>
      <w:rFonts w:ascii="Calibri" w:eastAsia="Calibri" w:hAnsi="Calibri" w:cs="Times New Roman"/>
      <w:lang w:eastAsia="en-US"/>
    </w:rPr>
  </w:style>
  <w:style w:type="paragraph" w:customStyle="1" w:styleId="ListParagraph3">
    <w:name w:val="List Paragraph3"/>
    <w:basedOn w:val="Normal"/>
    <w:qFormat/>
    <w:rsid w:val="00017FC6"/>
    <w:pPr>
      <w:overflowPunct/>
      <w:autoSpaceDE/>
      <w:autoSpaceDN/>
      <w:adjustRightInd/>
      <w:spacing w:before="100" w:beforeAutospacing="1" w:line="259" w:lineRule="auto"/>
      <w:ind w:left="720"/>
      <w:contextualSpacing/>
      <w:textAlignment w:val="auto"/>
    </w:pPr>
    <w:rPr>
      <w:sz w:val="24"/>
      <w:szCs w:val="24"/>
      <w:lang w:eastAsia="zh-CN"/>
    </w:rPr>
  </w:style>
  <w:style w:type="paragraph" w:styleId="Header">
    <w:name w:val="header"/>
    <w:basedOn w:val="Normal"/>
    <w:link w:val="HeaderChar"/>
    <w:uiPriority w:val="99"/>
    <w:unhideWhenUsed/>
    <w:rsid w:val="00017FC6"/>
    <w:pPr>
      <w:tabs>
        <w:tab w:val="center" w:pos="4680"/>
        <w:tab w:val="right" w:pos="9360"/>
      </w:tabs>
      <w:spacing w:after="0"/>
    </w:pPr>
  </w:style>
  <w:style w:type="character" w:customStyle="1" w:styleId="HeaderChar">
    <w:name w:val="Header Char"/>
    <w:basedOn w:val="DefaultParagraphFont"/>
    <w:link w:val="Header"/>
    <w:uiPriority w:val="99"/>
    <w:rsid w:val="00017FC6"/>
    <w:rPr>
      <w:rFonts w:ascii="Times New Roman" w:eastAsia="SimSun" w:hAnsi="Times New Roman" w:cs="Times New Roman"/>
      <w:sz w:val="20"/>
      <w:szCs w:val="20"/>
      <w:lang w:eastAsia="en-US"/>
    </w:rPr>
  </w:style>
  <w:style w:type="character" w:customStyle="1" w:styleId="maintextChar">
    <w:name w:val="main text Char"/>
    <w:link w:val="maintext"/>
    <w:qFormat/>
    <w:locked/>
    <w:rsid w:val="00025E78"/>
    <w:rPr>
      <w:rFonts w:eastAsia="Malgun Gothic" w:cs="Batang"/>
      <w:lang w:eastAsia="ko-KR"/>
    </w:rPr>
  </w:style>
  <w:style w:type="paragraph" w:customStyle="1" w:styleId="maintext">
    <w:name w:val="main text"/>
    <w:basedOn w:val="Normal"/>
    <w:link w:val="maintextChar"/>
    <w:qFormat/>
    <w:rsid w:val="00025E78"/>
    <w:pPr>
      <w:overflowPunct/>
      <w:autoSpaceDE/>
      <w:autoSpaceDN/>
      <w:adjustRightInd/>
      <w:spacing w:before="60" w:after="60" w:line="288" w:lineRule="auto"/>
      <w:ind w:firstLineChars="200" w:firstLine="200"/>
      <w:jc w:val="both"/>
      <w:textAlignment w:val="auto"/>
    </w:pPr>
    <w:rPr>
      <w:rFonts w:eastAsia="Malgun Gothic" w:cs="Batang"/>
      <w:sz w:val="22"/>
      <w:szCs w:val="22"/>
      <w:lang w:eastAsia="ko-KR"/>
    </w:rPr>
  </w:style>
  <w:style w:type="paragraph" w:customStyle="1" w:styleId="NO">
    <w:name w:val="NO"/>
    <w:basedOn w:val="Normal"/>
    <w:link w:val="NOChar"/>
    <w:rsid w:val="00B65220"/>
    <w:pPr>
      <w:keepLines/>
      <w:ind w:left="1135" w:hanging="851"/>
    </w:pPr>
    <w:rPr>
      <w:rFonts w:eastAsia="Times New Roman"/>
      <w:lang w:val="en-GB" w:eastAsia="en-GB"/>
    </w:rPr>
  </w:style>
  <w:style w:type="paragraph" w:customStyle="1" w:styleId="B1">
    <w:name w:val="B1"/>
    <w:basedOn w:val="List"/>
    <w:link w:val="B1Char1"/>
    <w:rsid w:val="00B65220"/>
    <w:pPr>
      <w:ind w:left="568" w:hanging="284"/>
      <w:contextualSpacing w:val="0"/>
    </w:pPr>
    <w:rPr>
      <w:rFonts w:eastAsia="Times New Roman"/>
      <w:lang w:val="en-GB" w:eastAsia="en-GB"/>
    </w:rPr>
  </w:style>
  <w:style w:type="character" w:customStyle="1" w:styleId="B1Char1">
    <w:name w:val="B1 Char1"/>
    <w:link w:val="B1"/>
    <w:rsid w:val="00B65220"/>
    <w:rPr>
      <w:rFonts w:ascii="Times New Roman" w:eastAsia="Times New Roman" w:hAnsi="Times New Roman" w:cs="Times New Roman"/>
      <w:sz w:val="20"/>
      <w:szCs w:val="20"/>
      <w:lang w:val="en-GB" w:eastAsia="en-GB"/>
    </w:rPr>
  </w:style>
  <w:style w:type="character" w:customStyle="1" w:styleId="NOChar">
    <w:name w:val="NO Char"/>
    <w:link w:val="NO"/>
    <w:rsid w:val="00B6522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65220"/>
    <w:pPr>
      <w:ind w:left="360" w:hanging="360"/>
      <w:contextualSpacing/>
    </w:pPr>
  </w:style>
  <w:style w:type="character" w:styleId="CommentReference">
    <w:name w:val="annotation reference"/>
    <w:basedOn w:val="DefaultParagraphFont"/>
    <w:uiPriority w:val="99"/>
    <w:semiHidden/>
    <w:unhideWhenUsed/>
    <w:rsid w:val="0002231B"/>
    <w:rPr>
      <w:sz w:val="16"/>
      <w:szCs w:val="16"/>
    </w:rPr>
  </w:style>
  <w:style w:type="paragraph" w:styleId="CommentText">
    <w:name w:val="annotation text"/>
    <w:basedOn w:val="Normal"/>
    <w:link w:val="CommentTextChar"/>
    <w:uiPriority w:val="99"/>
    <w:semiHidden/>
    <w:unhideWhenUsed/>
    <w:rsid w:val="0002231B"/>
  </w:style>
  <w:style w:type="character" w:customStyle="1" w:styleId="CommentTextChar">
    <w:name w:val="Comment Text Char"/>
    <w:basedOn w:val="DefaultParagraphFont"/>
    <w:link w:val="CommentText"/>
    <w:uiPriority w:val="99"/>
    <w:semiHidden/>
    <w:rsid w:val="0002231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02231B"/>
    <w:rPr>
      <w:b/>
      <w:bCs/>
    </w:rPr>
  </w:style>
  <w:style w:type="character" w:customStyle="1" w:styleId="CommentSubjectChar">
    <w:name w:val="Comment Subject Char"/>
    <w:basedOn w:val="CommentTextChar"/>
    <w:link w:val="CommentSubject"/>
    <w:uiPriority w:val="99"/>
    <w:semiHidden/>
    <w:rsid w:val="0002231B"/>
    <w:rPr>
      <w:rFonts w:ascii="Times New Roman" w:eastAsia="SimSun" w:hAnsi="Times New Roman" w:cs="Times New Roman"/>
      <w:b/>
      <w:bCs/>
      <w:sz w:val="20"/>
      <w:szCs w:val="20"/>
      <w:lang w:eastAsia="en-US"/>
    </w:rPr>
  </w:style>
  <w:style w:type="character" w:customStyle="1" w:styleId="fontstyle01">
    <w:name w:val="fontstyle01"/>
    <w:basedOn w:val="DefaultParagraphFont"/>
    <w:rsid w:val="00315F5E"/>
    <w:rPr>
      <w:rFonts w:ascii="MnSymbol10" w:hAnsi="MnSymbol10" w:hint="default"/>
      <w:b w:val="0"/>
      <w:bCs w:val="0"/>
      <w:i w:val="0"/>
      <w:iCs w:val="0"/>
      <w:color w:val="000000"/>
      <w:sz w:val="22"/>
      <w:szCs w:val="22"/>
    </w:rPr>
  </w:style>
  <w:style w:type="character" w:customStyle="1" w:styleId="fontstyle21">
    <w:name w:val="fontstyle21"/>
    <w:basedOn w:val="DefaultParagraphFont"/>
    <w:rsid w:val="00315F5E"/>
    <w:rPr>
      <w:rFonts w:ascii="TimesNewRomanPSMT" w:hAnsi="TimesNewRomanPSMT" w:hint="default"/>
      <w:b w:val="0"/>
      <w:bCs w:val="0"/>
      <w:i w:val="0"/>
      <w:iCs w:val="0"/>
      <w:color w:val="000000"/>
      <w:sz w:val="22"/>
      <w:szCs w:val="22"/>
    </w:rPr>
  </w:style>
  <w:style w:type="paragraph" w:styleId="Footer">
    <w:name w:val="footer"/>
    <w:basedOn w:val="Normal"/>
    <w:link w:val="FooterChar"/>
    <w:uiPriority w:val="99"/>
    <w:unhideWhenUsed/>
    <w:rsid w:val="00094E6A"/>
    <w:pPr>
      <w:tabs>
        <w:tab w:val="center" w:pos="4680"/>
        <w:tab w:val="right" w:pos="9360"/>
      </w:tabs>
      <w:spacing w:after="0"/>
    </w:pPr>
  </w:style>
  <w:style w:type="character" w:customStyle="1" w:styleId="FooterChar">
    <w:name w:val="Footer Char"/>
    <w:basedOn w:val="DefaultParagraphFont"/>
    <w:link w:val="Footer"/>
    <w:uiPriority w:val="99"/>
    <w:rsid w:val="00094E6A"/>
    <w:rPr>
      <w:rFonts w:ascii="Times New Roman" w:eastAsia="SimSun" w:hAnsi="Times New Roman" w:cs="Times New Roman"/>
      <w:sz w:val="20"/>
      <w:szCs w:val="20"/>
      <w:lang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E3250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B85CBB"/>
    <w:rPr>
      <w:rFonts w:ascii="Times New Roman" w:eastAsia="SimSun" w:hAnsi="Times New Roman" w:cs="Times New Roman"/>
      <w:i/>
      <w:iCs/>
      <w:color w:val="44546A" w:themeColor="text2"/>
      <w:sz w:val="18"/>
      <w:szCs w:val="18"/>
      <w:lang w:eastAsia="en-US"/>
    </w:rPr>
  </w:style>
  <w:style w:type="character" w:customStyle="1" w:styleId="Heading4Char">
    <w:name w:val="Heading 4 Char"/>
    <w:basedOn w:val="DefaultParagraphFont"/>
    <w:link w:val="Heading4"/>
    <w:uiPriority w:val="9"/>
    <w:rsid w:val="00070265"/>
    <w:rPr>
      <w:rFonts w:ascii="Times New Roman" w:eastAsiaTheme="majorEastAsia" w:hAnsi="Times New Roman" w:cstheme="majorBidi"/>
      <w:iCs/>
      <w:noProof/>
      <w:sz w:val="24"/>
      <w:szCs w:val="20"/>
      <w:lang w:val="en-GB"/>
    </w:rPr>
  </w:style>
  <w:style w:type="character" w:styleId="Hyperlink">
    <w:name w:val="Hyperlink"/>
    <w:basedOn w:val="DefaultParagraphFont"/>
    <w:uiPriority w:val="99"/>
    <w:semiHidden/>
    <w:unhideWhenUsed/>
    <w:rsid w:val="00016354"/>
    <w:rPr>
      <w:color w:val="0000FF"/>
      <w:u w:val="single"/>
    </w:rPr>
  </w:style>
  <w:style w:type="paragraph" w:customStyle="1" w:styleId="Obs-prop">
    <w:name w:val="Obs-prop"/>
    <w:basedOn w:val="Normal"/>
    <w:next w:val="Normal"/>
    <w:qFormat/>
    <w:rsid w:val="00193B20"/>
    <w:pPr>
      <w:overflowPunct/>
      <w:autoSpaceDE/>
      <w:autoSpaceDN/>
      <w:adjustRightInd/>
      <w:spacing w:after="160"/>
      <w:textAlignment w:val="auto"/>
    </w:pPr>
    <w:rPr>
      <w:rFonts w:eastAsiaTheme="minorHAnsi" w:cstheme="minorBidi"/>
      <w:b/>
      <w:bCs/>
      <w:sz w:val="22"/>
      <w:szCs w:val="22"/>
      <w:lang w:val="en-GB"/>
    </w:rPr>
  </w:style>
  <w:style w:type="paragraph" w:customStyle="1" w:styleId="Agreement">
    <w:name w:val="Agreement"/>
    <w:basedOn w:val="Normal"/>
    <w:next w:val="Normal"/>
    <w:qFormat/>
    <w:rsid w:val="00A82210"/>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styleId="IntenseEmphasis">
    <w:name w:val="Intense Emphasis"/>
    <w:basedOn w:val="DefaultParagraphFont"/>
    <w:uiPriority w:val="21"/>
    <w:qFormat/>
    <w:rsid w:val="00E73691"/>
    <w:rPr>
      <w:i/>
      <w:iCs/>
      <w:color w:val="4472C4" w:themeColor="accent1"/>
    </w:rPr>
  </w:style>
  <w:style w:type="paragraph" w:styleId="Revision">
    <w:name w:val="Revision"/>
    <w:hidden/>
    <w:uiPriority w:val="99"/>
    <w:semiHidden/>
    <w:rsid w:val="000925FC"/>
    <w:pPr>
      <w:spacing w:after="0" w:line="240" w:lineRule="auto"/>
    </w:pPr>
    <w:rPr>
      <w:rFonts w:eastAsia="SimSu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69028">
      <w:bodyDiv w:val="1"/>
      <w:marLeft w:val="0"/>
      <w:marRight w:val="0"/>
      <w:marTop w:val="0"/>
      <w:marBottom w:val="0"/>
      <w:divBdr>
        <w:top w:val="none" w:sz="0" w:space="0" w:color="auto"/>
        <w:left w:val="none" w:sz="0" w:space="0" w:color="auto"/>
        <w:bottom w:val="none" w:sz="0" w:space="0" w:color="auto"/>
        <w:right w:val="none" w:sz="0" w:space="0" w:color="auto"/>
      </w:divBdr>
    </w:div>
    <w:div w:id="180908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 Ziyi</DisplayName>
        <AccountId>51</AccountId>
        <AccountType/>
      </UserInfo>
      <UserInfo>
        <DisplayName>Heo, Youn Hyoung</DisplayName>
        <AccountId>15</AccountId>
        <AccountType/>
      </UserInfo>
      <UserInfo>
        <DisplayName>Palat, Sudeep K</DisplayName>
        <AccountId>18</AccountId>
        <AccountType/>
      </UserInfo>
      <UserInfo>
        <DisplayName>Han, Jaemin</DisplayName>
        <AccountId>52</AccountId>
        <AccountType/>
      </UserInfo>
      <UserInfo>
        <DisplayName>Burbidge, Richard C</DisplayName>
        <AccountId>7</AccountId>
        <AccountType/>
      </UserInfo>
      <UserInfo>
        <DisplayName>Han, Seunghee</DisplayName>
        <AccountId>12</AccountId>
        <AccountType/>
      </UserInfo>
      <UserInfo>
        <DisplayName>Shi, Xiaoyan</DisplayName>
        <AccountId>123</AccountId>
        <AccountType/>
      </UserInfo>
      <UserInfo>
        <DisplayName>Stojanovski, Saso</DisplayName>
        <AccountId>81</AccountId>
        <AccountType/>
      </UserInfo>
      <UserInfo>
        <DisplayName>Jain, Puneet</DisplayName>
        <AccountId>47</AccountId>
        <AccountType/>
      </UserInfo>
    </SharedWithUsers>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9BBDF-4535-437E-9BAA-229DEED0C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8AB8E7-A1A2-43C7-8D4B-A8030B60F8C9}">
  <ds:schemaRefs>
    <ds:schemaRef ds:uri="http://schemas.openxmlformats.org/officeDocument/2006/bibliography"/>
  </ds:schemaRefs>
</ds:datastoreItem>
</file>

<file path=customXml/itemProps3.xml><?xml version="1.0" encoding="utf-8"?>
<ds:datastoreItem xmlns:ds="http://schemas.openxmlformats.org/officeDocument/2006/customXml" ds:itemID="{10A33902-14B9-4C4B-B581-164D988D44BB}">
  <ds:schemaRefs>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http://schemas.openxmlformats.org/package/2006/metadata/core-properties"/>
    <ds:schemaRef ds:uri="042397af-7977-45ef-9118-11c18c8623b6"/>
    <ds:schemaRef ds:uri="80530660-24fd-4391-a7a1-d653900fee43"/>
    <ds:schemaRef ds:uri="http://www.w3.org/XML/1998/namespace"/>
    <ds:schemaRef ds:uri="http://purl.org/dc/elements/1.1/"/>
  </ds:schemaRefs>
</ds:datastoreItem>
</file>

<file path=customXml/itemProps4.xml><?xml version="1.0" encoding="utf-8"?>
<ds:datastoreItem xmlns:ds="http://schemas.openxmlformats.org/officeDocument/2006/customXml" ds:itemID="{9FA82241-9495-4AED-8FAA-E7E8334599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2565</Words>
  <Characters>14621</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Intel-Ziyi</dc:creator>
  <cp:keywords/>
  <dc:description/>
  <cp:lastModifiedBy>Palat, Sudeep K</cp:lastModifiedBy>
  <cp:revision>2</cp:revision>
  <dcterms:created xsi:type="dcterms:W3CDTF">2022-09-30T06:46:00Z</dcterms:created>
  <dcterms:modified xsi:type="dcterms:W3CDTF">2022-09-30T06:46:00Z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