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CEEE1F" w14:textId="1774B9A5" w:rsidR="00A32E79" w:rsidRPr="00A32E79" w:rsidRDefault="00A32E79" w:rsidP="00A32E79">
      <w:pPr>
        <w:widowControl w:val="0"/>
        <w:tabs>
          <w:tab w:val="left" w:pos="1701"/>
          <w:tab w:val="right" w:pos="9923"/>
        </w:tabs>
        <w:overflowPunct/>
        <w:autoSpaceDE/>
        <w:autoSpaceDN/>
        <w:adjustRightInd/>
        <w:spacing w:before="120" w:after="0"/>
        <w:textAlignment w:val="auto"/>
        <w:rPr>
          <w:rFonts w:ascii="Arial" w:eastAsia="MS Mincho" w:hAnsi="Arial"/>
          <w:b/>
          <w:sz w:val="24"/>
          <w:szCs w:val="24"/>
          <w:lang w:eastAsia="x-none"/>
        </w:rPr>
      </w:pPr>
      <w:bookmarkStart w:id="0" w:name="OLE_LINK137"/>
      <w:bookmarkStart w:id="1" w:name="OLE_LINK138"/>
      <w:bookmarkStart w:id="2" w:name="_Toc20425633"/>
      <w:bookmarkStart w:id="3" w:name="_Toc29321029"/>
      <w:bookmarkStart w:id="4" w:name="_Toc36756613"/>
      <w:bookmarkStart w:id="5" w:name="_Toc36836154"/>
      <w:bookmarkStart w:id="6" w:name="_Toc36843131"/>
      <w:bookmarkStart w:id="7" w:name="_Toc37067420"/>
      <w:r w:rsidRPr="00A32E79">
        <w:rPr>
          <w:rFonts w:ascii="Arial" w:eastAsia="MS Mincho" w:hAnsi="Arial"/>
          <w:b/>
          <w:sz w:val="24"/>
          <w:szCs w:val="24"/>
          <w:lang w:eastAsia="x-none"/>
        </w:rPr>
        <w:t>3GPP TSG-R</w:t>
      </w:r>
      <w:r w:rsidR="00733538">
        <w:rPr>
          <w:rFonts w:ascii="Arial" w:eastAsia="MS Mincho" w:hAnsi="Arial"/>
          <w:b/>
          <w:sz w:val="24"/>
          <w:szCs w:val="24"/>
          <w:lang w:eastAsia="x-none"/>
        </w:rPr>
        <w:t>AN WG2</w:t>
      </w:r>
      <w:r w:rsidR="000862F0">
        <w:rPr>
          <w:rFonts w:ascii="Arial" w:eastAsia="MS Mincho" w:hAnsi="Arial"/>
          <w:b/>
          <w:sz w:val="24"/>
          <w:szCs w:val="24"/>
          <w:lang w:eastAsia="x-none"/>
        </w:rPr>
        <w:t>#11</w:t>
      </w:r>
      <w:r w:rsidR="00395E10">
        <w:rPr>
          <w:rFonts w:ascii="Arial" w:eastAsia="MS Mincho" w:hAnsi="Arial"/>
          <w:b/>
          <w:sz w:val="24"/>
          <w:szCs w:val="24"/>
          <w:lang w:eastAsia="x-none"/>
        </w:rPr>
        <w:t>9</w:t>
      </w:r>
      <w:r w:rsidR="00160D89">
        <w:rPr>
          <w:rFonts w:ascii="Arial" w:eastAsia="MS Mincho" w:hAnsi="Arial"/>
          <w:b/>
          <w:sz w:val="24"/>
          <w:szCs w:val="24"/>
          <w:lang w:eastAsia="x-none"/>
        </w:rPr>
        <w:t>bis</w:t>
      </w:r>
      <w:r w:rsidR="000862F0">
        <w:rPr>
          <w:rFonts w:ascii="Arial" w:eastAsia="MS Mincho" w:hAnsi="Arial"/>
          <w:b/>
          <w:sz w:val="24"/>
          <w:szCs w:val="24"/>
          <w:lang w:eastAsia="x-none"/>
        </w:rPr>
        <w:t>-e</w:t>
      </w:r>
      <w:r w:rsidR="00733538">
        <w:rPr>
          <w:rFonts w:ascii="Arial" w:eastAsia="MS Mincho" w:hAnsi="Arial"/>
          <w:b/>
          <w:sz w:val="24"/>
          <w:szCs w:val="24"/>
          <w:lang w:eastAsia="x-none"/>
        </w:rPr>
        <w:tab/>
        <w:t>R2-2</w:t>
      </w:r>
      <w:r w:rsidR="008F13D7">
        <w:rPr>
          <w:rFonts w:ascii="Arial" w:eastAsia="MS Mincho" w:hAnsi="Arial"/>
          <w:b/>
          <w:sz w:val="24"/>
          <w:szCs w:val="24"/>
          <w:lang w:eastAsia="x-none"/>
        </w:rPr>
        <w:t>2</w:t>
      </w:r>
      <w:r w:rsidR="00033CCB">
        <w:rPr>
          <w:rFonts w:ascii="Arial" w:eastAsia="MS Mincho" w:hAnsi="Arial"/>
          <w:b/>
          <w:sz w:val="24"/>
          <w:szCs w:val="24"/>
          <w:lang w:eastAsia="x-none"/>
        </w:rPr>
        <w:t>09536</w:t>
      </w:r>
    </w:p>
    <w:p w14:paraId="7791F180" w14:textId="0A0C38C7" w:rsidR="00A32E79" w:rsidRPr="00A32E79" w:rsidRDefault="00A32E79" w:rsidP="00A32E79">
      <w:pPr>
        <w:widowControl w:val="0"/>
        <w:tabs>
          <w:tab w:val="left" w:pos="1701"/>
          <w:tab w:val="right" w:pos="9923"/>
        </w:tabs>
        <w:overflowPunct/>
        <w:autoSpaceDE/>
        <w:autoSpaceDN/>
        <w:adjustRightInd/>
        <w:spacing w:before="120" w:after="0"/>
        <w:textAlignment w:val="auto"/>
        <w:rPr>
          <w:rFonts w:ascii="Arial" w:eastAsia="MS Mincho" w:hAnsi="Arial"/>
          <w:b/>
          <w:sz w:val="24"/>
          <w:szCs w:val="24"/>
          <w:lang w:eastAsia="x-none"/>
        </w:rPr>
      </w:pPr>
      <w:r w:rsidRPr="00A32E79">
        <w:rPr>
          <w:rFonts w:ascii="Arial" w:eastAsia="MS Mincho" w:hAnsi="Arial"/>
          <w:b/>
          <w:sz w:val="24"/>
          <w:szCs w:val="24"/>
          <w:lang w:eastAsia="x-none"/>
        </w:rPr>
        <w:t xml:space="preserve">Online, </w:t>
      </w:r>
      <w:r w:rsidR="00160D89">
        <w:rPr>
          <w:rFonts w:ascii="Arial" w:eastAsia="MS Mincho" w:hAnsi="Arial"/>
          <w:b/>
          <w:sz w:val="24"/>
          <w:szCs w:val="24"/>
          <w:lang w:eastAsia="x-none"/>
        </w:rPr>
        <w:t>10-19</w:t>
      </w:r>
      <w:r w:rsidRPr="00A32E79">
        <w:rPr>
          <w:rFonts w:ascii="Arial" w:eastAsia="MS Mincho" w:hAnsi="Arial"/>
          <w:b/>
          <w:sz w:val="24"/>
          <w:szCs w:val="24"/>
          <w:lang w:eastAsia="x-none"/>
        </w:rPr>
        <w:t xml:space="preserve"> </w:t>
      </w:r>
      <w:r w:rsidR="00160D89">
        <w:rPr>
          <w:rFonts w:ascii="Arial" w:eastAsia="MS Mincho" w:hAnsi="Arial"/>
          <w:b/>
          <w:sz w:val="24"/>
          <w:szCs w:val="24"/>
          <w:lang w:eastAsia="x-none"/>
        </w:rPr>
        <w:t>October</w:t>
      </w:r>
      <w:r w:rsidR="00733538">
        <w:rPr>
          <w:rFonts w:ascii="Arial" w:eastAsia="MS Mincho" w:hAnsi="Arial"/>
          <w:b/>
          <w:sz w:val="24"/>
          <w:szCs w:val="24"/>
          <w:lang w:eastAsia="x-none"/>
        </w:rPr>
        <w:t xml:space="preserve"> 202</w:t>
      </w:r>
      <w:r w:rsidR="008F13D7">
        <w:rPr>
          <w:rFonts w:ascii="Arial" w:eastAsia="MS Mincho" w:hAnsi="Arial"/>
          <w:b/>
          <w:sz w:val="24"/>
          <w:szCs w:val="24"/>
          <w:lang w:eastAsia="x-none"/>
        </w:rPr>
        <w:t>2</w:t>
      </w:r>
    </w:p>
    <w:p w14:paraId="34EABE53" w14:textId="77777777" w:rsidR="00A32E79" w:rsidRPr="00A32E79" w:rsidRDefault="00A32E79" w:rsidP="00A32E79">
      <w:pPr>
        <w:widowControl w:val="0"/>
        <w:tabs>
          <w:tab w:val="right" w:pos="8280"/>
          <w:tab w:val="right" w:pos="9781"/>
        </w:tabs>
        <w:spacing w:after="120"/>
        <w:ind w:right="-57"/>
        <w:rPr>
          <w:rFonts w:ascii="Arial" w:hAnsi="Arial" w:cs="Arial"/>
          <w:b/>
          <w:sz w:val="24"/>
          <w:szCs w:val="28"/>
          <w:lang w:eastAsia="x-none"/>
        </w:rPr>
      </w:pPr>
    </w:p>
    <w:p w14:paraId="2C9455B0" w14:textId="77777777" w:rsidR="00A32E79" w:rsidRPr="00A32E79" w:rsidRDefault="00A32E79" w:rsidP="00A32E79">
      <w:pPr>
        <w:tabs>
          <w:tab w:val="left" w:pos="1701"/>
          <w:tab w:val="right" w:pos="9639"/>
        </w:tabs>
        <w:spacing w:after="240"/>
        <w:jc w:val="both"/>
        <w:textAlignment w:val="auto"/>
        <w:rPr>
          <w:rFonts w:ascii="Arial" w:eastAsia="PMingLiU" w:hAnsi="Arial" w:cs="Arial"/>
          <w:b/>
          <w:color w:val="FF0000"/>
          <w:sz w:val="24"/>
          <w:szCs w:val="24"/>
          <w:lang w:eastAsia="zh-TW"/>
        </w:rPr>
      </w:pPr>
    </w:p>
    <w:p w14:paraId="51A80B1E" w14:textId="61A509C8" w:rsidR="00A32E79" w:rsidRPr="00A32E79" w:rsidRDefault="00A32E79" w:rsidP="00A32E79">
      <w:pPr>
        <w:tabs>
          <w:tab w:val="left" w:pos="1701"/>
          <w:tab w:val="right" w:pos="9639"/>
        </w:tabs>
        <w:spacing w:after="240"/>
        <w:jc w:val="both"/>
        <w:textAlignment w:val="auto"/>
        <w:rPr>
          <w:rFonts w:ascii="Arial" w:eastAsia="PMingLiU" w:hAnsi="Arial" w:cs="Arial"/>
          <w:b/>
          <w:sz w:val="24"/>
          <w:szCs w:val="24"/>
          <w:lang w:eastAsia="zh-CN"/>
        </w:rPr>
      </w:pPr>
      <w:r w:rsidRPr="00A32E79">
        <w:rPr>
          <w:rFonts w:ascii="Arial" w:eastAsia="PMingLiU" w:hAnsi="Arial" w:cs="Arial"/>
          <w:b/>
          <w:sz w:val="24"/>
          <w:szCs w:val="24"/>
          <w:lang w:eastAsia="zh-CN"/>
        </w:rPr>
        <w:t>Agenda Item:</w:t>
      </w:r>
      <w:r w:rsidRPr="00A32E79">
        <w:rPr>
          <w:rFonts w:ascii="Arial" w:eastAsia="PMingLiU" w:hAnsi="Arial" w:cs="Arial"/>
          <w:b/>
          <w:sz w:val="24"/>
          <w:szCs w:val="24"/>
          <w:lang w:eastAsia="zh-CN"/>
        </w:rPr>
        <w:tab/>
      </w:r>
      <w:r w:rsidR="00A12795">
        <w:rPr>
          <w:rFonts w:ascii="Arial" w:eastAsia="PMingLiU" w:hAnsi="Arial" w:cs="Arial"/>
          <w:b/>
          <w:sz w:val="24"/>
          <w:szCs w:val="24"/>
          <w:lang w:eastAsia="zh-CN"/>
        </w:rPr>
        <w:t>8.2.2</w:t>
      </w:r>
    </w:p>
    <w:p w14:paraId="36BF50FF" w14:textId="77777777" w:rsidR="00A32E79" w:rsidRPr="00A32E79" w:rsidRDefault="00A32E79" w:rsidP="00A32E79">
      <w:pPr>
        <w:tabs>
          <w:tab w:val="left" w:pos="1701"/>
          <w:tab w:val="right" w:pos="9639"/>
        </w:tabs>
        <w:spacing w:after="240"/>
        <w:jc w:val="both"/>
        <w:textAlignment w:val="auto"/>
        <w:rPr>
          <w:rFonts w:ascii="Arial" w:eastAsia="PMingLiU" w:hAnsi="Arial" w:cs="Arial"/>
          <w:b/>
          <w:sz w:val="24"/>
          <w:szCs w:val="24"/>
          <w:lang w:eastAsia="zh-CN"/>
        </w:rPr>
      </w:pPr>
      <w:r w:rsidRPr="00A32E79">
        <w:rPr>
          <w:rFonts w:ascii="Arial" w:eastAsia="PMingLiU" w:hAnsi="Arial" w:cs="Arial"/>
          <w:b/>
          <w:sz w:val="24"/>
          <w:szCs w:val="24"/>
          <w:lang w:eastAsia="zh-CN"/>
        </w:rPr>
        <w:t xml:space="preserve">Source: </w:t>
      </w:r>
      <w:r w:rsidRPr="00A32E79">
        <w:rPr>
          <w:rFonts w:ascii="Arial" w:eastAsia="PMingLiU" w:hAnsi="Arial" w:cs="Arial"/>
          <w:b/>
          <w:sz w:val="24"/>
          <w:szCs w:val="24"/>
          <w:lang w:eastAsia="zh-CN"/>
        </w:rPr>
        <w:tab/>
        <w:t>MediaTek Inc.</w:t>
      </w:r>
    </w:p>
    <w:p w14:paraId="64930AF8" w14:textId="799341D4" w:rsidR="00A32E79" w:rsidRPr="00A32E79" w:rsidRDefault="00A32E79" w:rsidP="00540CBB">
      <w:pPr>
        <w:tabs>
          <w:tab w:val="left" w:pos="1701"/>
        </w:tabs>
        <w:overflowPunct/>
        <w:autoSpaceDE/>
        <w:autoSpaceDN/>
        <w:adjustRightInd/>
        <w:spacing w:after="0"/>
        <w:ind w:left="1710" w:hanging="1710"/>
        <w:textAlignment w:val="auto"/>
        <w:rPr>
          <w:rFonts w:ascii="Arial" w:eastAsia="PMingLiU" w:hAnsi="Arial" w:cs="Arial"/>
          <w:b/>
          <w:sz w:val="24"/>
          <w:szCs w:val="24"/>
          <w:lang w:eastAsia="zh-TW"/>
        </w:rPr>
      </w:pPr>
      <w:r w:rsidRPr="00A32E79">
        <w:rPr>
          <w:rFonts w:ascii="Arial" w:eastAsia="PMingLiU" w:hAnsi="Arial" w:cs="Arial"/>
          <w:b/>
          <w:sz w:val="24"/>
          <w:szCs w:val="24"/>
          <w:lang w:eastAsia="zh-CN"/>
        </w:rPr>
        <w:t xml:space="preserve">Title:  </w:t>
      </w:r>
      <w:r w:rsidRPr="00A32E79">
        <w:rPr>
          <w:rFonts w:ascii="Arial" w:eastAsia="PMingLiU" w:hAnsi="Arial" w:cs="Arial"/>
          <w:b/>
          <w:sz w:val="24"/>
          <w:szCs w:val="24"/>
          <w:lang w:eastAsia="zh-CN"/>
        </w:rPr>
        <w:tab/>
      </w:r>
      <w:r w:rsidR="00160D89">
        <w:rPr>
          <w:rFonts w:ascii="Arial" w:eastAsia="PMingLiU" w:hAnsi="Arial" w:cs="Arial"/>
          <w:b/>
          <w:sz w:val="24"/>
          <w:szCs w:val="24"/>
          <w:lang w:eastAsia="zh-CN"/>
        </w:rPr>
        <w:t>SL-PRS configuration</w:t>
      </w:r>
    </w:p>
    <w:p w14:paraId="7818BF1B" w14:textId="77777777" w:rsidR="00A32E79" w:rsidRPr="00A32E79" w:rsidRDefault="00A32E79" w:rsidP="00A32E79">
      <w:pPr>
        <w:tabs>
          <w:tab w:val="left" w:pos="1701"/>
        </w:tabs>
        <w:overflowPunct/>
        <w:autoSpaceDE/>
        <w:autoSpaceDN/>
        <w:adjustRightInd/>
        <w:spacing w:after="0"/>
        <w:textAlignment w:val="auto"/>
        <w:rPr>
          <w:rFonts w:ascii="Arial" w:eastAsia="PMingLiU" w:hAnsi="Arial" w:cs="Arial"/>
          <w:b/>
          <w:sz w:val="24"/>
          <w:szCs w:val="24"/>
          <w:lang w:eastAsia="zh-TW"/>
        </w:rPr>
      </w:pPr>
    </w:p>
    <w:p w14:paraId="6868680A" w14:textId="77777777" w:rsidR="00A32E79" w:rsidRPr="00A32E79" w:rsidRDefault="00A32E79" w:rsidP="00A32E79">
      <w:pPr>
        <w:tabs>
          <w:tab w:val="left" w:pos="1701"/>
          <w:tab w:val="right" w:pos="9639"/>
        </w:tabs>
        <w:spacing w:after="240"/>
        <w:jc w:val="both"/>
        <w:textAlignment w:val="auto"/>
        <w:rPr>
          <w:rFonts w:ascii="Arial" w:eastAsia="PMingLiU" w:hAnsi="Arial" w:cs="Arial"/>
          <w:b/>
          <w:sz w:val="24"/>
          <w:szCs w:val="24"/>
          <w:lang w:eastAsia="zh-CN"/>
        </w:rPr>
      </w:pPr>
      <w:r w:rsidRPr="00A32E79">
        <w:rPr>
          <w:rFonts w:ascii="Arial" w:eastAsia="PMingLiU" w:hAnsi="Arial" w:cs="Arial"/>
          <w:b/>
          <w:sz w:val="24"/>
          <w:szCs w:val="24"/>
          <w:lang w:eastAsia="zh-CN"/>
        </w:rPr>
        <w:t>Document for:</w:t>
      </w:r>
      <w:r w:rsidRPr="00A32E79">
        <w:rPr>
          <w:rFonts w:ascii="Arial" w:eastAsia="PMingLiU" w:hAnsi="Arial" w:cs="Arial"/>
          <w:b/>
          <w:sz w:val="24"/>
          <w:szCs w:val="24"/>
          <w:lang w:eastAsia="zh-CN"/>
        </w:rPr>
        <w:tab/>
        <w:t>Discussion, decision</w:t>
      </w:r>
    </w:p>
    <w:p w14:paraId="086C43F1" w14:textId="1ED206EC" w:rsidR="00A32E79" w:rsidRPr="00A32E79" w:rsidRDefault="00B47D49" w:rsidP="00A32E79">
      <w:pPr>
        <w:keepNext/>
        <w:keepLines/>
        <w:pBdr>
          <w:top w:val="single" w:sz="12" w:space="3" w:color="auto"/>
        </w:pBdr>
        <w:tabs>
          <w:tab w:val="num" w:pos="432"/>
        </w:tabs>
        <w:spacing w:before="240"/>
        <w:ind w:left="432" w:hanging="432"/>
        <w:textAlignment w:val="auto"/>
        <w:outlineLvl w:val="0"/>
        <w:rPr>
          <w:rFonts w:ascii="Arial" w:eastAsia="PMingLiU" w:hAnsi="Arial" w:cs="Arial"/>
          <w:sz w:val="36"/>
          <w:lang w:eastAsia="en-US"/>
        </w:rPr>
      </w:pPr>
      <w:r>
        <w:rPr>
          <w:rFonts w:ascii="Arial" w:eastAsia="PMingLiU" w:hAnsi="Arial" w:cs="Arial"/>
          <w:sz w:val="36"/>
          <w:lang w:eastAsia="en-US"/>
        </w:rPr>
        <w:t>1</w:t>
      </w:r>
      <w:r>
        <w:rPr>
          <w:rFonts w:ascii="Arial" w:eastAsia="PMingLiU" w:hAnsi="Arial" w:cs="Arial"/>
          <w:sz w:val="36"/>
          <w:lang w:eastAsia="en-US"/>
        </w:rPr>
        <w:tab/>
      </w:r>
      <w:r w:rsidR="00A32E79" w:rsidRPr="00A32E79">
        <w:rPr>
          <w:rFonts w:ascii="Arial" w:eastAsia="PMingLiU" w:hAnsi="Arial" w:cs="Arial"/>
          <w:sz w:val="36"/>
          <w:lang w:eastAsia="en-US"/>
        </w:rPr>
        <w:t>Introduction</w:t>
      </w:r>
      <w:bookmarkStart w:id="8" w:name="OLE_LINK39"/>
      <w:bookmarkStart w:id="9" w:name="OLE_LINK38"/>
      <w:bookmarkStart w:id="10" w:name="OLE_LINK37"/>
    </w:p>
    <w:p w14:paraId="74120639" w14:textId="4370FC23" w:rsidR="00D74E5B" w:rsidRPr="00675438" w:rsidRDefault="00395E10" w:rsidP="002018B9">
      <w:pPr>
        <w:overflowPunct/>
        <w:autoSpaceDE/>
        <w:autoSpaceDN/>
        <w:adjustRightInd/>
        <w:spacing w:after="240"/>
        <w:textAlignment w:val="auto"/>
      </w:pPr>
      <w:r>
        <w:rPr>
          <w:rFonts w:ascii="Calibri" w:eastAsia="PMingLiU" w:hAnsi="Calibri"/>
          <w:sz w:val="22"/>
          <w:szCs w:val="22"/>
          <w:lang w:eastAsia="zh-TW"/>
        </w:rPr>
        <w:t xml:space="preserve">This document </w:t>
      </w:r>
      <w:r w:rsidR="00DB1AE8">
        <w:rPr>
          <w:rFonts w:ascii="Calibri" w:eastAsia="PMingLiU" w:hAnsi="Calibri"/>
          <w:sz w:val="22"/>
          <w:szCs w:val="22"/>
          <w:lang w:eastAsia="zh-TW"/>
        </w:rPr>
        <w:t>describes several aspects of SL-PRS configuration between peer UEs.</w:t>
      </w:r>
    </w:p>
    <w:p w14:paraId="443E6F95" w14:textId="055BD3D7" w:rsidR="00A32E79" w:rsidRPr="00A32E79" w:rsidRDefault="00B47D49" w:rsidP="00A32E79">
      <w:pPr>
        <w:keepNext/>
        <w:keepLines/>
        <w:pBdr>
          <w:top w:val="single" w:sz="12" w:space="3" w:color="auto"/>
        </w:pBdr>
        <w:tabs>
          <w:tab w:val="num" w:pos="432"/>
        </w:tabs>
        <w:spacing w:before="240"/>
        <w:ind w:left="432" w:hanging="432"/>
        <w:textAlignment w:val="auto"/>
        <w:outlineLvl w:val="0"/>
        <w:rPr>
          <w:rFonts w:ascii="Arial" w:eastAsia="PMingLiU" w:hAnsi="Arial" w:cs="Arial"/>
          <w:sz w:val="36"/>
          <w:lang w:eastAsia="en-US"/>
        </w:rPr>
      </w:pPr>
      <w:bookmarkStart w:id="11" w:name="OLE_LINK41"/>
      <w:bookmarkStart w:id="12" w:name="OLE_LINK24"/>
      <w:bookmarkStart w:id="13" w:name="OLE_LINK17"/>
      <w:bookmarkStart w:id="14" w:name="OLE_LINK16"/>
      <w:bookmarkEnd w:id="8"/>
      <w:bookmarkEnd w:id="9"/>
      <w:bookmarkEnd w:id="10"/>
      <w:r>
        <w:rPr>
          <w:rFonts w:ascii="Arial" w:eastAsia="PMingLiU" w:hAnsi="Arial" w:cs="Arial"/>
          <w:sz w:val="36"/>
          <w:lang w:eastAsia="en-US"/>
        </w:rPr>
        <w:t>2</w:t>
      </w:r>
      <w:r>
        <w:rPr>
          <w:rFonts w:ascii="Arial" w:eastAsia="PMingLiU" w:hAnsi="Arial" w:cs="Arial"/>
          <w:sz w:val="36"/>
          <w:lang w:eastAsia="en-US"/>
        </w:rPr>
        <w:tab/>
      </w:r>
      <w:r w:rsidR="005E0904">
        <w:rPr>
          <w:rFonts w:ascii="Arial" w:eastAsia="PMingLiU" w:hAnsi="Arial" w:cs="Arial"/>
          <w:sz w:val="36"/>
          <w:lang w:eastAsia="en-US"/>
        </w:rPr>
        <w:t>Discussion</w:t>
      </w:r>
    </w:p>
    <w:p w14:paraId="78A5D5DE" w14:textId="7679C5D4" w:rsidR="000B5654" w:rsidRDefault="00F06CE7" w:rsidP="00F06CE7">
      <w:pPr>
        <w:pStyle w:val="Heading2"/>
        <w:rPr>
          <w:rFonts w:eastAsia="PMingLiU"/>
          <w:lang w:eastAsia="zh-TW"/>
        </w:rPr>
      </w:pPr>
      <w:r>
        <w:rPr>
          <w:rFonts w:eastAsia="PMingLiU"/>
          <w:lang w:eastAsia="zh-TW"/>
        </w:rPr>
        <w:t>2.1</w:t>
      </w:r>
      <w:r>
        <w:rPr>
          <w:rFonts w:eastAsia="PMingLiU"/>
          <w:lang w:eastAsia="zh-TW"/>
        </w:rPr>
        <w:tab/>
      </w:r>
      <w:r w:rsidR="00FB0588">
        <w:rPr>
          <w:rFonts w:eastAsia="PMingLiU"/>
          <w:lang w:eastAsia="zh-TW"/>
        </w:rPr>
        <w:t>Principles</w:t>
      </w:r>
    </w:p>
    <w:p w14:paraId="5805F4D0" w14:textId="118B7062" w:rsidR="000B5654" w:rsidRDefault="002D6821" w:rsidP="000B5654">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 xml:space="preserve">We make the following </w:t>
      </w:r>
      <w:r w:rsidR="00DB1AE8">
        <w:rPr>
          <w:rFonts w:ascii="Calibri" w:eastAsia="PMingLiU" w:hAnsi="Calibri"/>
          <w:sz w:val="22"/>
          <w:szCs w:val="22"/>
          <w:lang w:eastAsia="zh-TW"/>
        </w:rPr>
        <w:t xml:space="preserve">general </w:t>
      </w:r>
      <w:r>
        <w:rPr>
          <w:rFonts w:ascii="Calibri" w:eastAsia="PMingLiU" w:hAnsi="Calibri"/>
          <w:sz w:val="22"/>
          <w:szCs w:val="22"/>
          <w:lang w:eastAsia="zh-TW"/>
        </w:rPr>
        <w:t>assumptions about SL-PRS delivery</w:t>
      </w:r>
      <w:r w:rsidR="00FB0588">
        <w:rPr>
          <w:rFonts w:ascii="Calibri" w:eastAsia="PMingLiU" w:hAnsi="Calibri"/>
          <w:sz w:val="22"/>
          <w:szCs w:val="22"/>
          <w:lang w:eastAsia="zh-TW"/>
        </w:rPr>
        <w:t>:</w:t>
      </w:r>
    </w:p>
    <w:p w14:paraId="3DE0A2C7" w14:textId="0960228E" w:rsidR="00FB0588" w:rsidRPr="00FB0588" w:rsidRDefault="00FB0588" w:rsidP="00FB0588">
      <w:pPr>
        <w:numPr>
          <w:ilvl w:val="0"/>
          <w:numId w:val="24"/>
        </w:numPr>
        <w:overflowPunct/>
        <w:autoSpaceDE/>
        <w:autoSpaceDN/>
        <w:adjustRightInd/>
        <w:spacing w:after="240"/>
        <w:textAlignment w:val="auto"/>
        <w:rPr>
          <w:rFonts w:ascii="Calibri" w:eastAsia="PMingLiU" w:hAnsi="Calibri"/>
          <w:sz w:val="22"/>
          <w:szCs w:val="22"/>
          <w:lang w:eastAsia="zh-TW"/>
        </w:rPr>
      </w:pPr>
      <w:r w:rsidRPr="00FB0588">
        <w:rPr>
          <w:rFonts w:ascii="Calibri" w:eastAsia="PMingLiU" w:hAnsi="Calibri"/>
          <w:sz w:val="22"/>
          <w:szCs w:val="22"/>
          <w:lang w:eastAsia="zh-TW"/>
        </w:rPr>
        <w:t>To measure or transmit SL-PRS, a UE needs to be informed of the RS parameters other than the resource allocation (e.g.</w:t>
      </w:r>
      <w:r w:rsidR="00EA3E1C">
        <w:rPr>
          <w:rFonts w:ascii="Calibri" w:eastAsia="PMingLiU" w:hAnsi="Calibri"/>
          <w:sz w:val="22"/>
          <w:szCs w:val="22"/>
          <w:lang w:eastAsia="zh-TW"/>
        </w:rPr>
        <w:t>,</w:t>
      </w:r>
      <w:r w:rsidRPr="00FB0588">
        <w:rPr>
          <w:rFonts w:ascii="Calibri" w:eastAsia="PMingLiU" w:hAnsi="Calibri"/>
          <w:sz w:val="22"/>
          <w:szCs w:val="22"/>
          <w:lang w:eastAsia="zh-TW"/>
        </w:rPr>
        <w:t xml:space="preserve"> sequence, comb</w:t>
      </w:r>
      <w:proofErr w:type="gramStart"/>
      <w:r w:rsidRPr="00FB0588">
        <w:rPr>
          <w:rFonts w:ascii="Calibri" w:eastAsia="PMingLiU" w:hAnsi="Calibri"/>
          <w:sz w:val="22"/>
          <w:szCs w:val="22"/>
          <w:lang w:eastAsia="zh-TW"/>
        </w:rPr>
        <w:t>);</w:t>
      </w:r>
      <w:proofErr w:type="gramEnd"/>
    </w:p>
    <w:p w14:paraId="6DD17891" w14:textId="77777777" w:rsidR="00FB0588" w:rsidRPr="00FB0588" w:rsidRDefault="00FB0588" w:rsidP="00FB0588">
      <w:pPr>
        <w:numPr>
          <w:ilvl w:val="0"/>
          <w:numId w:val="24"/>
        </w:numPr>
        <w:overflowPunct/>
        <w:autoSpaceDE/>
        <w:autoSpaceDN/>
        <w:adjustRightInd/>
        <w:spacing w:after="240"/>
        <w:textAlignment w:val="auto"/>
        <w:rPr>
          <w:rFonts w:ascii="Calibri" w:eastAsia="PMingLiU" w:hAnsi="Calibri"/>
          <w:sz w:val="22"/>
          <w:szCs w:val="22"/>
          <w:lang w:eastAsia="zh-TW"/>
        </w:rPr>
      </w:pPr>
      <w:r w:rsidRPr="00FB0588">
        <w:rPr>
          <w:rFonts w:ascii="Calibri" w:eastAsia="PMingLiU" w:hAnsi="Calibri"/>
          <w:sz w:val="22"/>
          <w:szCs w:val="22"/>
          <w:lang w:eastAsia="zh-TW"/>
        </w:rPr>
        <w:t>Which resource pool is used for SL-PRS can be known to all involved UEs by similar configuration mechanisms to Rel-16/17 SL (</w:t>
      </w:r>
      <w:proofErr w:type="spellStart"/>
      <w:r w:rsidRPr="00FB0588">
        <w:rPr>
          <w:rFonts w:ascii="Calibri" w:eastAsia="PMingLiU" w:hAnsi="Calibri"/>
          <w:sz w:val="22"/>
          <w:szCs w:val="22"/>
          <w:lang w:eastAsia="zh-TW"/>
        </w:rPr>
        <w:t>preconfiguration</w:t>
      </w:r>
      <w:proofErr w:type="spellEnd"/>
      <w:r w:rsidRPr="00FB0588">
        <w:rPr>
          <w:rFonts w:ascii="Calibri" w:eastAsia="PMingLiU" w:hAnsi="Calibri"/>
          <w:sz w:val="22"/>
          <w:szCs w:val="22"/>
          <w:lang w:eastAsia="zh-TW"/>
        </w:rPr>
        <w:t>, SIBs, dedicated signalling</w:t>
      </w:r>
      <w:proofErr w:type="gramStart"/>
      <w:r w:rsidRPr="00FB0588">
        <w:rPr>
          <w:rFonts w:ascii="Calibri" w:eastAsia="PMingLiU" w:hAnsi="Calibri"/>
          <w:sz w:val="22"/>
          <w:szCs w:val="22"/>
          <w:lang w:eastAsia="zh-TW"/>
        </w:rPr>
        <w:t>);</w:t>
      </w:r>
      <w:proofErr w:type="gramEnd"/>
    </w:p>
    <w:p w14:paraId="180B4F6F" w14:textId="347EAC0B" w:rsidR="00FB0588" w:rsidRPr="00FB0588" w:rsidRDefault="00FB0588" w:rsidP="00FB0588">
      <w:pPr>
        <w:numPr>
          <w:ilvl w:val="0"/>
          <w:numId w:val="24"/>
        </w:numPr>
        <w:overflowPunct/>
        <w:autoSpaceDE/>
        <w:autoSpaceDN/>
        <w:adjustRightInd/>
        <w:spacing w:after="240"/>
        <w:textAlignment w:val="auto"/>
        <w:rPr>
          <w:rFonts w:ascii="Calibri" w:eastAsia="PMingLiU" w:hAnsi="Calibri"/>
          <w:sz w:val="22"/>
          <w:szCs w:val="22"/>
          <w:lang w:eastAsia="zh-TW"/>
        </w:rPr>
      </w:pPr>
      <w:r w:rsidRPr="00FB0588">
        <w:rPr>
          <w:rFonts w:ascii="Calibri" w:eastAsia="PMingLiU" w:hAnsi="Calibri"/>
          <w:sz w:val="22"/>
          <w:szCs w:val="22"/>
          <w:lang w:eastAsia="zh-TW"/>
        </w:rPr>
        <w:t>The measuring UE(s) may or may not have detailed</w:t>
      </w:r>
      <w:r w:rsidR="00831E05">
        <w:rPr>
          <w:rFonts w:ascii="Calibri" w:eastAsia="PMingLiU" w:hAnsi="Calibri"/>
          <w:sz w:val="22"/>
          <w:szCs w:val="22"/>
          <w:lang w:eastAsia="zh-TW"/>
        </w:rPr>
        <w:t xml:space="preserve"> advance</w:t>
      </w:r>
      <w:r w:rsidRPr="00FB0588">
        <w:rPr>
          <w:rFonts w:ascii="Calibri" w:eastAsia="PMingLiU" w:hAnsi="Calibri"/>
          <w:sz w:val="22"/>
          <w:szCs w:val="22"/>
          <w:lang w:eastAsia="zh-TW"/>
        </w:rPr>
        <w:t xml:space="preserve"> knowledge of the resource allocation for SL-PRS, but we should try to minimise the reception time when a UE wai</w:t>
      </w:r>
      <w:r w:rsidR="00F60C9D">
        <w:rPr>
          <w:rFonts w:ascii="Calibri" w:eastAsia="PMingLiU" w:hAnsi="Calibri"/>
          <w:sz w:val="22"/>
          <w:szCs w:val="22"/>
          <w:lang w:eastAsia="zh-TW"/>
        </w:rPr>
        <w:t>ts</w:t>
      </w:r>
      <w:r w:rsidRPr="00FB0588">
        <w:rPr>
          <w:rFonts w:ascii="Calibri" w:eastAsia="PMingLiU" w:hAnsi="Calibri"/>
          <w:sz w:val="22"/>
          <w:szCs w:val="22"/>
          <w:lang w:eastAsia="zh-TW"/>
        </w:rPr>
        <w:t xml:space="preserve"> for SL-PRS to appear.</w:t>
      </w:r>
    </w:p>
    <w:p w14:paraId="543C4DA2" w14:textId="3993AA5C" w:rsidR="00FB0588" w:rsidRDefault="00FB0588" w:rsidP="000B5654">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The first point is in RAN1 remit, but we suggest that RAN2 can work with it as a general assumption while leaving the detailed parameters open for RAN1 to decide.</w:t>
      </w:r>
    </w:p>
    <w:p w14:paraId="68E2AB90" w14:textId="2F3DE2B0" w:rsidR="00FB0588" w:rsidRDefault="00FB0588" w:rsidP="000B5654">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t>Proposal 1:</w:t>
      </w:r>
      <w:r>
        <w:rPr>
          <w:rFonts w:ascii="Calibri" w:eastAsia="PMingLiU" w:hAnsi="Calibri"/>
          <w:sz w:val="22"/>
          <w:szCs w:val="22"/>
          <w:lang w:eastAsia="zh-TW"/>
        </w:rPr>
        <w:t xml:space="preserve"> RAN2 assume that to measure or transmit SL-PRS, a UE needs to be informed of a set of SL-PRS parameters, separately from the resource allocation process.  The list of parameters is FFS pending RAN1.</w:t>
      </w:r>
    </w:p>
    <w:p w14:paraId="2C6BEE0E" w14:textId="05525892" w:rsidR="00FB0588" w:rsidRDefault="00FB0588" w:rsidP="000B5654">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Regarding resource pools, RAN1 agreed the following in RAN1#1</w:t>
      </w:r>
      <w:r w:rsidR="00543275">
        <w:rPr>
          <w:rFonts w:ascii="Calibri" w:eastAsia="PMingLiU" w:hAnsi="Calibri"/>
          <w:sz w:val="22"/>
          <w:szCs w:val="22"/>
          <w:lang w:eastAsia="zh-TW"/>
        </w:rPr>
        <w:t>10</w:t>
      </w:r>
      <w:r>
        <w:rPr>
          <w:rFonts w:ascii="Calibri" w:eastAsia="PMingLiU" w:hAnsi="Calibri"/>
          <w:sz w:val="22"/>
          <w:szCs w:val="22"/>
          <w:lang w:eastAsia="zh-TW"/>
        </w:rPr>
        <w:t xml:space="preserve"> ([1]):</w:t>
      </w:r>
    </w:p>
    <w:p w14:paraId="2D21CF85" w14:textId="77777777" w:rsidR="00543275" w:rsidRDefault="00543275" w:rsidP="00543275">
      <w:pPr>
        <w:pBdr>
          <w:top w:val="single" w:sz="4" w:space="1" w:color="auto"/>
          <w:left w:val="single" w:sz="4" w:space="4" w:color="auto"/>
          <w:bottom w:val="single" w:sz="4" w:space="1" w:color="auto"/>
          <w:right w:val="single" w:sz="4" w:space="4" w:color="auto"/>
        </w:pBdr>
        <w:rPr>
          <w:rFonts w:eastAsia="SimSun"/>
          <w:lang w:eastAsia="zh-CN"/>
        </w:rPr>
      </w:pPr>
      <w:r>
        <w:rPr>
          <w:rFonts w:eastAsia="SimSun"/>
          <w:highlight w:val="green"/>
          <w:lang w:eastAsia="zh-CN"/>
        </w:rPr>
        <w:t>Agreement</w:t>
      </w:r>
    </w:p>
    <w:p w14:paraId="0522E61B" w14:textId="77777777" w:rsidR="00543275" w:rsidRDefault="00543275" w:rsidP="00543275">
      <w:pPr>
        <w:pBdr>
          <w:top w:val="single" w:sz="4" w:space="1" w:color="auto"/>
          <w:left w:val="single" w:sz="4" w:space="4" w:color="auto"/>
          <w:bottom w:val="single" w:sz="4" w:space="1" w:color="auto"/>
          <w:right w:val="single" w:sz="4" w:space="4" w:color="auto"/>
        </w:pBdr>
        <w:rPr>
          <w:rFonts w:eastAsia="Batang"/>
          <w:lang w:eastAsia="en-US"/>
        </w:rPr>
      </w:pPr>
      <w:r>
        <w:t>With regards to the SL Positioning resource allocation, one of the following alternatives should be introduced for supporting SL positioning/ranging:</w:t>
      </w:r>
    </w:p>
    <w:p w14:paraId="26E2438C" w14:textId="77777777" w:rsidR="00543275" w:rsidRDefault="00543275" w:rsidP="00543275">
      <w:pPr>
        <w:numPr>
          <w:ilvl w:val="0"/>
          <w:numId w:val="25"/>
        </w:numPr>
        <w:pBdr>
          <w:top w:val="single" w:sz="4" w:space="1" w:color="auto"/>
          <w:left w:val="single" w:sz="4" w:space="4" w:color="auto"/>
          <w:bottom w:val="single" w:sz="4" w:space="1" w:color="auto"/>
          <w:right w:val="single" w:sz="4" w:space="4" w:color="auto"/>
        </w:pBdr>
        <w:overflowPunct/>
        <w:autoSpaceDE/>
        <w:autoSpaceDN/>
        <w:adjustRightInd/>
        <w:spacing w:after="0"/>
        <w:textAlignment w:val="auto"/>
      </w:pPr>
      <w:r>
        <w:t>Alt. 1: only dedicated resource pool(s) can be (pre-)configured for SL-PRS</w:t>
      </w:r>
    </w:p>
    <w:p w14:paraId="51460C01" w14:textId="77777777" w:rsidR="00543275" w:rsidRDefault="00543275" w:rsidP="00543275">
      <w:pPr>
        <w:numPr>
          <w:ilvl w:val="0"/>
          <w:numId w:val="25"/>
        </w:numPr>
        <w:pBdr>
          <w:top w:val="single" w:sz="4" w:space="1" w:color="auto"/>
          <w:left w:val="single" w:sz="4" w:space="4" w:color="auto"/>
          <w:bottom w:val="single" w:sz="4" w:space="1" w:color="auto"/>
          <w:right w:val="single" w:sz="4" w:space="4" w:color="auto"/>
        </w:pBdr>
        <w:overflowPunct/>
        <w:autoSpaceDE/>
        <w:autoSpaceDN/>
        <w:adjustRightInd/>
        <w:spacing w:after="0"/>
        <w:textAlignment w:val="auto"/>
      </w:pPr>
      <w:r>
        <w:t xml:space="preserve">Alt. 2: either dedicated resource pool(s) and/or </w:t>
      </w:r>
      <w:r>
        <w:rPr>
          <w:strike/>
        </w:rPr>
        <w:t xml:space="preserve">a </w:t>
      </w:r>
      <w:r>
        <w:t xml:space="preserve">shared resource pool(s) with </w:t>
      </w:r>
      <w:proofErr w:type="spellStart"/>
      <w:r>
        <w:t>sidelink</w:t>
      </w:r>
      <w:proofErr w:type="spellEnd"/>
      <w:r>
        <w:t xml:space="preserve"> communication can be (pre-)configured for SL-PRS</w:t>
      </w:r>
    </w:p>
    <w:p w14:paraId="07475A68" w14:textId="77777777" w:rsidR="00543275" w:rsidRDefault="00543275" w:rsidP="00543275">
      <w:pPr>
        <w:numPr>
          <w:ilvl w:val="0"/>
          <w:numId w:val="25"/>
        </w:numPr>
        <w:pBdr>
          <w:top w:val="single" w:sz="4" w:space="1" w:color="auto"/>
          <w:left w:val="single" w:sz="4" w:space="4" w:color="auto"/>
          <w:bottom w:val="single" w:sz="4" w:space="1" w:color="auto"/>
          <w:right w:val="single" w:sz="4" w:space="4" w:color="auto"/>
        </w:pBdr>
        <w:overflowPunct/>
        <w:autoSpaceDE/>
        <w:autoSpaceDN/>
        <w:adjustRightInd/>
        <w:spacing w:after="240"/>
        <w:textAlignment w:val="auto"/>
      </w:pPr>
      <w:r>
        <w:t>Note: whether other signals/channels can be present in the dedicated resource pool can be further discussed</w:t>
      </w:r>
    </w:p>
    <w:p w14:paraId="54186991" w14:textId="784CD552" w:rsidR="00543275" w:rsidRDefault="00543275" w:rsidP="000B5654">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 xml:space="preserve">This conclusion indicates that the existing resource pool concept will be reused for SL-PRS, and RAN1 will continue to evaluate the alternatives.  It should therefore be possible for RAN2 to consider how and when </w:t>
      </w:r>
      <w:r>
        <w:rPr>
          <w:rFonts w:ascii="Calibri" w:eastAsia="PMingLiU" w:hAnsi="Calibri"/>
          <w:sz w:val="22"/>
          <w:szCs w:val="22"/>
          <w:lang w:eastAsia="zh-TW"/>
        </w:rPr>
        <w:lastRenderedPageBreak/>
        <w:t xml:space="preserve">the resource pool is provided to the UEs, without taking any </w:t>
      </w:r>
      <w:proofErr w:type="gramStart"/>
      <w:r>
        <w:rPr>
          <w:rFonts w:ascii="Calibri" w:eastAsia="PMingLiU" w:hAnsi="Calibri"/>
          <w:sz w:val="22"/>
          <w:szCs w:val="22"/>
          <w:lang w:eastAsia="zh-TW"/>
        </w:rPr>
        <w:t>particular assumption</w:t>
      </w:r>
      <w:proofErr w:type="gramEnd"/>
      <w:r>
        <w:rPr>
          <w:rFonts w:ascii="Calibri" w:eastAsia="PMingLiU" w:hAnsi="Calibri"/>
          <w:sz w:val="22"/>
          <w:szCs w:val="22"/>
          <w:lang w:eastAsia="zh-TW"/>
        </w:rPr>
        <w:t xml:space="preserve"> on the questions in RAN1 scope </w:t>
      </w:r>
      <w:r w:rsidR="00E97191">
        <w:rPr>
          <w:rFonts w:ascii="Calibri" w:eastAsia="PMingLiU" w:hAnsi="Calibri"/>
          <w:sz w:val="22"/>
          <w:szCs w:val="22"/>
          <w:lang w:eastAsia="zh-TW"/>
        </w:rPr>
        <w:t>like</w:t>
      </w:r>
      <w:r>
        <w:rPr>
          <w:rFonts w:ascii="Calibri" w:eastAsia="PMingLiU" w:hAnsi="Calibri"/>
          <w:sz w:val="22"/>
          <w:szCs w:val="22"/>
          <w:lang w:eastAsia="zh-TW"/>
        </w:rPr>
        <w:t xml:space="preserve"> shared/dedicated pools.</w:t>
      </w:r>
    </w:p>
    <w:p w14:paraId="2CDDBA27" w14:textId="4904B13A" w:rsidR="00543275" w:rsidRDefault="00543275" w:rsidP="000B5654">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t>Proposal 2:</w:t>
      </w:r>
      <w:r>
        <w:rPr>
          <w:rFonts w:ascii="Calibri" w:eastAsia="PMingLiU" w:hAnsi="Calibri"/>
          <w:sz w:val="22"/>
          <w:szCs w:val="22"/>
          <w:lang w:eastAsia="zh-TW"/>
        </w:rPr>
        <w:t xml:space="preserve"> </w:t>
      </w:r>
      <w:r w:rsidRPr="00FB0588">
        <w:rPr>
          <w:rFonts w:ascii="Calibri" w:eastAsia="PMingLiU" w:hAnsi="Calibri"/>
          <w:sz w:val="22"/>
          <w:szCs w:val="22"/>
          <w:lang w:eastAsia="zh-TW"/>
        </w:rPr>
        <w:t>Which resource pool is used for SL-PRS can be known to all involved UEs by similar configuration mechanisms to Rel-16/17 SL (</w:t>
      </w:r>
      <w:proofErr w:type="spellStart"/>
      <w:r w:rsidRPr="00FB0588">
        <w:rPr>
          <w:rFonts w:ascii="Calibri" w:eastAsia="PMingLiU" w:hAnsi="Calibri"/>
          <w:sz w:val="22"/>
          <w:szCs w:val="22"/>
          <w:lang w:eastAsia="zh-TW"/>
        </w:rPr>
        <w:t>preconfiguration</w:t>
      </w:r>
      <w:proofErr w:type="spellEnd"/>
      <w:r w:rsidRPr="00FB0588">
        <w:rPr>
          <w:rFonts w:ascii="Calibri" w:eastAsia="PMingLiU" w:hAnsi="Calibri"/>
          <w:sz w:val="22"/>
          <w:szCs w:val="22"/>
          <w:lang w:eastAsia="zh-TW"/>
        </w:rPr>
        <w:t>, SIBs, dedicated signalling)</w:t>
      </w:r>
      <w:r>
        <w:rPr>
          <w:rFonts w:ascii="Calibri" w:eastAsia="PMingLiU" w:hAnsi="Calibri"/>
          <w:sz w:val="22"/>
          <w:szCs w:val="22"/>
          <w:lang w:eastAsia="zh-TW"/>
        </w:rPr>
        <w:t xml:space="preserve">.  Whether the configuration can come only from the network (i.e., always </w:t>
      </w:r>
      <w:proofErr w:type="spellStart"/>
      <w:r>
        <w:rPr>
          <w:rFonts w:ascii="Calibri" w:eastAsia="PMingLiU" w:hAnsi="Calibri"/>
          <w:sz w:val="22"/>
          <w:szCs w:val="22"/>
          <w:lang w:eastAsia="zh-TW"/>
        </w:rPr>
        <w:t>preconfiguration</w:t>
      </w:r>
      <w:proofErr w:type="spellEnd"/>
      <w:r>
        <w:rPr>
          <w:rFonts w:ascii="Calibri" w:eastAsia="PMingLiU" w:hAnsi="Calibri"/>
          <w:sz w:val="22"/>
          <w:szCs w:val="22"/>
          <w:lang w:eastAsia="zh-TW"/>
        </w:rPr>
        <w:t xml:space="preserve"> for OOC cases) or </w:t>
      </w:r>
      <w:r w:rsidR="0019539D">
        <w:rPr>
          <w:rFonts w:ascii="Calibri" w:eastAsia="PMingLiU" w:hAnsi="Calibri"/>
          <w:sz w:val="22"/>
          <w:szCs w:val="22"/>
          <w:lang w:eastAsia="zh-TW"/>
        </w:rPr>
        <w:t xml:space="preserve">can also </w:t>
      </w:r>
      <w:r>
        <w:rPr>
          <w:rFonts w:ascii="Calibri" w:eastAsia="PMingLiU" w:hAnsi="Calibri"/>
          <w:sz w:val="22"/>
          <w:szCs w:val="22"/>
          <w:lang w:eastAsia="zh-TW"/>
        </w:rPr>
        <w:t>be signalled by a peer UE is FFS.</w:t>
      </w:r>
    </w:p>
    <w:p w14:paraId="3FFB68AD" w14:textId="69D1CBA6" w:rsidR="00672E25" w:rsidRDefault="00672E25" w:rsidP="000B5654">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 xml:space="preserve">The third </w:t>
      </w:r>
      <w:r w:rsidR="002D6821">
        <w:rPr>
          <w:rFonts w:ascii="Calibri" w:eastAsia="PMingLiU" w:hAnsi="Calibri"/>
          <w:sz w:val="22"/>
          <w:szCs w:val="22"/>
          <w:lang w:eastAsia="zh-TW"/>
        </w:rPr>
        <w:t>assumption</w:t>
      </w:r>
      <w:r>
        <w:rPr>
          <w:rFonts w:ascii="Calibri" w:eastAsia="PMingLiU" w:hAnsi="Calibri"/>
          <w:sz w:val="22"/>
          <w:szCs w:val="22"/>
          <w:lang w:eastAsia="zh-TW"/>
        </w:rPr>
        <w:t xml:space="preserve"> above is a clear-cut objective.  RAN1 are discussing resource allocation for SL-PRS, and RAN2 should be prepared to adapt to their conclusions.  Irrespective of the RAN1 conclusion, power saving is important, and RAN2 should avoid unnecessary periods of monitoring for SL-PRS.  For instance, resource selection might take place within a window so that the receiving UE only needs to monitor during the window, but the transmitting UE could have flexibility to select resources (with or without the involvement of the network, i.e., mode 1 or mode 2) within the window.</w:t>
      </w:r>
    </w:p>
    <w:p w14:paraId="43DAB72D" w14:textId="2A6342F3" w:rsidR="00672E25" w:rsidRPr="00672E25" w:rsidRDefault="00672E25" w:rsidP="000B5654">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t>Proposal 3:</w:t>
      </w:r>
      <w:r>
        <w:rPr>
          <w:rFonts w:ascii="Calibri" w:eastAsia="PMingLiU" w:hAnsi="Calibri"/>
          <w:sz w:val="22"/>
          <w:szCs w:val="22"/>
          <w:lang w:eastAsia="zh-TW"/>
        </w:rPr>
        <w:t xml:space="preserve"> RAN2 do not assume that UEs have advance knowledge of which resources </w:t>
      </w:r>
      <w:r w:rsidR="003F3D12">
        <w:rPr>
          <w:rFonts w:ascii="Calibri" w:eastAsia="PMingLiU" w:hAnsi="Calibri"/>
          <w:sz w:val="22"/>
          <w:szCs w:val="22"/>
          <w:lang w:eastAsia="zh-TW"/>
        </w:rPr>
        <w:t xml:space="preserve">within the resource pool </w:t>
      </w:r>
      <w:r>
        <w:rPr>
          <w:rFonts w:ascii="Calibri" w:eastAsia="PMingLiU" w:hAnsi="Calibri"/>
          <w:sz w:val="22"/>
          <w:szCs w:val="22"/>
          <w:lang w:eastAsia="zh-TW"/>
        </w:rPr>
        <w:t>will carry SL-PRS, but RAN2 will strive to limit the reception time for a measuring UE to receive the SL-PRS.</w:t>
      </w:r>
    </w:p>
    <w:p w14:paraId="274C0F4F" w14:textId="730D9AD7" w:rsidR="00672E25" w:rsidRDefault="00672E25" w:rsidP="00672E25">
      <w:pPr>
        <w:pStyle w:val="Heading2"/>
        <w:rPr>
          <w:rFonts w:eastAsia="PMingLiU"/>
          <w:lang w:eastAsia="zh-TW"/>
        </w:rPr>
      </w:pPr>
      <w:r>
        <w:rPr>
          <w:rFonts w:eastAsia="PMingLiU"/>
          <w:lang w:eastAsia="zh-TW"/>
        </w:rPr>
        <w:t>2.2</w:t>
      </w:r>
      <w:r>
        <w:rPr>
          <w:rFonts w:eastAsia="PMingLiU"/>
          <w:lang w:eastAsia="zh-TW"/>
        </w:rPr>
        <w:tab/>
        <w:t>Scenarios</w:t>
      </w:r>
    </w:p>
    <w:p w14:paraId="2BF4124E" w14:textId="038106EC" w:rsidR="00672E25" w:rsidRDefault="00053ACB" w:rsidP="00672E25">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SL-PRS transmissions may go from the anchor(s) to the target or vice versa</w:t>
      </w:r>
      <w:r w:rsidR="00672E25">
        <w:rPr>
          <w:rFonts w:ascii="Calibri" w:eastAsia="PMingLiU" w:hAnsi="Calibri"/>
          <w:sz w:val="22"/>
          <w:szCs w:val="22"/>
          <w:lang w:eastAsia="zh-TW"/>
        </w:rPr>
        <w:t>.</w:t>
      </w:r>
      <w:r>
        <w:rPr>
          <w:rFonts w:ascii="Calibri" w:eastAsia="PMingLiU" w:hAnsi="Calibri"/>
          <w:sz w:val="22"/>
          <w:szCs w:val="22"/>
          <w:lang w:eastAsia="zh-TW"/>
        </w:rPr>
        <w:t xml:space="preserve">  The figures below show a multiple-anchor case; it is also conceivable to have a case with one anchor and one target (e.g., for ranging).</w:t>
      </w:r>
    </w:p>
    <w:p w14:paraId="201C9624" w14:textId="4B8130AF" w:rsidR="00F60C9D" w:rsidRDefault="00F60C9D" w:rsidP="00F60C9D">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t>Proposal 4:</w:t>
      </w:r>
      <w:r>
        <w:rPr>
          <w:rFonts w:ascii="Calibri" w:eastAsia="PMingLiU" w:hAnsi="Calibri"/>
          <w:sz w:val="22"/>
          <w:szCs w:val="22"/>
          <w:lang w:eastAsia="zh-TW"/>
        </w:rPr>
        <w:t xml:space="preserve"> RAN2 designs for the target-to-anchor and anchor-to-target cases, pending RAN1 input.</w:t>
      </w:r>
    </w:p>
    <w:p w14:paraId="3635806B" w14:textId="475093AF" w:rsidR="005A2475" w:rsidRPr="00F82E15" w:rsidRDefault="005A2475" w:rsidP="00F60C9D">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Figure 1 shows the target-to-anchor case.</w:t>
      </w:r>
    </w:p>
    <w:p w14:paraId="03A616BD" w14:textId="77777777" w:rsidR="00F664B3" w:rsidRDefault="00F664B3" w:rsidP="00F664B3">
      <w:pPr>
        <w:keepNext/>
        <w:overflowPunct/>
        <w:autoSpaceDE/>
        <w:autoSpaceDN/>
        <w:adjustRightInd/>
        <w:spacing w:after="240"/>
        <w:jc w:val="center"/>
        <w:textAlignment w:val="auto"/>
      </w:pPr>
      <w:r>
        <w:object w:dxaOrig="7821" w:dyaOrig="4851" w14:anchorId="218844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0.75pt;height:242.25pt" o:ole="">
            <v:imagedata r:id="rId8" o:title=""/>
          </v:shape>
          <o:OLEObject Type="Embed" ProgID="Visio.Drawing.15" ShapeID="_x0000_i1025" DrawAspect="Content" ObjectID="_1725966893" r:id="rId9"/>
        </w:object>
      </w:r>
    </w:p>
    <w:p w14:paraId="15C2F680" w14:textId="7888056C" w:rsidR="00F664B3" w:rsidRDefault="00F664B3" w:rsidP="00F664B3">
      <w:pPr>
        <w:pStyle w:val="Caption"/>
        <w:jc w:val="center"/>
        <w:rPr>
          <w:rFonts w:ascii="Calibri" w:eastAsia="PMingLiU" w:hAnsi="Calibri"/>
          <w:sz w:val="22"/>
          <w:szCs w:val="22"/>
          <w:lang w:eastAsia="zh-TW"/>
        </w:rPr>
      </w:pPr>
      <w:r>
        <w:t xml:space="preserve">Figure </w:t>
      </w:r>
      <w:r>
        <w:fldChar w:fldCharType="begin"/>
      </w:r>
      <w:r>
        <w:instrText xml:space="preserve"> SEQ Figure \* ARABIC </w:instrText>
      </w:r>
      <w:r>
        <w:fldChar w:fldCharType="separate"/>
      </w:r>
      <w:r w:rsidR="00EB4C8E">
        <w:rPr>
          <w:noProof/>
        </w:rPr>
        <w:t>1</w:t>
      </w:r>
      <w:r>
        <w:fldChar w:fldCharType="end"/>
      </w:r>
      <w:r>
        <w:t>: Target-to-anchor SL-PRS</w:t>
      </w:r>
    </w:p>
    <w:p w14:paraId="72E80C0E" w14:textId="2FD250A8" w:rsidR="00F664B3" w:rsidRDefault="00F664B3" w:rsidP="00672E25">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In the target-to-anchor case, the target needs to determine its SL-PRS configuration so that it can transmit.  Here the “configuration” refers to the reference signal parameters (e.g., sequence, comb—parameters to be determined by RAN1), but not to the actual resource reservation.  The anchors also need to know at least some of the target’s SL-PRS configuration, so that they know what to measure.</w:t>
      </w:r>
    </w:p>
    <w:p w14:paraId="326D0C15" w14:textId="22F67F92" w:rsidR="00F60C9D" w:rsidRDefault="00F60C9D" w:rsidP="00672E25">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lastRenderedPageBreak/>
        <w:t>Depending on SA2 decisions regarding the UE roles, this configuration information could come from different sources, e.g., a server (UE or LMF) or the target UE itself.  Whatever the source of the configuration is, however, that source needs to distribute the configuration information to the anchor UEs so that they can measure the transmission.</w:t>
      </w:r>
      <w:r w:rsidR="00BB7A80">
        <w:rPr>
          <w:rFonts w:ascii="Calibri" w:eastAsia="PMingLiU" w:hAnsi="Calibri"/>
          <w:sz w:val="22"/>
          <w:szCs w:val="22"/>
          <w:lang w:eastAsia="zh-TW"/>
        </w:rPr>
        <w:t xml:space="preserve">  If the source is different from the target UE (such as a server), it also needs to inform the target of what to transmit.</w:t>
      </w:r>
    </w:p>
    <w:p w14:paraId="04B5F29A" w14:textId="793E8E44" w:rsidR="00F60C9D" w:rsidRDefault="00F60C9D" w:rsidP="00672E25">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t>Proposal 5:</w:t>
      </w:r>
      <w:r>
        <w:rPr>
          <w:rFonts w:ascii="Calibri" w:eastAsia="PMingLiU" w:hAnsi="Calibri"/>
          <w:sz w:val="22"/>
          <w:szCs w:val="22"/>
          <w:lang w:eastAsia="zh-TW"/>
        </w:rPr>
        <w:t xml:space="preserve"> For the target-to-anchor case, the entity that determines the target UE’s transmitted SL-PRS configuration distributes the configuration to the anchor UEs as assistance data.</w:t>
      </w:r>
      <w:r w:rsidR="00BB7A80">
        <w:rPr>
          <w:rFonts w:ascii="Calibri" w:eastAsia="PMingLiU" w:hAnsi="Calibri"/>
          <w:sz w:val="22"/>
          <w:szCs w:val="22"/>
          <w:lang w:eastAsia="zh-TW"/>
        </w:rPr>
        <w:t xml:space="preserve">  If this entity is outside the target UE, it also delivers the configuration to the target UE as assistance data.</w:t>
      </w:r>
    </w:p>
    <w:p w14:paraId="6FE4C3E8" w14:textId="5F6A7262" w:rsidR="005A2475" w:rsidRPr="00F60C9D" w:rsidRDefault="005A2475" w:rsidP="00672E25">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Figure 2 shows the anchor-to-target case.</w:t>
      </w:r>
    </w:p>
    <w:p w14:paraId="490C2EDA" w14:textId="029C4D22" w:rsidR="00F664B3" w:rsidRPr="00F664B3" w:rsidRDefault="00F664B3" w:rsidP="00F664B3">
      <w:pPr>
        <w:keepNext/>
        <w:overflowPunct/>
        <w:autoSpaceDE/>
        <w:autoSpaceDN/>
        <w:adjustRightInd/>
        <w:spacing w:after="240"/>
        <w:jc w:val="center"/>
        <w:textAlignment w:val="auto"/>
        <w:rPr>
          <w:rFonts w:ascii="Calibri" w:eastAsia="PMingLiU" w:hAnsi="Calibri"/>
          <w:sz w:val="22"/>
          <w:szCs w:val="22"/>
          <w:lang w:eastAsia="zh-TW"/>
        </w:rPr>
      </w:pPr>
      <w:r>
        <w:object w:dxaOrig="7821" w:dyaOrig="4851" w14:anchorId="25C145B7">
          <v:shape id="_x0000_i1026" type="#_x0000_t75" style="width:390.75pt;height:242.25pt" o:ole="">
            <v:imagedata r:id="rId10" o:title=""/>
          </v:shape>
          <o:OLEObject Type="Embed" ProgID="Visio.Drawing.15" ShapeID="_x0000_i1026" DrawAspect="Content" ObjectID="_1725966894" r:id="rId11"/>
        </w:object>
      </w:r>
    </w:p>
    <w:p w14:paraId="2D349F2A" w14:textId="51C33169" w:rsidR="00F664B3" w:rsidRDefault="00F664B3" w:rsidP="00F664B3">
      <w:pPr>
        <w:pStyle w:val="Caption"/>
        <w:jc w:val="center"/>
      </w:pPr>
      <w:r>
        <w:t xml:space="preserve">Figure </w:t>
      </w:r>
      <w:r>
        <w:fldChar w:fldCharType="begin"/>
      </w:r>
      <w:r>
        <w:instrText xml:space="preserve"> SEQ Figure \* ARABIC </w:instrText>
      </w:r>
      <w:r>
        <w:fldChar w:fldCharType="separate"/>
      </w:r>
      <w:r w:rsidR="00EB4C8E">
        <w:rPr>
          <w:noProof/>
        </w:rPr>
        <w:t>2</w:t>
      </w:r>
      <w:r>
        <w:fldChar w:fldCharType="end"/>
      </w:r>
      <w:r>
        <w:t>: Anchor-to-target SL-PRS</w:t>
      </w:r>
    </w:p>
    <w:p w14:paraId="7A09295F" w14:textId="5FE22529" w:rsidR="00F664B3" w:rsidRDefault="00F664B3" w:rsidP="00672E25">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In the anchor-to-target case, each anchor needs to determine an SL-PRS configuration for transmission; it does not seem that there needs to be consistency of the configurations between different anchors (i.e., anchor A and anchor B may have totally different SL-PRS configurations).  The target also needs to know what SL-PRS configuration</w:t>
      </w:r>
      <w:r w:rsidR="00F60C9D">
        <w:rPr>
          <w:rFonts w:ascii="Calibri" w:eastAsia="PMingLiU" w:hAnsi="Calibri"/>
          <w:sz w:val="22"/>
          <w:szCs w:val="22"/>
          <w:lang w:eastAsia="zh-TW"/>
        </w:rPr>
        <w:t>s</w:t>
      </w:r>
      <w:r>
        <w:rPr>
          <w:rFonts w:ascii="Calibri" w:eastAsia="PMingLiU" w:hAnsi="Calibri"/>
          <w:sz w:val="22"/>
          <w:szCs w:val="22"/>
          <w:lang w:eastAsia="zh-TW"/>
        </w:rPr>
        <w:t xml:space="preserve"> to measure.</w:t>
      </w:r>
    </w:p>
    <w:p w14:paraId="01B88E9C" w14:textId="5B5F7737" w:rsidR="00F60C9D" w:rsidRDefault="00F60C9D" w:rsidP="00672E25">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Again, the SL-PRS configurations for the anchors may originate from various sources, such as a server (UE or LMF) or the anchor UEs themselves.</w:t>
      </w:r>
    </w:p>
    <w:p w14:paraId="786D5E21" w14:textId="1A945E51" w:rsidR="00F60C9D" w:rsidRDefault="00F60C9D" w:rsidP="00672E25">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t>Proposal 6:</w:t>
      </w:r>
      <w:r>
        <w:rPr>
          <w:rFonts w:ascii="Calibri" w:eastAsia="PMingLiU" w:hAnsi="Calibri"/>
          <w:sz w:val="22"/>
          <w:szCs w:val="22"/>
          <w:lang w:eastAsia="zh-TW"/>
        </w:rPr>
        <w:t xml:space="preserve"> For the anchor-to-target case, the entity that determines the anchor UEs’ transmitted SL-PRS configurations delivers the configuration</w:t>
      </w:r>
      <w:r w:rsidR="0057759C">
        <w:rPr>
          <w:rFonts w:ascii="Calibri" w:eastAsia="PMingLiU" w:hAnsi="Calibri"/>
          <w:sz w:val="22"/>
          <w:szCs w:val="22"/>
          <w:lang w:eastAsia="zh-TW"/>
        </w:rPr>
        <w:t>s</w:t>
      </w:r>
      <w:r>
        <w:rPr>
          <w:rFonts w:ascii="Calibri" w:eastAsia="PMingLiU" w:hAnsi="Calibri"/>
          <w:sz w:val="22"/>
          <w:szCs w:val="22"/>
          <w:lang w:eastAsia="zh-TW"/>
        </w:rPr>
        <w:t xml:space="preserve"> to the target UE as assistance data.</w:t>
      </w:r>
      <w:r w:rsidR="00BB7A80">
        <w:rPr>
          <w:rFonts w:ascii="Calibri" w:eastAsia="PMingLiU" w:hAnsi="Calibri"/>
          <w:sz w:val="22"/>
          <w:szCs w:val="22"/>
          <w:lang w:eastAsia="zh-TW"/>
        </w:rPr>
        <w:t xml:space="preserve">  If this entity is outside the anchor UEs, it also distributes the configuration</w:t>
      </w:r>
      <w:r w:rsidR="0057759C">
        <w:rPr>
          <w:rFonts w:ascii="Calibri" w:eastAsia="PMingLiU" w:hAnsi="Calibri"/>
          <w:sz w:val="22"/>
          <w:szCs w:val="22"/>
          <w:lang w:eastAsia="zh-TW"/>
        </w:rPr>
        <w:t>s</w:t>
      </w:r>
      <w:r w:rsidR="00BB7A80">
        <w:rPr>
          <w:rFonts w:ascii="Calibri" w:eastAsia="PMingLiU" w:hAnsi="Calibri"/>
          <w:sz w:val="22"/>
          <w:szCs w:val="22"/>
          <w:lang w:eastAsia="zh-TW"/>
        </w:rPr>
        <w:t xml:space="preserve"> to the anchor UEs as assistance data.</w:t>
      </w:r>
    </w:p>
    <w:p w14:paraId="43EA4F32" w14:textId="30D5704A" w:rsidR="003C74F4" w:rsidRPr="00F60C9D" w:rsidRDefault="003C74F4" w:rsidP="00672E25">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Depending on RAN1 decisions, the combined anchor-to-target/target-to-anchor case may also be considered.  It is basically the union of the two procedures described above, and we consider that RAN2 can work out this case in detail based on the individual procedures if needed.</w:t>
      </w:r>
    </w:p>
    <w:p w14:paraId="046E1B0F" w14:textId="2FDF3DDC" w:rsidR="00346BAA" w:rsidRDefault="00346BAA" w:rsidP="00346BAA">
      <w:pPr>
        <w:pStyle w:val="Heading2"/>
        <w:rPr>
          <w:rFonts w:eastAsia="PMingLiU"/>
          <w:lang w:eastAsia="zh-TW"/>
        </w:rPr>
      </w:pPr>
      <w:r>
        <w:rPr>
          <w:rFonts w:eastAsia="PMingLiU"/>
          <w:lang w:eastAsia="zh-TW"/>
        </w:rPr>
        <w:t>2.3</w:t>
      </w:r>
      <w:r>
        <w:rPr>
          <w:rFonts w:eastAsia="PMingLiU"/>
          <w:lang w:eastAsia="zh-TW"/>
        </w:rPr>
        <w:tab/>
        <w:t>Procedures</w:t>
      </w:r>
    </w:p>
    <w:p w14:paraId="4D8C334D" w14:textId="5E855264" w:rsidR="00F60C9D" w:rsidRDefault="00F60C9D" w:rsidP="00346BAA">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The implication of proposals 5 and 6 above is that an assistance data transfer procedure would be used to inform a receiving UE of what SL-PRS configuration to measure</w:t>
      </w:r>
      <w:r w:rsidR="00BB7A80">
        <w:rPr>
          <w:rFonts w:ascii="Calibri" w:eastAsia="PMingLiU" w:hAnsi="Calibri"/>
          <w:sz w:val="22"/>
          <w:szCs w:val="22"/>
          <w:lang w:eastAsia="zh-TW"/>
        </w:rPr>
        <w:t>, and potentially to inform a transmitting UE of what SL-PRS configuration to transmit.  In p</w:t>
      </w:r>
      <w:r w:rsidR="00EB4C8E">
        <w:rPr>
          <w:rFonts w:ascii="Calibri" w:eastAsia="PMingLiU" w:hAnsi="Calibri"/>
          <w:sz w:val="22"/>
          <w:szCs w:val="22"/>
          <w:lang w:eastAsia="zh-TW"/>
        </w:rPr>
        <w:t>rinciple</w:t>
      </w:r>
      <w:r w:rsidR="00BB7A80">
        <w:rPr>
          <w:rFonts w:ascii="Calibri" w:eastAsia="PMingLiU" w:hAnsi="Calibri"/>
          <w:sz w:val="22"/>
          <w:szCs w:val="22"/>
          <w:lang w:eastAsia="zh-TW"/>
        </w:rPr>
        <w:t xml:space="preserve">, there could be different procedures with the target </w:t>
      </w:r>
      <w:r w:rsidR="00BB7A80">
        <w:rPr>
          <w:rFonts w:ascii="Calibri" w:eastAsia="PMingLiU" w:hAnsi="Calibri"/>
          <w:sz w:val="22"/>
          <w:szCs w:val="22"/>
          <w:lang w:eastAsia="zh-TW"/>
        </w:rPr>
        <w:lastRenderedPageBreak/>
        <w:t xml:space="preserve">(resembling LPP assistance data transfer) and with the anchors (resembling </w:t>
      </w:r>
      <w:proofErr w:type="spellStart"/>
      <w:r w:rsidR="00BB7A80">
        <w:rPr>
          <w:rFonts w:ascii="Calibri" w:eastAsia="PMingLiU" w:hAnsi="Calibri"/>
          <w:sz w:val="22"/>
          <w:szCs w:val="22"/>
          <w:lang w:eastAsia="zh-TW"/>
        </w:rPr>
        <w:t>NRPPa</w:t>
      </w:r>
      <w:proofErr w:type="spellEnd"/>
      <w:r w:rsidR="00BB7A80">
        <w:rPr>
          <w:rFonts w:ascii="Calibri" w:eastAsia="PMingLiU" w:hAnsi="Calibri"/>
          <w:sz w:val="22"/>
          <w:szCs w:val="22"/>
          <w:lang w:eastAsia="zh-TW"/>
        </w:rPr>
        <w:t xml:space="preserve"> TRP information exchange and </w:t>
      </w:r>
      <w:proofErr w:type="spellStart"/>
      <w:r w:rsidR="00BB7A80">
        <w:rPr>
          <w:rFonts w:ascii="Calibri" w:eastAsia="PMingLiU" w:hAnsi="Calibri"/>
          <w:sz w:val="22"/>
          <w:szCs w:val="22"/>
          <w:lang w:eastAsia="zh-TW"/>
        </w:rPr>
        <w:t>NRPPa</w:t>
      </w:r>
      <w:proofErr w:type="spellEnd"/>
      <w:r w:rsidR="00BB7A80">
        <w:rPr>
          <w:rFonts w:ascii="Calibri" w:eastAsia="PMingLiU" w:hAnsi="Calibri"/>
          <w:sz w:val="22"/>
          <w:szCs w:val="22"/>
          <w:lang w:eastAsia="zh-TW"/>
        </w:rPr>
        <w:t xml:space="preserve"> measurement retrieval in the transmit and receive cases, respectively).</w:t>
      </w:r>
      <w:r w:rsidR="00EB4C8E">
        <w:rPr>
          <w:rFonts w:ascii="Calibri" w:eastAsia="PMingLiU" w:hAnsi="Calibri"/>
          <w:sz w:val="22"/>
          <w:szCs w:val="22"/>
          <w:lang w:eastAsia="zh-TW"/>
        </w:rPr>
        <w:t xml:space="preserve">  However, we suggest that a single assistance data procedure can be used.</w:t>
      </w:r>
    </w:p>
    <w:p w14:paraId="3BB6C170" w14:textId="376A1876" w:rsidR="00EB4C8E" w:rsidRPr="00EB4C8E" w:rsidRDefault="00EB4C8E" w:rsidP="00346BAA">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t>Proposal 7:</w:t>
      </w:r>
      <w:r>
        <w:rPr>
          <w:rFonts w:ascii="Calibri" w:eastAsia="PMingLiU" w:hAnsi="Calibri"/>
          <w:sz w:val="22"/>
          <w:szCs w:val="22"/>
          <w:lang w:eastAsia="zh-TW"/>
        </w:rPr>
        <w:t xml:space="preserve"> Delivery of SL-PRS configuration information to target and anchor UEs uses a common assistance data transfer procedure in RSPP/SLPP.</w:t>
      </w:r>
    </w:p>
    <w:p w14:paraId="5D04544A" w14:textId="094C3D12" w:rsidR="00BB7A80" w:rsidRDefault="00EB4C8E" w:rsidP="00346BAA">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Figure 3 below shows the operation of such a procedure in the target-to-anchor case.</w:t>
      </w:r>
    </w:p>
    <w:p w14:paraId="2C35ADBF" w14:textId="04231D65" w:rsidR="00BB7A80" w:rsidRDefault="008719D5" w:rsidP="00BB7A80">
      <w:pPr>
        <w:keepNext/>
        <w:overflowPunct/>
        <w:autoSpaceDE/>
        <w:autoSpaceDN/>
        <w:adjustRightInd/>
        <w:spacing w:after="240"/>
        <w:jc w:val="center"/>
        <w:textAlignment w:val="auto"/>
      </w:pPr>
      <w:r>
        <w:object w:dxaOrig="9410" w:dyaOrig="5090" w14:anchorId="0528AA8A">
          <v:shape id="_x0000_i1027" type="#_x0000_t75" style="width:470.25pt;height:254.25pt" o:ole="">
            <v:imagedata r:id="rId12" o:title=""/>
          </v:shape>
          <o:OLEObject Type="Embed" ProgID="Visio.Drawing.15" ShapeID="_x0000_i1027" DrawAspect="Content" ObjectID="_1725966895" r:id="rId13"/>
        </w:object>
      </w:r>
    </w:p>
    <w:p w14:paraId="0D7A3B8F" w14:textId="19C0F30F" w:rsidR="00BB7A80" w:rsidRDefault="00BB7A80" w:rsidP="00BB7A80">
      <w:pPr>
        <w:pStyle w:val="Caption"/>
        <w:jc w:val="center"/>
        <w:rPr>
          <w:rFonts w:ascii="Calibri" w:eastAsia="PMingLiU" w:hAnsi="Calibri"/>
          <w:sz w:val="22"/>
          <w:szCs w:val="22"/>
          <w:lang w:eastAsia="zh-TW"/>
        </w:rPr>
      </w:pPr>
      <w:r>
        <w:t xml:space="preserve">Figure </w:t>
      </w:r>
      <w:r>
        <w:fldChar w:fldCharType="begin"/>
      </w:r>
      <w:r>
        <w:instrText xml:space="preserve"> SEQ Figure \* ARABIC </w:instrText>
      </w:r>
      <w:r>
        <w:fldChar w:fldCharType="separate"/>
      </w:r>
      <w:r w:rsidR="00EB4C8E">
        <w:rPr>
          <w:noProof/>
        </w:rPr>
        <w:t>3</w:t>
      </w:r>
      <w:r>
        <w:fldChar w:fldCharType="end"/>
      </w:r>
      <w:r>
        <w:t>: Target-to-anchor transmission of SL-PRS</w:t>
      </w:r>
    </w:p>
    <w:p w14:paraId="2DF6912C" w14:textId="4E3C9069" w:rsidR="008719D5" w:rsidRDefault="008719D5" w:rsidP="00BB7A80">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The role of the “config source” in Figure 3 may require some explanation.  If the target UE determines its own SL-PRS configuration, then the left two columns of the diagram would collapse, and step 2 would just consist of the target UE notifying the anchor UE(s) of its SL-PRS configuration.  However, if the configuration is determined by a different node such as an LMF or server UE, step 2 would need to include transmissions of the configuration to both the target and the anchor(s), as shown.</w:t>
      </w:r>
    </w:p>
    <w:p w14:paraId="047CF499" w14:textId="30370817" w:rsidR="008719D5" w:rsidRDefault="008719D5" w:rsidP="00BB7A80">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Step 2 shows the potential use of LPP or the new protocol (RSPP/SLPP, name to be determined).  The intention is that RSPP/SLPP would be used if the config source is a UE, while LPP could be considered if the config source is an LMF.  (As proposed elsewhere, we prefer the use of RSPP/SLPP also between an LMF and a target/anchor UE, but this document is intended to be agnostic to the issue.)</w:t>
      </w:r>
    </w:p>
    <w:p w14:paraId="66028D0F" w14:textId="6EEA4F71" w:rsidR="00BB7A80" w:rsidRDefault="00EB4C8E" w:rsidP="00BB7A80">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Figure 4 below shows the equivalent procedure in the anchor-to-target case</w:t>
      </w:r>
      <w:r w:rsidR="00BB7A80">
        <w:rPr>
          <w:rFonts w:ascii="Calibri" w:eastAsia="PMingLiU" w:hAnsi="Calibri"/>
          <w:sz w:val="22"/>
          <w:szCs w:val="22"/>
          <w:lang w:eastAsia="zh-TW"/>
        </w:rPr>
        <w:t>.</w:t>
      </w:r>
      <w:r>
        <w:rPr>
          <w:rFonts w:ascii="Calibri" w:eastAsia="PMingLiU" w:hAnsi="Calibri"/>
          <w:sz w:val="22"/>
          <w:szCs w:val="22"/>
          <w:lang w:eastAsia="zh-TW"/>
        </w:rPr>
        <w:t xml:space="preserve">  It is essentially identical to Figure 3 except for the names of the UEs.</w:t>
      </w:r>
    </w:p>
    <w:p w14:paraId="51B440D6" w14:textId="3507987A" w:rsidR="00EB4C8E" w:rsidRDefault="008719D5" w:rsidP="00EB4C8E">
      <w:pPr>
        <w:keepNext/>
        <w:overflowPunct/>
        <w:autoSpaceDE/>
        <w:autoSpaceDN/>
        <w:adjustRightInd/>
        <w:spacing w:after="240"/>
        <w:jc w:val="center"/>
        <w:textAlignment w:val="auto"/>
      </w:pPr>
      <w:r>
        <w:object w:dxaOrig="9410" w:dyaOrig="5090" w14:anchorId="5021A018">
          <v:shape id="_x0000_i1028" type="#_x0000_t75" style="width:470.25pt;height:254.25pt" o:ole="">
            <v:imagedata r:id="rId14" o:title=""/>
          </v:shape>
          <o:OLEObject Type="Embed" ProgID="Visio.Drawing.15" ShapeID="_x0000_i1028" DrawAspect="Content" ObjectID="_1725966896" r:id="rId15"/>
        </w:object>
      </w:r>
    </w:p>
    <w:p w14:paraId="2967BB34" w14:textId="35E990C6" w:rsidR="00EB4C8E" w:rsidRDefault="00EB4C8E" w:rsidP="00EB4C8E">
      <w:pPr>
        <w:pStyle w:val="Caption"/>
        <w:jc w:val="center"/>
        <w:rPr>
          <w:rFonts w:ascii="Calibri" w:eastAsia="PMingLiU" w:hAnsi="Calibri"/>
          <w:sz w:val="22"/>
          <w:szCs w:val="22"/>
          <w:lang w:eastAsia="zh-TW"/>
        </w:rPr>
      </w:pPr>
      <w:r>
        <w:t xml:space="preserve">Figure </w:t>
      </w:r>
      <w:r>
        <w:fldChar w:fldCharType="begin"/>
      </w:r>
      <w:r>
        <w:instrText xml:space="preserve"> SEQ Figure \* ARABIC </w:instrText>
      </w:r>
      <w:r>
        <w:fldChar w:fldCharType="separate"/>
      </w:r>
      <w:r>
        <w:rPr>
          <w:noProof/>
        </w:rPr>
        <w:t>4</w:t>
      </w:r>
      <w:r>
        <w:fldChar w:fldCharType="end"/>
      </w:r>
      <w:r>
        <w:t>: Anchor-to-target transmission of SL-PRS</w:t>
      </w:r>
    </w:p>
    <w:p w14:paraId="0F1BC76C" w14:textId="2A71FB45" w:rsidR="00EB4C8E" w:rsidRDefault="00EB4C8E" w:rsidP="00EB4C8E">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 xml:space="preserve">Note that the figures </w:t>
      </w:r>
      <w:r w:rsidR="00BA0C44">
        <w:rPr>
          <w:rFonts w:ascii="Calibri" w:eastAsia="PMingLiU" w:hAnsi="Calibri"/>
          <w:sz w:val="22"/>
          <w:szCs w:val="22"/>
          <w:lang w:eastAsia="zh-TW"/>
        </w:rPr>
        <w:t xml:space="preserve">above </w:t>
      </w:r>
      <w:r>
        <w:rPr>
          <w:rFonts w:ascii="Calibri" w:eastAsia="PMingLiU" w:hAnsi="Calibri"/>
          <w:sz w:val="22"/>
          <w:szCs w:val="22"/>
          <w:lang w:eastAsia="zh-TW"/>
        </w:rPr>
        <w:t xml:space="preserve">only describe the delivery of assistance data and the transmission/measurement of the actual SL-PRS.  After the measurements are taken (step 5 of each figure), they need to be delivered to a position calculation function, which could </w:t>
      </w:r>
      <w:proofErr w:type="gramStart"/>
      <w:r>
        <w:rPr>
          <w:rFonts w:ascii="Calibri" w:eastAsia="PMingLiU" w:hAnsi="Calibri"/>
          <w:sz w:val="22"/>
          <w:szCs w:val="22"/>
          <w:lang w:eastAsia="zh-TW"/>
        </w:rPr>
        <w:t>be located in</w:t>
      </w:r>
      <w:proofErr w:type="gramEnd"/>
      <w:r>
        <w:rPr>
          <w:rFonts w:ascii="Calibri" w:eastAsia="PMingLiU" w:hAnsi="Calibri"/>
          <w:sz w:val="22"/>
          <w:szCs w:val="22"/>
          <w:lang w:eastAsia="zh-TW"/>
        </w:rPr>
        <w:t xml:space="preserve"> any of several nodes.</w:t>
      </w:r>
      <w:r w:rsidR="00BA0C44">
        <w:rPr>
          <w:rFonts w:ascii="Calibri" w:eastAsia="PMingLiU" w:hAnsi="Calibri"/>
          <w:sz w:val="22"/>
          <w:szCs w:val="22"/>
          <w:lang w:eastAsia="zh-TW"/>
        </w:rPr>
        <w:t xml:space="preserve">  The possible locations for the position calculation function need to be considered by SA2, but whatever node holds the function, the flows of Figures 3 and 4 would need to be followed by another step to transmit the measurement results there.</w:t>
      </w:r>
    </w:p>
    <w:p w14:paraId="3D561AE8" w14:textId="29AC4190" w:rsidR="00EB4C8E" w:rsidRDefault="00EB4C8E" w:rsidP="00EB4C8E">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 xml:space="preserve">The figures only show the </w:t>
      </w:r>
      <w:proofErr w:type="gramStart"/>
      <w:r>
        <w:rPr>
          <w:rFonts w:ascii="Calibri" w:eastAsia="PMingLiU" w:hAnsi="Calibri"/>
          <w:sz w:val="22"/>
          <w:szCs w:val="22"/>
          <w:lang w:eastAsia="zh-TW"/>
        </w:rPr>
        <w:t>Provide Assistance</w:t>
      </w:r>
      <w:proofErr w:type="gramEnd"/>
      <w:r>
        <w:rPr>
          <w:rFonts w:ascii="Calibri" w:eastAsia="PMingLiU" w:hAnsi="Calibri"/>
          <w:sz w:val="22"/>
          <w:szCs w:val="22"/>
          <w:lang w:eastAsia="zh-TW"/>
        </w:rPr>
        <w:t xml:space="preserve"> Data message.  It can be further discussed if a corresponding request message is sometimes or always needed.  For instance, in the anchor-to-target case of Figure 4, it seems reasonable that if the target UE is positioning itself (MO-LR-like service), it requests SL-PRS configuration </w:t>
      </w:r>
      <w:r w:rsidR="008719D5">
        <w:rPr>
          <w:rFonts w:ascii="Calibri" w:eastAsia="PMingLiU" w:hAnsi="Calibri"/>
          <w:sz w:val="22"/>
          <w:szCs w:val="22"/>
          <w:lang w:eastAsia="zh-TW"/>
        </w:rPr>
        <w:t>from the config source</w:t>
      </w:r>
      <w:r>
        <w:rPr>
          <w:rFonts w:ascii="Calibri" w:eastAsia="PMingLiU" w:hAnsi="Calibri"/>
          <w:sz w:val="22"/>
          <w:szCs w:val="22"/>
          <w:lang w:eastAsia="zh-TW"/>
        </w:rPr>
        <w:t>.</w:t>
      </w:r>
    </w:p>
    <w:p w14:paraId="4895C17A" w14:textId="7A616876" w:rsidR="00EB4C8E" w:rsidRDefault="008719D5" w:rsidP="00EB4C8E">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W</w:t>
      </w:r>
      <w:r w:rsidR="00EB4C8E">
        <w:rPr>
          <w:rFonts w:ascii="Calibri" w:eastAsia="PMingLiU" w:hAnsi="Calibri"/>
          <w:sz w:val="22"/>
          <w:szCs w:val="22"/>
          <w:lang w:eastAsia="zh-TW"/>
        </w:rPr>
        <w:t>e suggest that the procedures shown above be taken as a basis for discussion, and RAN2 may attempt to converge on agreeable procedural details.</w:t>
      </w:r>
    </w:p>
    <w:p w14:paraId="1E23D0BC" w14:textId="291690F5" w:rsidR="00EB4C8E" w:rsidRPr="00EB4C8E" w:rsidRDefault="00EB4C8E" w:rsidP="00EB4C8E">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t>Proposal 8:</w:t>
      </w:r>
      <w:r>
        <w:rPr>
          <w:rFonts w:ascii="Calibri" w:eastAsia="PMingLiU" w:hAnsi="Calibri"/>
          <w:sz w:val="22"/>
          <w:szCs w:val="22"/>
          <w:lang w:eastAsia="zh-TW"/>
        </w:rPr>
        <w:t xml:space="preserve"> RAN2 discusses </w:t>
      </w:r>
      <w:proofErr w:type="gramStart"/>
      <w:r>
        <w:rPr>
          <w:rFonts w:ascii="Calibri" w:eastAsia="PMingLiU" w:hAnsi="Calibri"/>
          <w:sz w:val="22"/>
          <w:szCs w:val="22"/>
          <w:lang w:eastAsia="zh-TW"/>
        </w:rPr>
        <w:t>on the basis of</w:t>
      </w:r>
      <w:proofErr w:type="gramEnd"/>
      <w:r>
        <w:rPr>
          <w:rFonts w:ascii="Calibri" w:eastAsia="PMingLiU" w:hAnsi="Calibri"/>
          <w:sz w:val="22"/>
          <w:szCs w:val="22"/>
          <w:lang w:eastAsia="zh-TW"/>
        </w:rPr>
        <w:t xml:space="preserve"> the procedures described above to reach an agreeable description of the SL-PRS configuration procedures.</w:t>
      </w:r>
    </w:p>
    <w:p w14:paraId="3A88A533" w14:textId="77777777" w:rsidR="00A32E79" w:rsidRPr="00A32E79" w:rsidRDefault="00B47D49" w:rsidP="00A32E79">
      <w:pPr>
        <w:keepNext/>
        <w:keepLines/>
        <w:pBdr>
          <w:top w:val="single" w:sz="12" w:space="3" w:color="auto"/>
        </w:pBdr>
        <w:tabs>
          <w:tab w:val="num" w:pos="432"/>
        </w:tabs>
        <w:spacing w:before="240"/>
        <w:ind w:left="432" w:hanging="432"/>
        <w:textAlignment w:val="auto"/>
        <w:outlineLvl w:val="0"/>
        <w:rPr>
          <w:rFonts w:ascii="Arial" w:eastAsia="PMingLiU" w:hAnsi="Arial" w:cs="Arial"/>
          <w:sz w:val="36"/>
          <w:lang w:eastAsia="en-US"/>
        </w:rPr>
      </w:pPr>
      <w:r>
        <w:rPr>
          <w:rFonts w:ascii="Arial" w:eastAsia="PMingLiU" w:hAnsi="Arial" w:cs="Arial"/>
          <w:sz w:val="36"/>
          <w:lang w:eastAsia="en-US"/>
        </w:rPr>
        <w:t>3</w:t>
      </w:r>
      <w:r>
        <w:rPr>
          <w:rFonts w:ascii="Arial" w:eastAsia="PMingLiU" w:hAnsi="Arial" w:cs="Arial"/>
          <w:sz w:val="36"/>
          <w:lang w:eastAsia="en-US"/>
        </w:rPr>
        <w:tab/>
      </w:r>
      <w:r w:rsidR="00A32E79" w:rsidRPr="00A32E79">
        <w:rPr>
          <w:rFonts w:ascii="Arial" w:eastAsia="PMingLiU" w:hAnsi="Arial" w:cs="Arial"/>
          <w:sz w:val="36"/>
          <w:lang w:eastAsia="en-US"/>
        </w:rPr>
        <w:t>Conclusion</w:t>
      </w:r>
      <w:bookmarkEnd w:id="11"/>
      <w:bookmarkEnd w:id="12"/>
      <w:bookmarkEnd w:id="13"/>
      <w:bookmarkEnd w:id="14"/>
    </w:p>
    <w:bookmarkEnd w:id="0"/>
    <w:bookmarkEnd w:id="1"/>
    <w:p w14:paraId="27366255" w14:textId="4CDD71A1" w:rsidR="00A32E79" w:rsidRDefault="000A042D" w:rsidP="00A32E79">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This document promulgated the following proposals:</w:t>
      </w:r>
    </w:p>
    <w:p w14:paraId="2F4625A1" w14:textId="77777777" w:rsidR="000A042D" w:rsidRDefault="000A042D" w:rsidP="000A042D">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t>Proposal 1:</w:t>
      </w:r>
      <w:r>
        <w:rPr>
          <w:rFonts w:ascii="Calibri" w:eastAsia="PMingLiU" w:hAnsi="Calibri"/>
          <w:sz w:val="22"/>
          <w:szCs w:val="22"/>
          <w:lang w:eastAsia="zh-TW"/>
        </w:rPr>
        <w:t xml:space="preserve"> RAN2 assume that to measure or transmit SL-PRS, a UE needs to be informed of a set of SL-PRS parameters, separately from the resource allocation process.  The list of parameters is FFS pending RAN1.</w:t>
      </w:r>
    </w:p>
    <w:p w14:paraId="311E6170" w14:textId="77777777" w:rsidR="000A042D" w:rsidRDefault="000A042D" w:rsidP="000A042D">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t>Proposal 2:</w:t>
      </w:r>
      <w:r>
        <w:rPr>
          <w:rFonts w:ascii="Calibri" w:eastAsia="PMingLiU" w:hAnsi="Calibri"/>
          <w:sz w:val="22"/>
          <w:szCs w:val="22"/>
          <w:lang w:eastAsia="zh-TW"/>
        </w:rPr>
        <w:t xml:space="preserve"> </w:t>
      </w:r>
      <w:r w:rsidRPr="00FB0588">
        <w:rPr>
          <w:rFonts w:ascii="Calibri" w:eastAsia="PMingLiU" w:hAnsi="Calibri"/>
          <w:sz w:val="22"/>
          <w:szCs w:val="22"/>
          <w:lang w:eastAsia="zh-TW"/>
        </w:rPr>
        <w:t>Which resource pool is used for SL-PRS can be known to all involved UEs by similar configuration mechanisms to Rel-16/17 SL (</w:t>
      </w:r>
      <w:proofErr w:type="spellStart"/>
      <w:r w:rsidRPr="00FB0588">
        <w:rPr>
          <w:rFonts w:ascii="Calibri" w:eastAsia="PMingLiU" w:hAnsi="Calibri"/>
          <w:sz w:val="22"/>
          <w:szCs w:val="22"/>
          <w:lang w:eastAsia="zh-TW"/>
        </w:rPr>
        <w:t>preconfiguration</w:t>
      </w:r>
      <w:proofErr w:type="spellEnd"/>
      <w:r w:rsidRPr="00FB0588">
        <w:rPr>
          <w:rFonts w:ascii="Calibri" w:eastAsia="PMingLiU" w:hAnsi="Calibri"/>
          <w:sz w:val="22"/>
          <w:szCs w:val="22"/>
          <w:lang w:eastAsia="zh-TW"/>
        </w:rPr>
        <w:t>, SIBs, dedicated signalling)</w:t>
      </w:r>
      <w:r>
        <w:rPr>
          <w:rFonts w:ascii="Calibri" w:eastAsia="PMingLiU" w:hAnsi="Calibri"/>
          <w:sz w:val="22"/>
          <w:szCs w:val="22"/>
          <w:lang w:eastAsia="zh-TW"/>
        </w:rPr>
        <w:t xml:space="preserve">.  Whether the configuration can come only from the network (i.e., always </w:t>
      </w:r>
      <w:proofErr w:type="spellStart"/>
      <w:r>
        <w:rPr>
          <w:rFonts w:ascii="Calibri" w:eastAsia="PMingLiU" w:hAnsi="Calibri"/>
          <w:sz w:val="22"/>
          <w:szCs w:val="22"/>
          <w:lang w:eastAsia="zh-TW"/>
        </w:rPr>
        <w:t>preconfiguration</w:t>
      </w:r>
      <w:proofErr w:type="spellEnd"/>
      <w:r>
        <w:rPr>
          <w:rFonts w:ascii="Calibri" w:eastAsia="PMingLiU" w:hAnsi="Calibri"/>
          <w:sz w:val="22"/>
          <w:szCs w:val="22"/>
          <w:lang w:eastAsia="zh-TW"/>
        </w:rPr>
        <w:t xml:space="preserve"> for OOC cases) or can also be signalled by a peer UE is FFS.</w:t>
      </w:r>
    </w:p>
    <w:p w14:paraId="758CD841" w14:textId="77777777" w:rsidR="000A042D" w:rsidRPr="00672E25" w:rsidRDefault="000A042D" w:rsidP="000A042D">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t>Proposal 3:</w:t>
      </w:r>
      <w:r>
        <w:rPr>
          <w:rFonts w:ascii="Calibri" w:eastAsia="PMingLiU" w:hAnsi="Calibri"/>
          <w:sz w:val="22"/>
          <w:szCs w:val="22"/>
          <w:lang w:eastAsia="zh-TW"/>
        </w:rPr>
        <w:t xml:space="preserve"> RAN2 do not assume that UEs have advance knowledge of which resources will carry SL-PRS, but RAN2 will strive to limit the reception time for a measuring UE to receive the SL-PRS.</w:t>
      </w:r>
    </w:p>
    <w:p w14:paraId="37513C43" w14:textId="77777777" w:rsidR="000A042D" w:rsidRDefault="000A042D" w:rsidP="000A042D">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lastRenderedPageBreak/>
        <w:t>Proposal 4:</w:t>
      </w:r>
      <w:r>
        <w:rPr>
          <w:rFonts w:ascii="Calibri" w:eastAsia="PMingLiU" w:hAnsi="Calibri"/>
          <w:sz w:val="22"/>
          <w:szCs w:val="22"/>
          <w:lang w:eastAsia="zh-TW"/>
        </w:rPr>
        <w:t xml:space="preserve"> RAN2 designs for the target-to-anchor and anchor-to-target cases, pending RAN1 input.</w:t>
      </w:r>
    </w:p>
    <w:p w14:paraId="4281998D" w14:textId="77777777" w:rsidR="000A042D" w:rsidRDefault="000A042D" w:rsidP="000A042D">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t>Proposal 5:</w:t>
      </w:r>
      <w:r>
        <w:rPr>
          <w:rFonts w:ascii="Calibri" w:eastAsia="PMingLiU" w:hAnsi="Calibri"/>
          <w:sz w:val="22"/>
          <w:szCs w:val="22"/>
          <w:lang w:eastAsia="zh-TW"/>
        </w:rPr>
        <w:t xml:space="preserve"> For the target-to-anchor case, the entity that determines the target UE’s transmitted SL-PRS configuration distributes the configuration to the anchor UEs as assistance data.  If this entity is outside the target UE, it also delivers the configuration to the target UE as assistance data.</w:t>
      </w:r>
    </w:p>
    <w:p w14:paraId="00EC8D72" w14:textId="77777777" w:rsidR="000A042D" w:rsidRDefault="000A042D" w:rsidP="000A042D">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t>Proposal 6:</w:t>
      </w:r>
      <w:r>
        <w:rPr>
          <w:rFonts w:ascii="Calibri" w:eastAsia="PMingLiU" w:hAnsi="Calibri"/>
          <w:sz w:val="22"/>
          <w:szCs w:val="22"/>
          <w:lang w:eastAsia="zh-TW"/>
        </w:rPr>
        <w:t xml:space="preserve"> For the anchor-to-target case, the entity that determines the anchor UEs’ transmitted SL-PRS configurations delivers the configurations to the target UE as assistance data.  If this entity is outside the anchor UEs, it also distributes the configurations to the anchor UEs as assistance data.</w:t>
      </w:r>
    </w:p>
    <w:p w14:paraId="0DFAEC04" w14:textId="77777777" w:rsidR="000A042D" w:rsidRPr="00EB4C8E" w:rsidRDefault="000A042D" w:rsidP="000A042D">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t>Proposal 7:</w:t>
      </w:r>
      <w:r>
        <w:rPr>
          <w:rFonts w:ascii="Calibri" w:eastAsia="PMingLiU" w:hAnsi="Calibri"/>
          <w:sz w:val="22"/>
          <w:szCs w:val="22"/>
          <w:lang w:eastAsia="zh-TW"/>
        </w:rPr>
        <w:t xml:space="preserve"> Delivery of SL-PRS configuration information to target and anchor UEs uses a common assistance data transfer procedure in RSPP/SLPP.</w:t>
      </w:r>
    </w:p>
    <w:p w14:paraId="6E3CFF43" w14:textId="77777777" w:rsidR="000A042D" w:rsidRPr="00EB4C8E" w:rsidRDefault="000A042D" w:rsidP="000A042D">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t>Proposal 8:</w:t>
      </w:r>
      <w:r>
        <w:rPr>
          <w:rFonts w:ascii="Calibri" w:eastAsia="PMingLiU" w:hAnsi="Calibri"/>
          <w:sz w:val="22"/>
          <w:szCs w:val="22"/>
          <w:lang w:eastAsia="zh-TW"/>
        </w:rPr>
        <w:t xml:space="preserve"> RAN2 discusses </w:t>
      </w:r>
      <w:proofErr w:type="gramStart"/>
      <w:r>
        <w:rPr>
          <w:rFonts w:ascii="Calibri" w:eastAsia="PMingLiU" w:hAnsi="Calibri"/>
          <w:sz w:val="22"/>
          <w:szCs w:val="22"/>
          <w:lang w:eastAsia="zh-TW"/>
        </w:rPr>
        <w:t>on the basis of</w:t>
      </w:r>
      <w:proofErr w:type="gramEnd"/>
      <w:r>
        <w:rPr>
          <w:rFonts w:ascii="Calibri" w:eastAsia="PMingLiU" w:hAnsi="Calibri"/>
          <w:sz w:val="22"/>
          <w:szCs w:val="22"/>
          <w:lang w:eastAsia="zh-TW"/>
        </w:rPr>
        <w:t xml:space="preserve"> the procedures described above to reach an agreeable description of the SL-PRS configuration procedures.</w:t>
      </w:r>
    </w:p>
    <w:p w14:paraId="49106AB4" w14:textId="04F0ED46" w:rsidR="00A32E79" w:rsidRPr="00A32E79" w:rsidRDefault="00B47D49" w:rsidP="00A32E79">
      <w:pPr>
        <w:keepNext/>
        <w:keepLines/>
        <w:pBdr>
          <w:top w:val="single" w:sz="12" w:space="3" w:color="auto"/>
        </w:pBdr>
        <w:tabs>
          <w:tab w:val="num" w:pos="432"/>
        </w:tabs>
        <w:spacing w:before="240"/>
        <w:ind w:left="432" w:hanging="432"/>
        <w:textAlignment w:val="auto"/>
        <w:outlineLvl w:val="0"/>
        <w:rPr>
          <w:rFonts w:ascii="Arial" w:eastAsia="PMingLiU" w:hAnsi="Arial" w:cs="Arial"/>
          <w:sz w:val="36"/>
          <w:lang w:eastAsia="en-US"/>
        </w:rPr>
      </w:pPr>
      <w:r>
        <w:rPr>
          <w:rFonts w:ascii="Arial" w:eastAsia="PMingLiU" w:hAnsi="Arial" w:cs="Arial"/>
          <w:sz w:val="36"/>
          <w:lang w:eastAsia="en-US"/>
        </w:rPr>
        <w:t>4</w:t>
      </w:r>
      <w:r>
        <w:rPr>
          <w:rFonts w:ascii="Arial" w:eastAsia="PMingLiU" w:hAnsi="Arial" w:cs="Arial"/>
          <w:sz w:val="36"/>
          <w:lang w:eastAsia="en-US"/>
        </w:rPr>
        <w:tab/>
      </w:r>
      <w:r w:rsidR="00A32E79" w:rsidRPr="00A32E79">
        <w:rPr>
          <w:rFonts w:ascii="Arial" w:eastAsia="PMingLiU" w:hAnsi="Arial" w:cs="Arial"/>
          <w:sz w:val="36"/>
          <w:lang w:eastAsia="en-US"/>
        </w:rPr>
        <w:t>References</w:t>
      </w:r>
    </w:p>
    <w:p w14:paraId="3600FDA4" w14:textId="2EB1CA27" w:rsidR="008E144B" w:rsidRDefault="008E36F7" w:rsidP="003E7178">
      <w:pPr>
        <w:overflowPunct/>
        <w:autoSpaceDE/>
        <w:autoSpaceDN/>
        <w:adjustRightInd/>
        <w:spacing w:after="0"/>
        <w:ind w:left="720" w:hanging="720"/>
        <w:textAlignment w:val="auto"/>
        <w:rPr>
          <w:rFonts w:ascii="Calibri" w:eastAsia="PMingLiU" w:hAnsi="Calibri"/>
          <w:sz w:val="22"/>
          <w:szCs w:val="22"/>
          <w:lang w:eastAsia="en-US"/>
        </w:rPr>
      </w:pPr>
      <w:r>
        <w:rPr>
          <w:rFonts w:ascii="Calibri" w:eastAsia="PMingLiU" w:hAnsi="Calibri"/>
          <w:sz w:val="22"/>
          <w:szCs w:val="22"/>
          <w:lang w:eastAsia="en-US"/>
        </w:rPr>
        <w:t>[1]</w:t>
      </w:r>
      <w:r>
        <w:rPr>
          <w:rFonts w:ascii="Calibri" w:eastAsia="PMingLiU" w:hAnsi="Calibri"/>
          <w:sz w:val="22"/>
          <w:szCs w:val="22"/>
          <w:lang w:eastAsia="en-US"/>
        </w:rPr>
        <w:tab/>
      </w:r>
      <w:bookmarkEnd w:id="2"/>
      <w:bookmarkEnd w:id="3"/>
      <w:bookmarkEnd w:id="4"/>
      <w:bookmarkEnd w:id="5"/>
      <w:bookmarkEnd w:id="6"/>
      <w:bookmarkEnd w:id="7"/>
      <w:r w:rsidR="00543275">
        <w:rPr>
          <w:rFonts w:ascii="Calibri" w:eastAsia="PMingLiU" w:hAnsi="Calibri"/>
          <w:sz w:val="22"/>
          <w:szCs w:val="22"/>
          <w:lang w:eastAsia="en-US"/>
        </w:rPr>
        <w:t>Draft notes of RAN1#110</w:t>
      </w:r>
    </w:p>
    <w:p w14:paraId="7F7E62E8" w14:textId="77777777" w:rsidR="008E144B" w:rsidRDefault="008E144B" w:rsidP="00A32E79">
      <w:pPr>
        <w:overflowPunct/>
        <w:autoSpaceDE/>
        <w:autoSpaceDN/>
        <w:adjustRightInd/>
        <w:spacing w:after="0"/>
        <w:ind w:left="720" w:hanging="720"/>
        <w:textAlignment w:val="auto"/>
        <w:rPr>
          <w:rFonts w:ascii="Calibri" w:eastAsia="PMingLiU" w:hAnsi="Calibri"/>
          <w:sz w:val="22"/>
          <w:szCs w:val="22"/>
          <w:lang w:eastAsia="en-US"/>
        </w:rPr>
      </w:pPr>
    </w:p>
    <w:p w14:paraId="01C28463" w14:textId="77777777" w:rsidR="00395E10" w:rsidRDefault="00395E10" w:rsidP="00A32E79">
      <w:pPr>
        <w:overflowPunct/>
        <w:autoSpaceDE/>
        <w:autoSpaceDN/>
        <w:adjustRightInd/>
        <w:spacing w:after="0"/>
        <w:ind w:left="720" w:hanging="720"/>
        <w:textAlignment w:val="auto"/>
        <w:rPr>
          <w:rFonts w:ascii="Calibri" w:eastAsia="PMingLiU" w:hAnsi="Calibri"/>
          <w:sz w:val="22"/>
          <w:szCs w:val="22"/>
          <w:lang w:eastAsia="en-US"/>
        </w:rPr>
      </w:pPr>
    </w:p>
    <w:sectPr w:rsidR="00395E10" w:rsidSect="00E761DC">
      <w:footnotePr>
        <w:numRestart w:val="eachSect"/>
      </w:footnotePr>
      <w:pgSz w:w="11907" w:h="16840" w:code="9"/>
      <w:pgMar w:top="1411" w:right="1138" w:bottom="1138" w:left="1138" w:header="850" w:footer="346"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BC228D0" w14:textId="77777777" w:rsidR="005B2321" w:rsidRDefault="005B2321">
      <w:pPr>
        <w:spacing w:after="0"/>
      </w:pPr>
      <w:r>
        <w:separator/>
      </w:r>
    </w:p>
  </w:endnote>
  <w:endnote w:type="continuationSeparator" w:id="0">
    <w:p w14:paraId="09AFA9AF" w14:textId="77777777" w:rsidR="005B2321" w:rsidRDefault="005B2321">
      <w:pPr>
        <w:spacing w:after="0"/>
      </w:pPr>
      <w:r>
        <w:continuationSeparator/>
      </w:r>
    </w:p>
  </w:endnote>
  <w:endnote w:type="continuationNotice" w:id="1">
    <w:p w14:paraId="240E2BFF" w14:textId="77777777" w:rsidR="005B2321" w:rsidRDefault="005B232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9B9FDA4" w14:textId="77777777" w:rsidR="005B2321" w:rsidRDefault="005B2321">
      <w:pPr>
        <w:spacing w:after="0"/>
      </w:pPr>
      <w:r>
        <w:separator/>
      </w:r>
    </w:p>
  </w:footnote>
  <w:footnote w:type="continuationSeparator" w:id="0">
    <w:p w14:paraId="2103BB60" w14:textId="77777777" w:rsidR="005B2321" w:rsidRDefault="005B2321">
      <w:pPr>
        <w:spacing w:after="0"/>
      </w:pPr>
      <w:r>
        <w:continuationSeparator/>
      </w:r>
    </w:p>
  </w:footnote>
  <w:footnote w:type="continuationNotice" w:id="1">
    <w:p w14:paraId="2C37B39A" w14:textId="77777777" w:rsidR="005B2321" w:rsidRDefault="005B232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15:restartNumberingAfterBreak="0">
    <w:nsid w:val="07C36C29"/>
    <w:multiLevelType w:val="hybridMultilevel"/>
    <w:tmpl w:val="6EBC87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5A814AA"/>
    <w:multiLevelType w:val="hybridMultilevel"/>
    <w:tmpl w:val="E1E49526"/>
    <w:lvl w:ilvl="0" w:tplc="6E067BC6">
      <w:start w:val="2"/>
      <w:numFmt w:val="bullet"/>
      <w:lvlText w:val=""/>
      <w:lvlJc w:val="left"/>
      <w:pPr>
        <w:ind w:left="720" w:hanging="360"/>
      </w:pPr>
      <w:rPr>
        <w:rFonts w:ascii="Symbol" w:eastAsia="PMingLiU"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B2294B"/>
    <w:multiLevelType w:val="hybridMultilevel"/>
    <w:tmpl w:val="2BAE04AA"/>
    <w:lvl w:ilvl="0" w:tplc="595233DE">
      <w:start w:val="2"/>
      <w:numFmt w:val="bullet"/>
      <w:lvlText w:val=""/>
      <w:lvlJc w:val="left"/>
      <w:pPr>
        <w:ind w:left="720" w:hanging="360"/>
      </w:pPr>
      <w:rPr>
        <w:rFonts w:ascii="Symbol" w:eastAsiaTheme="minorEastAsia"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2526879"/>
    <w:multiLevelType w:val="hybridMultilevel"/>
    <w:tmpl w:val="169490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A9E1F53"/>
    <w:multiLevelType w:val="hybridMultilevel"/>
    <w:tmpl w:val="C012E932"/>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1854012"/>
    <w:multiLevelType w:val="hybridMultilevel"/>
    <w:tmpl w:val="8420220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6"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3792107"/>
    <w:multiLevelType w:val="multilevel"/>
    <w:tmpl w:val="5379210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85A10A0"/>
    <w:multiLevelType w:val="hybridMultilevel"/>
    <w:tmpl w:val="9516D64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num>
  <w:num w:numId="2">
    <w:abstractNumId w:val="15"/>
  </w:num>
  <w:num w:numId="3">
    <w:abstractNumId w:val="19"/>
  </w:num>
  <w:num w:numId="4">
    <w:abstractNumId w:val="16"/>
  </w:num>
  <w:num w:numId="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20"/>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num>
  <w:num w:numId="17">
    <w:abstractNumId w:val="17"/>
  </w:num>
  <w:num w:numId="18">
    <w:abstractNumId w:val="8"/>
  </w:num>
  <w:num w:numId="19">
    <w:abstractNumId w:val="9"/>
  </w:num>
  <w:num w:numId="20">
    <w:abstractNumId w:val="13"/>
  </w:num>
  <w:num w:numId="21">
    <w:abstractNumId w:val="14"/>
  </w:num>
  <w:num w:numId="22">
    <w:abstractNumId w:val="10"/>
  </w:num>
  <w:num w:numId="23">
    <w:abstractNumId w:val="12"/>
  </w:num>
  <w:num w:numId="2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1D2"/>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3CCB"/>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D"/>
    <w:rsid w:val="000442E2"/>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ACB"/>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04"/>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0CEA"/>
    <w:rsid w:val="0008100A"/>
    <w:rsid w:val="00081258"/>
    <w:rsid w:val="00081493"/>
    <w:rsid w:val="000816B3"/>
    <w:rsid w:val="000817E3"/>
    <w:rsid w:val="0008265E"/>
    <w:rsid w:val="00082AE4"/>
    <w:rsid w:val="00082ECD"/>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2F0"/>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42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654"/>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A8E"/>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64A"/>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0F7D86"/>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B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0D89"/>
    <w:rsid w:val="00160F4D"/>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4D4"/>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39D"/>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977"/>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8B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4CF"/>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068"/>
    <w:rsid w:val="00250632"/>
    <w:rsid w:val="002515B1"/>
    <w:rsid w:val="00251D93"/>
    <w:rsid w:val="002523B0"/>
    <w:rsid w:val="002527AD"/>
    <w:rsid w:val="0025298A"/>
    <w:rsid w:val="00252A4C"/>
    <w:rsid w:val="00252A82"/>
    <w:rsid w:val="00252E18"/>
    <w:rsid w:val="00253A3E"/>
    <w:rsid w:val="00253CCC"/>
    <w:rsid w:val="002543F5"/>
    <w:rsid w:val="00254797"/>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B5F"/>
    <w:rsid w:val="00275D12"/>
    <w:rsid w:val="00276026"/>
    <w:rsid w:val="00276141"/>
    <w:rsid w:val="002761F9"/>
    <w:rsid w:val="00276330"/>
    <w:rsid w:val="002763D8"/>
    <w:rsid w:val="00276741"/>
    <w:rsid w:val="002767A5"/>
    <w:rsid w:val="002768D4"/>
    <w:rsid w:val="00277CFA"/>
    <w:rsid w:val="00277D20"/>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1C5"/>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684"/>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4F6A"/>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82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BA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2D8"/>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5E10"/>
    <w:rsid w:val="0039604A"/>
    <w:rsid w:val="003960C8"/>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3CB"/>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4F4"/>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178"/>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D12"/>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CBC"/>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D5B"/>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7D3"/>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0C7"/>
    <w:rsid w:val="00482312"/>
    <w:rsid w:val="00482460"/>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0BD"/>
    <w:rsid w:val="004B657C"/>
    <w:rsid w:val="004B6917"/>
    <w:rsid w:val="004B6B66"/>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1433"/>
    <w:rsid w:val="004E16B4"/>
    <w:rsid w:val="004E17FA"/>
    <w:rsid w:val="004E194E"/>
    <w:rsid w:val="004E1F3B"/>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DC2"/>
    <w:rsid w:val="004E7E0A"/>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9DA"/>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0CBB"/>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275"/>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6C6"/>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DE9"/>
    <w:rsid w:val="00566FC6"/>
    <w:rsid w:val="00567203"/>
    <w:rsid w:val="0056720D"/>
    <w:rsid w:val="005677B0"/>
    <w:rsid w:val="005679A9"/>
    <w:rsid w:val="005701B4"/>
    <w:rsid w:val="0057028F"/>
    <w:rsid w:val="005718FE"/>
    <w:rsid w:val="00572137"/>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9C"/>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4E9"/>
    <w:rsid w:val="005A157F"/>
    <w:rsid w:val="005A1880"/>
    <w:rsid w:val="005A1B5F"/>
    <w:rsid w:val="005A2475"/>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321"/>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904"/>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48D"/>
    <w:rsid w:val="005E795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6E0"/>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07EC4"/>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27C5C"/>
    <w:rsid w:val="00630422"/>
    <w:rsid w:val="00630AEB"/>
    <w:rsid w:val="006310C0"/>
    <w:rsid w:val="00631453"/>
    <w:rsid w:val="00631567"/>
    <w:rsid w:val="006319D4"/>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273"/>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549"/>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CD8"/>
    <w:rsid w:val="00672D73"/>
    <w:rsid w:val="00672D8F"/>
    <w:rsid w:val="00672E25"/>
    <w:rsid w:val="006733FE"/>
    <w:rsid w:val="00673430"/>
    <w:rsid w:val="00673569"/>
    <w:rsid w:val="006736A8"/>
    <w:rsid w:val="006738BD"/>
    <w:rsid w:val="006739E8"/>
    <w:rsid w:val="00673BED"/>
    <w:rsid w:val="00674808"/>
    <w:rsid w:val="006749B5"/>
    <w:rsid w:val="00674B4B"/>
    <w:rsid w:val="00674E9C"/>
    <w:rsid w:val="00674FA3"/>
    <w:rsid w:val="00675438"/>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694"/>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3213"/>
    <w:rsid w:val="006B365F"/>
    <w:rsid w:val="006B3DF2"/>
    <w:rsid w:val="006B3E95"/>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637"/>
    <w:rsid w:val="006C09B4"/>
    <w:rsid w:val="006C0D81"/>
    <w:rsid w:val="006C1079"/>
    <w:rsid w:val="006C12BE"/>
    <w:rsid w:val="006C208E"/>
    <w:rsid w:val="006C2372"/>
    <w:rsid w:val="006C3236"/>
    <w:rsid w:val="006C332A"/>
    <w:rsid w:val="006C3863"/>
    <w:rsid w:val="006C3B3A"/>
    <w:rsid w:val="006C3B4F"/>
    <w:rsid w:val="006C3B86"/>
    <w:rsid w:val="006C3E81"/>
    <w:rsid w:val="006C4090"/>
    <w:rsid w:val="006C431E"/>
    <w:rsid w:val="006C453B"/>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A85"/>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DE5"/>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538"/>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6845"/>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3E4E"/>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5684"/>
    <w:rsid w:val="00795AEE"/>
    <w:rsid w:val="00796884"/>
    <w:rsid w:val="007969C0"/>
    <w:rsid w:val="00796C29"/>
    <w:rsid w:val="00797346"/>
    <w:rsid w:val="00797614"/>
    <w:rsid w:val="007977A8"/>
    <w:rsid w:val="00797950"/>
    <w:rsid w:val="007979E9"/>
    <w:rsid w:val="00797AF6"/>
    <w:rsid w:val="00797E12"/>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9E0"/>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6EA8"/>
    <w:rsid w:val="007B7030"/>
    <w:rsid w:val="007B7548"/>
    <w:rsid w:val="007B771D"/>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800"/>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1E05"/>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8F2"/>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9D5"/>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55A"/>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BAE"/>
    <w:rsid w:val="008A2DF8"/>
    <w:rsid w:val="008A2E42"/>
    <w:rsid w:val="008A30BC"/>
    <w:rsid w:val="008A35BF"/>
    <w:rsid w:val="008A3667"/>
    <w:rsid w:val="008A3988"/>
    <w:rsid w:val="008A42EB"/>
    <w:rsid w:val="008A4309"/>
    <w:rsid w:val="008A4482"/>
    <w:rsid w:val="008A45A6"/>
    <w:rsid w:val="008A481B"/>
    <w:rsid w:val="008A4B4A"/>
    <w:rsid w:val="008A4D0A"/>
    <w:rsid w:val="008A4ECE"/>
    <w:rsid w:val="008A5266"/>
    <w:rsid w:val="008A621D"/>
    <w:rsid w:val="008A62F5"/>
    <w:rsid w:val="008A6616"/>
    <w:rsid w:val="008A6715"/>
    <w:rsid w:val="008A75C6"/>
    <w:rsid w:val="008A7684"/>
    <w:rsid w:val="008A7A3B"/>
    <w:rsid w:val="008A7F80"/>
    <w:rsid w:val="008B001C"/>
    <w:rsid w:val="008B0292"/>
    <w:rsid w:val="008B035A"/>
    <w:rsid w:val="008B0D9C"/>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78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4B"/>
    <w:rsid w:val="008E14A8"/>
    <w:rsid w:val="008E1E5F"/>
    <w:rsid w:val="008E1EC3"/>
    <w:rsid w:val="008E20C9"/>
    <w:rsid w:val="008E237E"/>
    <w:rsid w:val="008E245C"/>
    <w:rsid w:val="008E28BF"/>
    <w:rsid w:val="008E28FA"/>
    <w:rsid w:val="008E2D36"/>
    <w:rsid w:val="008E2EC9"/>
    <w:rsid w:val="008E36BF"/>
    <w:rsid w:val="008E36F7"/>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3D7"/>
    <w:rsid w:val="008F1816"/>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AD6"/>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0D7E"/>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1E0E"/>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9D8"/>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9EE"/>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8BC"/>
    <w:rsid w:val="009F7D46"/>
    <w:rsid w:val="009F7D76"/>
    <w:rsid w:val="009F7E99"/>
    <w:rsid w:val="00A0018D"/>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6FB"/>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795"/>
    <w:rsid w:val="00A12979"/>
    <w:rsid w:val="00A129B6"/>
    <w:rsid w:val="00A12E3A"/>
    <w:rsid w:val="00A132FE"/>
    <w:rsid w:val="00A135CF"/>
    <w:rsid w:val="00A13A12"/>
    <w:rsid w:val="00A13CA8"/>
    <w:rsid w:val="00A13D13"/>
    <w:rsid w:val="00A13E62"/>
    <w:rsid w:val="00A14050"/>
    <w:rsid w:val="00A146BF"/>
    <w:rsid w:val="00A146E5"/>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2E79"/>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C54"/>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B40"/>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323"/>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BA2"/>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1C1"/>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1F"/>
    <w:rsid w:val="00B05643"/>
    <w:rsid w:val="00B0577B"/>
    <w:rsid w:val="00B05AE9"/>
    <w:rsid w:val="00B05B02"/>
    <w:rsid w:val="00B05BA8"/>
    <w:rsid w:val="00B05D12"/>
    <w:rsid w:val="00B05DCB"/>
    <w:rsid w:val="00B05EF8"/>
    <w:rsid w:val="00B05F21"/>
    <w:rsid w:val="00B0638A"/>
    <w:rsid w:val="00B06656"/>
    <w:rsid w:val="00B06713"/>
    <w:rsid w:val="00B069E4"/>
    <w:rsid w:val="00B06A6B"/>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1404"/>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C69"/>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D49"/>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69A"/>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C44"/>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A8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438"/>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401"/>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3F"/>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095"/>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2F70"/>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83A"/>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1EC0"/>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8DF"/>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4B9"/>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22A"/>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8D6"/>
    <w:rsid w:val="00D73A37"/>
    <w:rsid w:val="00D74250"/>
    <w:rsid w:val="00D74479"/>
    <w:rsid w:val="00D74962"/>
    <w:rsid w:val="00D749A0"/>
    <w:rsid w:val="00D74A5B"/>
    <w:rsid w:val="00D74D5C"/>
    <w:rsid w:val="00D74E22"/>
    <w:rsid w:val="00D74E5B"/>
    <w:rsid w:val="00D74F91"/>
    <w:rsid w:val="00D7547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39E1"/>
    <w:rsid w:val="00D84504"/>
    <w:rsid w:val="00D848B3"/>
    <w:rsid w:val="00D84AFD"/>
    <w:rsid w:val="00D855CA"/>
    <w:rsid w:val="00D856EC"/>
    <w:rsid w:val="00D85E69"/>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AE8"/>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6FE8"/>
    <w:rsid w:val="00DB70A4"/>
    <w:rsid w:val="00DB7370"/>
    <w:rsid w:val="00DB7438"/>
    <w:rsid w:val="00DB7913"/>
    <w:rsid w:val="00DB7B37"/>
    <w:rsid w:val="00DB7BB2"/>
    <w:rsid w:val="00DB7C8C"/>
    <w:rsid w:val="00DB7EB4"/>
    <w:rsid w:val="00DC02CD"/>
    <w:rsid w:val="00DC053B"/>
    <w:rsid w:val="00DC08B6"/>
    <w:rsid w:val="00DC0AA9"/>
    <w:rsid w:val="00DC0DB9"/>
    <w:rsid w:val="00DC0E4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765"/>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4FEF"/>
    <w:rsid w:val="00E150CB"/>
    <w:rsid w:val="00E1570A"/>
    <w:rsid w:val="00E159B3"/>
    <w:rsid w:val="00E15F4E"/>
    <w:rsid w:val="00E16E93"/>
    <w:rsid w:val="00E16F18"/>
    <w:rsid w:val="00E17124"/>
    <w:rsid w:val="00E171AE"/>
    <w:rsid w:val="00E173D2"/>
    <w:rsid w:val="00E1744A"/>
    <w:rsid w:val="00E17B81"/>
    <w:rsid w:val="00E17DDB"/>
    <w:rsid w:val="00E2020E"/>
    <w:rsid w:val="00E204FB"/>
    <w:rsid w:val="00E2051B"/>
    <w:rsid w:val="00E20559"/>
    <w:rsid w:val="00E20DC1"/>
    <w:rsid w:val="00E20DF4"/>
    <w:rsid w:val="00E2160A"/>
    <w:rsid w:val="00E21AE9"/>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038"/>
    <w:rsid w:val="00E7417A"/>
    <w:rsid w:val="00E742B8"/>
    <w:rsid w:val="00E75205"/>
    <w:rsid w:val="00E7553F"/>
    <w:rsid w:val="00E75A4B"/>
    <w:rsid w:val="00E75D79"/>
    <w:rsid w:val="00E7611C"/>
    <w:rsid w:val="00E761D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87"/>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87DB7"/>
    <w:rsid w:val="00E9004C"/>
    <w:rsid w:val="00E90960"/>
    <w:rsid w:val="00E90EE1"/>
    <w:rsid w:val="00E9108E"/>
    <w:rsid w:val="00E9110F"/>
    <w:rsid w:val="00E91134"/>
    <w:rsid w:val="00E9141D"/>
    <w:rsid w:val="00E91626"/>
    <w:rsid w:val="00E91A71"/>
    <w:rsid w:val="00E92222"/>
    <w:rsid w:val="00E9232A"/>
    <w:rsid w:val="00E928AF"/>
    <w:rsid w:val="00E92B30"/>
    <w:rsid w:val="00E92BF7"/>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191"/>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3E1C"/>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8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CE7"/>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41"/>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5AE3"/>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3AAB"/>
    <w:rsid w:val="00F543B5"/>
    <w:rsid w:val="00F54431"/>
    <w:rsid w:val="00F54480"/>
    <w:rsid w:val="00F545A1"/>
    <w:rsid w:val="00F54DA7"/>
    <w:rsid w:val="00F54F25"/>
    <w:rsid w:val="00F558BD"/>
    <w:rsid w:val="00F55985"/>
    <w:rsid w:val="00F559F9"/>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0C9D"/>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4B3"/>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2E15"/>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D30"/>
    <w:rsid w:val="00FA0237"/>
    <w:rsid w:val="00FA0341"/>
    <w:rsid w:val="00FA04DC"/>
    <w:rsid w:val="00FA0635"/>
    <w:rsid w:val="00FA0732"/>
    <w:rsid w:val="00FA0BA9"/>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588"/>
    <w:rsid w:val="00FB0AF7"/>
    <w:rsid w:val="00FB1031"/>
    <w:rsid w:val="00FB11CF"/>
    <w:rsid w:val="00FB1569"/>
    <w:rsid w:val="00FB1BF6"/>
    <w:rsid w:val="00FB1CB2"/>
    <w:rsid w:val="00FB2797"/>
    <w:rsid w:val="00FB2D8B"/>
    <w:rsid w:val="00FB2EBD"/>
    <w:rsid w:val="00FB305F"/>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5C8C"/>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9C0"/>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E795C"/>
    <w:rsid w:val="00FF00F4"/>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1A4F3B"/>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1E6324"/>
    <w:pPr>
      <w:pBdr>
        <w:top w:val="none" w:sz="0" w:space="0" w:color="auto"/>
      </w:pBdr>
      <w:spacing w:before="180"/>
      <w:outlineLvl w:val="1"/>
    </w:pPr>
    <w:rPr>
      <w:sz w:val="32"/>
    </w:rPr>
  </w:style>
  <w:style w:type="paragraph" w:styleId="Heading3">
    <w:name w:val="heading 3"/>
    <w:basedOn w:val="Heading2"/>
    <w:next w:val="Normal"/>
    <w:link w:val="Heading3Char"/>
    <w:qFormat/>
    <w:rsid w:val="001E632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1E6324"/>
    <w:pPr>
      <w:ind w:left="1418" w:hanging="1418"/>
      <w:outlineLvl w:val="3"/>
    </w:pPr>
    <w:rPr>
      <w:sz w:val="24"/>
    </w:rPr>
  </w:style>
  <w:style w:type="paragraph" w:styleId="Heading5">
    <w:name w:val="heading 5"/>
    <w:basedOn w:val="Heading4"/>
    <w:next w:val="Normal"/>
    <w:link w:val="Heading5Char"/>
    <w:qFormat/>
    <w:rsid w:val="001E6324"/>
    <w:pPr>
      <w:ind w:left="1701" w:hanging="1701"/>
      <w:outlineLvl w:val="4"/>
    </w:pPr>
    <w:rPr>
      <w:sz w:val="22"/>
    </w:rPr>
  </w:style>
  <w:style w:type="paragraph" w:styleId="Heading6">
    <w:name w:val="heading 6"/>
    <w:basedOn w:val="H6"/>
    <w:next w:val="Normal"/>
    <w:link w:val="Heading6Char"/>
    <w:qFormat/>
    <w:rsid w:val="001E6324"/>
    <w:pPr>
      <w:outlineLvl w:val="5"/>
    </w:pPr>
  </w:style>
  <w:style w:type="paragraph" w:styleId="Heading7">
    <w:name w:val="heading 7"/>
    <w:basedOn w:val="H6"/>
    <w:next w:val="Normal"/>
    <w:link w:val="Heading7Char"/>
    <w:qFormat/>
    <w:rsid w:val="001E6324"/>
    <w:pPr>
      <w:outlineLvl w:val="6"/>
    </w:pPr>
  </w:style>
  <w:style w:type="paragraph" w:styleId="Heading8">
    <w:name w:val="heading 8"/>
    <w:basedOn w:val="Heading1"/>
    <w:next w:val="Normal"/>
    <w:link w:val="Heading8Char"/>
    <w:qFormat/>
    <w:rsid w:val="001E6324"/>
    <w:pPr>
      <w:ind w:left="0" w:firstLine="0"/>
      <w:outlineLvl w:val="7"/>
    </w:pPr>
  </w:style>
  <w:style w:type="paragraph" w:styleId="Heading9">
    <w:name w:val="heading 9"/>
    <w:basedOn w:val="Heading8"/>
    <w:next w:val="Normal"/>
    <w:link w:val="Heading9Char"/>
    <w:qFormat/>
    <w:rsid w:val="001E63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1E6324"/>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1E6324"/>
    <w:pPr>
      <w:ind w:left="1418" w:hanging="1418"/>
    </w:pPr>
  </w:style>
  <w:style w:type="paragraph" w:styleId="TOC8">
    <w:name w:val="toc 8"/>
    <w:basedOn w:val="TOC1"/>
    <w:uiPriority w:val="39"/>
    <w:rsid w:val="001E6324"/>
    <w:pPr>
      <w:spacing w:before="180"/>
      <w:ind w:left="2693" w:hanging="2693"/>
    </w:pPr>
    <w:rPr>
      <w:b/>
    </w:rPr>
  </w:style>
  <w:style w:type="paragraph" w:styleId="TOC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E6324"/>
    <w:pPr>
      <w:keepLines/>
      <w:tabs>
        <w:tab w:val="center" w:pos="4536"/>
        <w:tab w:val="right" w:pos="9072"/>
      </w:tabs>
    </w:pPr>
    <w:rPr>
      <w:noProof/>
    </w:rPr>
  </w:style>
  <w:style w:type="character" w:customStyle="1" w:styleId="ZGSM">
    <w:name w:val="ZGSM"/>
    <w:rsid w:val="001E6324"/>
  </w:style>
  <w:style w:type="paragraph" w:styleId="Header">
    <w:name w:val="header"/>
    <w:link w:val="HeaderChar"/>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E6324"/>
    <w:pPr>
      <w:ind w:left="1701" w:hanging="1701"/>
    </w:pPr>
  </w:style>
  <w:style w:type="paragraph" w:styleId="TOC4">
    <w:name w:val="toc 4"/>
    <w:basedOn w:val="TOC3"/>
    <w:uiPriority w:val="39"/>
    <w:rsid w:val="001E6324"/>
    <w:pPr>
      <w:ind w:left="1418" w:hanging="1418"/>
    </w:pPr>
  </w:style>
  <w:style w:type="paragraph" w:styleId="TOC3">
    <w:name w:val="toc 3"/>
    <w:basedOn w:val="TOC2"/>
    <w:uiPriority w:val="39"/>
    <w:rsid w:val="001E6324"/>
    <w:pPr>
      <w:ind w:left="1134" w:hanging="1134"/>
    </w:pPr>
  </w:style>
  <w:style w:type="paragraph" w:styleId="TOC2">
    <w:name w:val="toc 2"/>
    <w:basedOn w:val="TOC1"/>
    <w:uiPriority w:val="39"/>
    <w:rsid w:val="001E6324"/>
    <w:pPr>
      <w:keepNext w:val="0"/>
      <w:spacing w:before="0"/>
      <w:ind w:left="851" w:hanging="851"/>
    </w:pPr>
    <w:rPr>
      <w:sz w:val="20"/>
    </w:rPr>
  </w:style>
  <w:style w:type="paragraph" w:styleId="Footer">
    <w:name w:val="footer"/>
    <w:basedOn w:val="Header"/>
    <w:link w:val="FooterChar"/>
    <w:rsid w:val="001E6324"/>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1E6324"/>
    <w:pPr>
      <w:outlineLvl w:val="9"/>
    </w:pPr>
  </w:style>
  <w:style w:type="paragraph" w:customStyle="1" w:styleId="NO">
    <w:name w:val="NO"/>
    <w:basedOn w:val="Normal"/>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Normal"/>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E6324"/>
    <w:pPr>
      <w:keepLines/>
      <w:ind w:left="1702" w:hanging="1418"/>
    </w:pPr>
  </w:style>
  <w:style w:type="paragraph" w:customStyle="1" w:styleId="FP">
    <w:name w:val="FP"/>
    <w:basedOn w:val="Normal"/>
    <w:rsid w:val="001E6324"/>
    <w:pPr>
      <w:spacing w:after="0"/>
    </w:pPr>
  </w:style>
  <w:style w:type="paragraph" w:customStyle="1" w:styleId="EW">
    <w:name w:val="EW"/>
    <w:basedOn w:val="EX"/>
    <w:rsid w:val="001E6324"/>
    <w:pPr>
      <w:spacing w:after="0"/>
    </w:pPr>
  </w:style>
  <w:style w:type="paragraph" w:customStyle="1" w:styleId="B1">
    <w:name w:val="B1"/>
    <w:basedOn w:val="List"/>
    <w:link w:val="B1Char1"/>
    <w:qFormat/>
    <w:rsid w:val="001E6324"/>
  </w:style>
  <w:style w:type="paragraph" w:styleId="List">
    <w:name w:val="List"/>
    <w:basedOn w:val="Normal"/>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1E6324"/>
    <w:pPr>
      <w:ind w:left="1985" w:hanging="1985"/>
    </w:pPr>
  </w:style>
  <w:style w:type="paragraph" w:styleId="TOC7">
    <w:name w:val="toc 7"/>
    <w:basedOn w:val="TOC6"/>
    <w:next w:val="Normal"/>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E6324"/>
  </w:style>
  <w:style w:type="paragraph" w:styleId="List2">
    <w:name w:val="List 2"/>
    <w:basedOn w:val="List"/>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1E6324"/>
  </w:style>
  <w:style w:type="paragraph" w:styleId="List3">
    <w:name w:val="List 3"/>
    <w:basedOn w:val="List2"/>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1E6324"/>
  </w:style>
  <w:style w:type="paragraph" w:styleId="List4">
    <w:name w:val="List 4"/>
    <w:basedOn w:val="List3"/>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1E6324"/>
  </w:style>
  <w:style w:type="paragraph" w:styleId="List5">
    <w:name w:val="List 5"/>
    <w:basedOn w:val="List4"/>
    <w:rsid w:val="001E6324"/>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1E6324"/>
    <w:pPr>
      <w:ind w:left="284"/>
    </w:pPr>
  </w:style>
  <w:style w:type="paragraph" w:styleId="Index1">
    <w:name w:val="index 1"/>
    <w:basedOn w:val="Normal"/>
    <w:rsid w:val="001E6324"/>
    <w:pPr>
      <w:keepLines/>
      <w:spacing w:after="0"/>
    </w:pPr>
  </w:style>
  <w:style w:type="paragraph" w:styleId="ListNumber2">
    <w:name w:val="List Number 2"/>
    <w:basedOn w:val="ListNumber"/>
    <w:rsid w:val="001E6324"/>
    <w:pPr>
      <w:ind w:left="851"/>
    </w:pPr>
  </w:style>
  <w:style w:type="paragraph" w:styleId="ListNumber">
    <w:name w:val="List Number"/>
    <w:basedOn w:val="List"/>
    <w:rsid w:val="001E6324"/>
  </w:style>
  <w:style w:type="character" w:styleId="FootnoteReference">
    <w:name w:val="footnote reference"/>
    <w:basedOn w:val="DefaultParagraphFont"/>
    <w:rsid w:val="001E6324"/>
    <w:rPr>
      <w:b/>
      <w:position w:val="6"/>
      <w:sz w:val="16"/>
    </w:rPr>
  </w:style>
  <w:style w:type="paragraph" w:styleId="FootnoteText">
    <w:name w:val="footnote text"/>
    <w:basedOn w:val="Normal"/>
    <w:link w:val="FootnoteTextChar"/>
    <w:rsid w:val="001E6324"/>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1E6324"/>
    <w:pPr>
      <w:ind w:left="851"/>
    </w:pPr>
  </w:style>
  <w:style w:type="paragraph" w:styleId="ListBullet">
    <w:name w:val="List Bullet"/>
    <w:basedOn w:val="List"/>
    <w:rsid w:val="001E6324"/>
  </w:style>
  <w:style w:type="paragraph" w:styleId="ListBullet3">
    <w:name w:val="List Bullet 3"/>
    <w:basedOn w:val="ListBullet2"/>
    <w:rsid w:val="001E6324"/>
    <w:pPr>
      <w:ind w:left="1135"/>
    </w:pPr>
  </w:style>
  <w:style w:type="paragraph" w:styleId="ListBullet4">
    <w:name w:val="List Bullet 4"/>
    <w:basedOn w:val="ListBullet3"/>
    <w:rsid w:val="001E6324"/>
    <w:pPr>
      <w:ind w:left="1418"/>
    </w:pPr>
  </w:style>
  <w:style w:type="paragraph" w:styleId="ListBullet5">
    <w:name w:val="List Bullet 5"/>
    <w:basedOn w:val="ListBullet4"/>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styleId="BalloonText">
    <w:name w:val="Balloon Text"/>
    <w:basedOn w:val="Normal"/>
    <w:link w:val="BalloonTextChar"/>
    <w:semiHidden/>
    <w:unhideWhenUsed/>
    <w:qFormat/>
    <w:rsid w:val="00212C36"/>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12C36"/>
    <w:rPr>
      <w:rFonts w:ascii="Segoe UI" w:eastAsia="Times New Roman" w:hAnsi="Segoe UI" w:cs="Segoe UI"/>
      <w:sz w:val="18"/>
      <w:szCs w:val="18"/>
      <w:lang w:val="en-GB" w:eastAsia="ja-JP"/>
    </w:rPr>
  </w:style>
  <w:style w:type="paragraph" w:customStyle="1" w:styleId="CRCoverPage">
    <w:name w:val="CR Cover Page"/>
    <w:rsid w:val="00333A90"/>
    <w:pPr>
      <w:spacing w:after="120"/>
    </w:pPr>
    <w:rPr>
      <w:rFonts w:ascii="Arial" w:eastAsia="SimSun" w:hAnsi="Arial"/>
      <w:lang w:val="en-GB" w:eastAsia="en-US"/>
    </w:r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SimSun" w:hAnsi="Arial"/>
      <w:noProof/>
      <w:sz w:val="24"/>
      <w:lang w:val="en-GB" w:eastAsia="en-US"/>
    </w:rPr>
  </w:style>
  <w:style w:type="character" w:styleId="Hyperlink">
    <w:name w:val="Hyperlink"/>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CommentReference">
    <w:name w:val="annotation reference"/>
    <w:qFormat/>
    <w:rsid w:val="00333A90"/>
    <w:rPr>
      <w:sz w:val="16"/>
    </w:rPr>
  </w:style>
  <w:style w:type="paragraph" w:styleId="CommentText">
    <w:name w:val="annotation text"/>
    <w:basedOn w:val="Normal"/>
    <w:link w:val="CommentTextChar"/>
    <w:uiPriority w:val="99"/>
    <w:qFormat/>
    <w:rsid w:val="00333A90"/>
    <w:pPr>
      <w:overflowPunct/>
      <w:autoSpaceDE/>
      <w:autoSpaceDN/>
      <w:adjustRightInd/>
      <w:textAlignment w:val="auto"/>
    </w:pPr>
    <w:rPr>
      <w:rFonts w:eastAsia="SimSun"/>
      <w:lang w:eastAsia="en-US"/>
    </w:rPr>
  </w:style>
  <w:style w:type="character" w:customStyle="1" w:styleId="CommentTextChar">
    <w:name w:val="Comment Text Char"/>
    <w:basedOn w:val="DefaultParagraphFont"/>
    <w:link w:val="CommentText"/>
    <w:uiPriority w:val="99"/>
    <w:qFormat/>
    <w:rsid w:val="00333A90"/>
    <w:rPr>
      <w:rFonts w:eastAsia="SimSun"/>
      <w:lang w:val="en-GB" w:eastAsia="en-US"/>
    </w:rPr>
  </w:style>
  <w:style w:type="character" w:styleId="FollowedHyperlink">
    <w:name w:val="FollowedHyperlink"/>
    <w:rsid w:val="00333A90"/>
    <w:rPr>
      <w:color w:val="800080"/>
      <w:u w:val="single"/>
    </w:rPr>
  </w:style>
  <w:style w:type="paragraph" w:styleId="CommentSubject">
    <w:name w:val="annotation subject"/>
    <w:basedOn w:val="CommentText"/>
    <w:next w:val="CommentText"/>
    <w:link w:val="CommentSubjectChar"/>
    <w:qFormat/>
    <w:rsid w:val="00333A90"/>
    <w:rPr>
      <w:b/>
      <w:bCs/>
    </w:rPr>
  </w:style>
  <w:style w:type="character" w:customStyle="1" w:styleId="CommentSubjectChar">
    <w:name w:val="Comment Subject Char"/>
    <w:basedOn w:val="CommentTextChar"/>
    <w:link w:val="CommentSubject"/>
    <w:rsid w:val="00333A90"/>
    <w:rPr>
      <w:rFonts w:eastAsia="SimSun"/>
      <w:b/>
      <w:bCs/>
      <w:lang w:val="en-GB" w:eastAsia="en-US"/>
    </w:rPr>
  </w:style>
  <w:style w:type="paragraph" w:styleId="DocumentMap">
    <w:name w:val="Document Map"/>
    <w:basedOn w:val="Normal"/>
    <w:link w:val="DocumentMapChar"/>
    <w:qFormat/>
    <w:rsid w:val="00333A90"/>
    <w:pPr>
      <w:shd w:val="clear" w:color="auto" w:fill="000080"/>
      <w:overflowPunct/>
      <w:autoSpaceDE/>
      <w:autoSpaceDN/>
      <w:adjustRightInd/>
      <w:textAlignment w:val="auto"/>
    </w:pPr>
    <w:rPr>
      <w:rFonts w:ascii="Tahoma" w:eastAsia="SimSun" w:hAnsi="Tahoma" w:cs="Tahoma"/>
      <w:lang w:eastAsia="en-US"/>
    </w:rPr>
  </w:style>
  <w:style w:type="character" w:customStyle="1" w:styleId="DocumentMapChar">
    <w:name w:val="Document Map Char"/>
    <w:basedOn w:val="DefaultParagraphFont"/>
    <w:link w:val="DocumentMap"/>
    <w:rsid w:val="00333A90"/>
    <w:rPr>
      <w:rFonts w:ascii="Tahoma" w:eastAsia="SimSun" w:hAnsi="Tahoma" w:cs="Tahoma"/>
      <w:shd w:val="clear" w:color="auto" w:fill="000080"/>
      <w:lang w:val="en-GB" w:eastAsia="en-US"/>
    </w:rPr>
  </w:style>
  <w:style w:type="numbering" w:customStyle="1" w:styleId="1">
    <w:name w:val="无列表1"/>
    <w:next w:val="NoList"/>
    <w:uiPriority w:val="99"/>
    <w:semiHidden/>
    <w:unhideWhenUsed/>
    <w:rsid w:val="00333A90"/>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出段落"/>
    <w:basedOn w:val="Normal"/>
    <w:link w:val="ListParagraphChar"/>
    <w:uiPriority w:val="34"/>
    <w:qFormat/>
    <w:rsid w:val="00333A90"/>
    <w:pPr>
      <w:overflowPunct/>
      <w:autoSpaceDE/>
      <w:autoSpaceDN/>
      <w:adjustRightInd/>
      <w:ind w:left="720"/>
      <w:contextualSpacing/>
      <w:textAlignment w:val="auto"/>
    </w:pPr>
    <w:rPr>
      <w:lang w:eastAsia="en-US"/>
    </w:rPr>
  </w:style>
  <w:style w:type="numbering" w:customStyle="1" w:styleId="2">
    <w:name w:val="无列表2"/>
    <w:next w:val="NoList"/>
    <w:uiPriority w:val="99"/>
    <w:semiHidden/>
    <w:unhideWhenUsed/>
    <w:rsid w:val="00333A90"/>
  </w:style>
  <w:style w:type="numbering" w:customStyle="1" w:styleId="11">
    <w:name w:val="无列表11"/>
    <w:next w:val="NoList"/>
    <w:uiPriority w:val="99"/>
    <w:semiHidden/>
    <w:unhideWhenUsed/>
    <w:rsid w:val="00333A90"/>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333A90"/>
    <w:rPr>
      <w:rFonts w:eastAsia="Times New Roman"/>
      <w:lang w:val="en-GB" w:eastAsia="en-US"/>
    </w:rPr>
  </w:style>
  <w:style w:type="numbering" w:customStyle="1" w:styleId="3">
    <w:name w:val="无列表3"/>
    <w:next w:val="NoList"/>
    <w:uiPriority w:val="99"/>
    <w:semiHidden/>
    <w:unhideWhenUsed/>
    <w:rsid w:val="00333A90"/>
  </w:style>
  <w:style w:type="numbering" w:customStyle="1" w:styleId="12">
    <w:name w:val="无列表12"/>
    <w:next w:val="NoList"/>
    <w:uiPriority w:val="99"/>
    <w:semiHidden/>
    <w:unhideWhenUsed/>
    <w:rsid w:val="00333A90"/>
  </w:style>
  <w:style w:type="numbering" w:customStyle="1" w:styleId="21">
    <w:name w:val="无列表21"/>
    <w:next w:val="NoList"/>
    <w:uiPriority w:val="99"/>
    <w:semiHidden/>
    <w:unhideWhenUsed/>
    <w:rsid w:val="00333A90"/>
  </w:style>
  <w:style w:type="numbering" w:customStyle="1" w:styleId="111">
    <w:name w:val="无列表111"/>
    <w:next w:val="NoList"/>
    <w:uiPriority w:val="99"/>
    <w:semiHidden/>
    <w:unhideWhenUsed/>
    <w:rsid w:val="00333A90"/>
  </w:style>
  <w:style w:type="character" w:customStyle="1" w:styleId="B2Car">
    <w:name w:val="B2 Car"/>
    <w:rsid w:val="00333A90"/>
    <w:rPr>
      <w:rFonts w:ascii="Times New Roman" w:hAnsi="Times New Roman"/>
      <w:lang w:val="en-GB" w:eastAsia="en-US"/>
    </w:rPr>
  </w:style>
  <w:style w:type="numbering" w:customStyle="1" w:styleId="4">
    <w:name w:val="无列表4"/>
    <w:next w:val="NoList"/>
    <w:uiPriority w:val="99"/>
    <w:semiHidden/>
    <w:unhideWhenUsed/>
    <w:rsid w:val="00333A90"/>
  </w:style>
  <w:style w:type="numbering" w:customStyle="1" w:styleId="13">
    <w:name w:val="无列表13"/>
    <w:next w:val="NoList"/>
    <w:uiPriority w:val="99"/>
    <w:semiHidden/>
    <w:unhideWhenUsed/>
    <w:rsid w:val="00333A90"/>
  </w:style>
  <w:style w:type="numbering" w:customStyle="1" w:styleId="22">
    <w:name w:val="无列表22"/>
    <w:next w:val="NoList"/>
    <w:uiPriority w:val="99"/>
    <w:semiHidden/>
    <w:unhideWhenUsed/>
    <w:rsid w:val="00333A90"/>
  </w:style>
  <w:style w:type="numbering" w:customStyle="1" w:styleId="112">
    <w:name w:val="无列表112"/>
    <w:next w:val="NoList"/>
    <w:uiPriority w:val="99"/>
    <w:semiHidden/>
    <w:unhideWhenUsed/>
    <w:rsid w:val="00333A90"/>
  </w:style>
  <w:style w:type="numbering" w:customStyle="1" w:styleId="5">
    <w:name w:val="无列表5"/>
    <w:next w:val="NoList"/>
    <w:uiPriority w:val="99"/>
    <w:semiHidden/>
    <w:unhideWhenUsed/>
    <w:rsid w:val="00333A90"/>
  </w:style>
  <w:style w:type="character" w:customStyle="1" w:styleId="B1Zchn">
    <w:name w:val="B1 Zchn"/>
    <w:rsid w:val="00333A90"/>
    <w:rPr>
      <w:rFonts w:ascii="Times New Roman" w:hAnsi="Times New Roman"/>
      <w:lang w:val="en-GB" w:eastAsia="en-US"/>
    </w:rPr>
  </w:style>
  <w:style w:type="numbering" w:customStyle="1" w:styleId="6">
    <w:name w:val="无列表6"/>
    <w:next w:val="NoList"/>
    <w:uiPriority w:val="99"/>
    <w:semiHidden/>
    <w:unhideWhenUsed/>
    <w:rsid w:val="00333A90"/>
  </w:style>
  <w:style w:type="paragraph" w:customStyle="1" w:styleId="Doc-text2">
    <w:name w:val="Doc-text2"/>
    <w:basedOn w:val="Normal"/>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TableGrid">
    <w:name w:val="Table Grid"/>
    <w:basedOn w:val="TableNormal"/>
    <w:uiPriority w:val="39"/>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65E28"/>
    <w:pPr>
      <w:overflowPunct/>
      <w:autoSpaceDE/>
      <w:autoSpaceDN/>
      <w:adjustRightInd/>
      <w:spacing w:before="100" w:beforeAutospacing="1" w:after="100" w:afterAutospacing="1"/>
      <w:textAlignment w:val="auto"/>
    </w:pPr>
    <w:rPr>
      <w:sz w:val="24"/>
      <w:szCs w:val="24"/>
    </w:rPr>
  </w:style>
  <w:style w:type="paragraph" w:styleId="BodyText">
    <w:name w:val="Body Text"/>
    <w:basedOn w:val="Normal"/>
    <w:link w:val="BodyTextChar"/>
    <w:unhideWhenUsed/>
    <w:qFormat/>
    <w:rsid w:val="002228C0"/>
    <w:pPr>
      <w:spacing w:after="120"/>
      <w:textAlignment w:val="auto"/>
    </w:pPr>
    <w:rPr>
      <w:rFonts w:eastAsia="SimSun"/>
    </w:rPr>
  </w:style>
  <w:style w:type="character" w:customStyle="1" w:styleId="BodyTextChar">
    <w:name w:val="Body Text Char"/>
    <w:basedOn w:val="DefaultParagraphFont"/>
    <w:link w:val="BodyText"/>
    <w:rsid w:val="002228C0"/>
    <w:rPr>
      <w:rFonts w:eastAsia="SimSun"/>
      <w:lang w:val="en-GB" w:eastAsia="ja-JP"/>
    </w:rPr>
  </w:style>
  <w:style w:type="table" w:customStyle="1" w:styleId="TableGrid1">
    <w:name w:val="Table Grid1"/>
    <w:basedOn w:val="TableNormal"/>
    <w:next w:val="TableGrid"/>
    <w:uiPriority w:val="59"/>
    <w:rsid w:val="00A32E79"/>
    <w:pPr>
      <w:spacing w:after="180"/>
    </w:pPr>
    <w:rPr>
      <w:rFonts w:eastAsia="MS Mincho"/>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
    <w:name w:val="EmailDiscussion"/>
    <w:basedOn w:val="Normal"/>
    <w:next w:val="EmailDiscussion2"/>
    <w:link w:val="EmailDiscussionChar"/>
    <w:rsid w:val="005E0904"/>
    <w:pPr>
      <w:numPr>
        <w:numId w:val="17"/>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rsid w:val="005E0904"/>
    <w:rPr>
      <w:rFonts w:ascii="Arial" w:eastAsia="MS Mincho" w:hAnsi="Arial"/>
      <w:b/>
      <w:szCs w:val="24"/>
      <w:lang w:val="en-GB" w:eastAsia="en-GB"/>
    </w:rPr>
  </w:style>
  <w:style w:type="paragraph" w:customStyle="1" w:styleId="EmailDiscussion2">
    <w:name w:val="EmailDiscussion2"/>
    <w:basedOn w:val="Doc-text2"/>
    <w:qFormat/>
    <w:rsid w:val="005E0904"/>
  </w:style>
  <w:style w:type="paragraph" w:styleId="Caption">
    <w:name w:val="caption"/>
    <w:basedOn w:val="Normal"/>
    <w:next w:val="Normal"/>
    <w:unhideWhenUsed/>
    <w:qFormat/>
    <w:rsid w:val="005E0904"/>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34972150">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06624074">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47933894">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6183651">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3924146">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3F692E1-BBD8-4CB1-8140-71BD51E56E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93</TotalTime>
  <Pages>6</Pages>
  <Words>1738</Words>
  <Characters>9495</Characters>
  <Application>Microsoft Office Word</Application>
  <DocSecurity>0</DocSecurity>
  <Lines>169</Lines>
  <Paragraphs>109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11124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MediaTek (Nathan)</cp:lastModifiedBy>
  <cp:revision>2</cp:revision>
  <cp:lastPrinted>2017-05-08T10:55:00Z</cp:lastPrinted>
  <dcterms:created xsi:type="dcterms:W3CDTF">2022-09-29T21:27:00Z</dcterms:created>
  <dcterms:modified xsi:type="dcterms:W3CDTF">2022-09-29T21:27:00Z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