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A89D" w14:textId="77777777" w:rsidR="00FB33A6" w:rsidRDefault="005470FA">
      <w:pPr>
        <w:pStyle w:val="Header"/>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Header"/>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Header"/>
        <w:jc w:val="both"/>
        <w:rPr>
          <w:bCs/>
          <w:sz w:val="24"/>
        </w:rPr>
      </w:pPr>
    </w:p>
    <w:p w14:paraId="5B24989C" w14:textId="77777777" w:rsidR="00FB33A6" w:rsidRDefault="00FB33A6">
      <w:pPr>
        <w:pStyle w:val="Header"/>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Heading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NormalWeb"/>
      </w:pPr>
      <w:r>
        <w:rPr>
          <w:rStyle w:val="Strong"/>
          <w:rFonts w:ascii="Wingdings" w:hAnsi="Wingdings"/>
          <w:sz w:val="21"/>
          <w:szCs w:val="21"/>
        </w:rPr>
        <w:t></w:t>
      </w:r>
      <w:r>
        <w:rPr>
          <w:rStyle w:val="Strong"/>
          <w:rFonts w:ascii="Wingdings" w:hAnsi="Wingdings"/>
          <w:sz w:val="21"/>
          <w:szCs w:val="21"/>
        </w:rPr>
        <w:t></w:t>
      </w:r>
      <w:r>
        <w:rPr>
          <w:rStyle w:val="Strong"/>
        </w:rPr>
        <w:t>[AT118-e][106][NTN] CP issues (Nokia)</w:t>
      </w:r>
    </w:p>
    <w:p w14:paraId="5622AF5E" w14:textId="77777777" w:rsidR="00FB33A6" w:rsidRDefault="005470FA">
      <w:pPr>
        <w:pStyle w:val="NormalWeb"/>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NormalWeb"/>
        <w:ind w:left="1620"/>
      </w:pPr>
      <w:r>
        <w:t>Final intended outcome: Summary of the offline discussion with list of proposals</w:t>
      </w:r>
    </w:p>
    <w:p w14:paraId="4464CD3B" w14:textId="77777777" w:rsidR="00FB33A6" w:rsidRDefault="005470FA">
      <w:pPr>
        <w:pStyle w:val="NormalWeb"/>
        <w:ind w:left="1620"/>
      </w:pPr>
      <w:r>
        <w:t>Deadline (for companies' feedback):  Wednesday 2022-05-18 18:00 UTC</w:t>
      </w:r>
    </w:p>
    <w:p w14:paraId="6A223C67" w14:textId="77777777" w:rsidR="00FB33A6" w:rsidRDefault="005470FA">
      <w:pPr>
        <w:pStyle w:val="NormalWeb"/>
        <w:ind w:left="1620"/>
      </w:pPr>
      <w:r>
        <w:t>Deadline (for rapporteur's summary in R2-2206505):  Wednesday 2022-05-18 20:00 UTC</w:t>
      </w:r>
    </w:p>
    <w:p w14:paraId="3E7431CE" w14:textId="77777777" w:rsidR="00FB33A6" w:rsidRDefault="005470FA">
      <w:pPr>
        <w:pStyle w:val="NormalWeb"/>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Heading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TableGrid"/>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559A586" w14:textId="77777777" w:rsidR="00FB33A6" w:rsidRDefault="005470FA">
      <w:pPr>
        <w:pStyle w:val="Heading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r>
              <w:rPr>
                <w:rFonts w:hint="eastAsia"/>
                <w:lang w:val="en-US" w:eastAsia="zh-CN"/>
              </w:rPr>
              <w:t>Transsion</w:t>
            </w:r>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14:paraId="5668F6DF" w14:textId="77777777" w:rsidR="00FB33A6" w:rsidRDefault="005470FA">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5C4E80BE"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r>
              <w:rPr>
                <w:rFonts w:hint="eastAsia"/>
                <w:lang w:val="en-US" w:eastAsia="zh-CN"/>
              </w:rPr>
              <w:t>Transsion</w:t>
            </w:r>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an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lastRenderedPageBreak/>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lastRenderedPageBreak/>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At least the prepared gNB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lastRenderedPageBreak/>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Now its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r>
              <w:rPr>
                <w:rFonts w:hint="eastAsia"/>
                <w:lang w:val="en-US" w:eastAsia="zh-CN"/>
              </w:rPr>
              <w:t>Transsion</w:t>
            </w:r>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ListParagraph"/>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Heading1"/>
      </w:pPr>
      <w:r>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TableGrid"/>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lastRenderedPageBreak/>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TableGrid"/>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Option 1: feeder link delay of neighbor cells</w:t>
            </w:r>
          </w:p>
          <w:p w14:paraId="74ECC676" w14:textId="77777777" w:rsidR="00FB33A6" w:rsidRDefault="005470FA">
            <w:pPr>
              <w:numPr>
                <w:ilvl w:val="0"/>
                <w:numId w:val="3"/>
              </w:numPr>
              <w:spacing w:after="0"/>
              <w:textAlignment w:val="center"/>
            </w:pPr>
            <w:r>
              <w:t>Option 2: Common TA parameters of neighbor cells</w:t>
            </w:r>
          </w:p>
          <w:p w14:paraId="3A86A34A" w14:textId="77777777" w:rsidR="00FB33A6" w:rsidRDefault="005470FA">
            <w:pPr>
              <w:numPr>
                <w:ilvl w:val="0"/>
                <w:numId w:val="3"/>
              </w:numPr>
              <w:spacing w:after="0"/>
              <w:textAlignment w:val="center"/>
            </w:pPr>
            <w:r>
              <w:t>Option 3: SMTC offset or change rate of neighbor cells</w:t>
            </w:r>
          </w:p>
          <w:p w14:paraId="5A3322A0" w14:textId="77777777" w:rsidR="00FB33A6" w:rsidRDefault="005470FA">
            <w:pPr>
              <w:numPr>
                <w:ilvl w:val="0"/>
                <w:numId w:val="3"/>
              </w:numPr>
              <w:spacing w:after="0"/>
              <w:textAlignment w:val="center"/>
            </w:pPr>
            <w:r>
              <w:t>Option 4: Reference time of the SMTC of neighbor cells</w:t>
            </w:r>
          </w:p>
          <w:p w14:paraId="76C43EAC" w14:textId="77777777" w:rsidR="00FB33A6" w:rsidRDefault="005470FA">
            <w:pPr>
              <w:numPr>
                <w:ilvl w:val="0"/>
                <w:numId w:val="3"/>
              </w:numPr>
              <w:spacing w:after="0"/>
              <w:textAlignment w:val="center"/>
            </w:pPr>
            <w:r>
              <w:t xml:space="preserve">Option 5: Delay difference between the serving and neighbor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Heading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ListParagraph"/>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14:paraId="67C75883"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Kmac of the neighbour cell to calculate the link’s delay. And it is more simple for UE. </w:t>
            </w:r>
          </w:p>
        </w:tc>
      </w:tr>
      <w:tr w:rsidR="00FB33A6" w14:paraId="651E96D3" w14:textId="77777777">
        <w:tc>
          <w:tcPr>
            <w:tcW w:w="1980" w:type="dxa"/>
          </w:tcPr>
          <w:p w14:paraId="5251AAC2" w14:textId="77777777" w:rsidR="00FB33A6" w:rsidRDefault="005470FA">
            <w:pPr>
              <w:jc w:val="both"/>
              <w:rPr>
                <w:lang w:eastAsia="zh-CN"/>
              </w:rPr>
            </w:pPr>
            <w:r>
              <w:rPr>
                <w:rFonts w:hint="eastAsia"/>
                <w:lang w:val="en-US" w:eastAsia="zh-CN"/>
              </w:rPr>
              <w:t>Transsion</w:t>
            </w:r>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r>
              <w:rPr>
                <w:lang w:eastAsia="zh-CN"/>
              </w:rPr>
              <w:t>Kmac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iCs/>
          <w:sz w:val="20"/>
          <w:szCs w:val="20"/>
        </w:rPr>
        <w:t>Seems the largest group believe common TA and Kmac of the neighbour cell is sufficient for IDLE/Inactive UE adjustments of SMTC.</w:t>
      </w:r>
    </w:p>
    <w:p w14:paraId="6BA6677C" w14:textId="77777777" w:rsidR="00FB33A6" w:rsidRDefault="005470FA">
      <w:pPr>
        <w:rPr>
          <w:b/>
          <w:bCs/>
          <w:iCs/>
        </w:rPr>
      </w:pPr>
      <w:r>
        <w:rPr>
          <w:b/>
          <w:bCs/>
          <w:iCs/>
        </w:rPr>
        <w:t>Proposal 2: Common TA and Kmac of the neighbour cell are used to support IDLE/Inactive UEs in NTN to perform SMTC adjustments.</w:t>
      </w:r>
    </w:p>
    <w:p w14:paraId="69DCF203" w14:textId="77777777" w:rsidR="00FB33A6" w:rsidRDefault="005470FA">
      <w:pPr>
        <w:pStyle w:val="Heading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14:paraId="61975B6B"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lastRenderedPageBreak/>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r>
              <w:rPr>
                <w:rFonts w:hint="eastAsia"/>
                <w:lang w:val="en-US" w:eastAsia="zh-CN"/>
              </w:rPr>
              <w:t>Transsion</w:t>
            </w:r>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Heading1"/>
      </w:pPr>
      <w:r>
        <w:lastRenderedPageBreak/>
        <w:t>4</w:t>
      </w:r>
      <w:r>
        <w:tab/>
        <w:t>Neighbour cell information</w:t>
      </w:r>
    </w:p>
    <w:p w14:paraId="7783E800" w14:textId="77777777" w:rsidR="00FB33A6" w:rsidRDefault="005470FA">
      <w:pPr>
        <w:pStyle w:val="Heading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TableGrid"/>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r>
              <w:rPr>
                <w:rFonts w:hint="eastAsia"/>
                <w:lang w:val="en-US" w:eastAsia="zh-CN"/>
              </w:rPr>
              <w:t>Transsion</w:t>
            </w:r>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0F888761" w14:textId="77777777" w:rsidR="00FB33A6" w:rsidRDefault="005470FA">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lastRenderedPageBreak/>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neighbor cell since it </w:t>
            </w:r>
            <w:r>
              <w:rPr>
                <w:i/>
                <w:color w:val="FF0000"/>
                <w:lang w:eastAsia="de-DE"/>
              </w:rPr>
              <w:t xml:space="preserve">may be different </w:t>
            </w:r>
            <w:r>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 xml:space="preserve">The UE needs the a) ephemeris information of neighbor cells to calculate the delay difference between the serving cell and neighbor cells. Accordingly, the UE also needs the c) epoch time and d) validity duration of ephemeris information. </w:t>
            </w:r>
          </w:p>
          <w:p w14:paraId="147B9EBE" w14:textId="77777777" w:rsidR="00FB33A6" w:rsidRDefault="005470FA">
            <w:pPr>
              <w:jc w:val="both"/>
              <w:rPr>
                <w:lang w:eastAsia="zh-CN"/>
              </w:rPr>
            </w:pPr>
            <w:r>
              <w:rPr>
                <w:rFonts w:eastAsia="Malgun Gothic"/>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ListParagraph"/>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ListParagraph"/>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Heading2"/>
      </w:pPr>
      <w:r>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r>
              <w:rPr>
                <w:lang w:eastAsia="zh-CN"/>
              </w:rPr>
              <w:t>Its better to provide SMTC assistance, neighbor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r>
              <w:rPr>
                <w:rFonts w:hint="eastAsia"/>
                <w:lang w:val="en-US" w:eastAsia="zh-CN"/>
              </w:rPr>
              <w:t>Transsion</w:t>
            </w:r>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For the common neighbor cell assistant information can be grouped 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lastRenderedPageBreak/>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lastRenderedPageBreak/>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lastRenderedPageBreak/>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r>
              <w:rPr>
                <w:rFonts w:hint="eastAsia"/>
                <w:lang w:val="en-US" w:eastAsia="zh-CN"/>
              </w:rPr>
              <w:t>Transsion</w:t>
            </w:r>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Suppose the neighbor cell belongs to the same satellite as the serving cell. In that case, the network removes the neighbor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69109687" w14:textId="77777777" w:rsidR="00FB33A6" w:rsidRDefault="005470FA">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Heading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TableGrid"/>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Heading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TableGrid"/>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lastRenderedPageBreak/>
              <w:t>2&gt;</w:t>
            </w:r>
            <w:r>
              <w:rPr>
                <w:lang w:eastAsia="ja-JP"/>
              </w:rPr>
              <w:tab/>
              <w:t xml:space="preserve">apply the stored </w:t>
            </w:r>
            <w:r>
              <w:rPr>
                <w:i/>
                <w:lang w:eastAsia="ja-JP"/>
              </w:rPr>
              <w:t xml:space="preserve">condRRCReconfig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behavior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0F6405EE" w14:textId="77777777" w:rsidR="00FB33A6" w:rsidRDefault="005470FA">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DengXian"/>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r>
              <w:rPr>
                <w:i/>
                <w:iCs/>
              </w:rPr>
              <w:t>measId</w:t>
            </w:r>
            <w:r>
              <w:t xml:space="preserve"> to be not fulfilled;  </w:t>
            </w:r>
          </w:p>
          <w:p w14:paraId="67A5C962" w14:textId="77777777" w:rsidR="00FB33A6" w:rsidRDefault="005470FA">
            <w:pPr>
              <w:pStyle w:val="B4"/>
              <w:rPr>
                <w:color w:val="0000FF"/>
                <w:u w:val="single"/>
              </w:rPr>
            </w:pPr>
            <w:r>
              <w:rPr>
                <w:rFonts w:eastAsia="DengXian" w:hint="eastAsia"/>
                <w:color w:val="0000FF"/>
                <w:u w:val="single"/>
                <w:lang w:eastAsia="zh-CN"/>
              </w:rPr>
              <w:t>4</w:t>
            </w:r>
            <w:r>
              <w:rPr>
                <w:rFonts w:eastAsia="DengXian"/>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gree with Vivo’s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lastRenderedPageBreak/>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during CHO recovery in NTN the UE checks if the CondEvent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Fine with Vivo’s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r>
              <w:rPr>
                <w:rFonts w:hint="eastAsia"/>
                <w:lang w:val="en-US" w:eastAsia="zh-CN"/>
              </w:rPr>
              <w:t>Transsion</w:t>
            </w:r>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lastRenderedPageBreak/>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TableGrid"/>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Question 5.1-2: Do support a similar behavior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Location-based solution and time-based solution have their own characteristics. There is no validity duration for location-based, and the UE behaviour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during CHO recovery in NTN the UE needs to check if the CondEvent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lastRenderedPageBreak/>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We think it is cleaner to not use the stored condRRCReconfig for CondEventD1 as well. This is different from legacy behavior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r>
              <w:rPr>
                <w:rFonts w:hint="eastAsia"/>
                <w:lang w:val="en-US" w:eastAsia="zh-CN"/>
              </w:rPr>
              <w:t>Transsion</w:t>
            </w:r>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Heading2"/>
      </w:pPr>
      <w:r>
        <w:t>5.2</w:t>
      </w:r>
      <w:r>
        <w:tab/>
        <w:t>NTN Neighbour cell information</w:t>
      </w:r>
    </w:p>
    <w:p w14:paraId="2DF9235B" w14:textId="77777777" w:rsidR="00FB33A6" w:rsidRDefault="005470FA">
      <w:r>
        <w:t>The list of parameters for an NTN neighbour was agreed:</w:t>
      </w:r>
    </w:p>
    <w:tbl>
      <w:tblPr>
        <w:tblStyle w:val="TableGrid"/>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14:paraId="5EA22BFE"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TableGrid"/>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We should agree first that neighbor cell epoch times can be different. The signaling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It needs to be clear that there is no restriction for network. It should be possible for network to signal same or different value for the neighbor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r>
              <w:rPr>
                <w:rFonts w:hint="eastAsia"/>
                <w:lang w:val="en-US" w:eastAsia="zh-CN"/>
              </w:rPr>
              <w:t>Transsion</w:t>
            </w:r>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The neighbor cell epoch time can be identical to that of a serving cell if the neighbor cell's satellite orbit is the same as that of the serving cell. The serving cell broadcasts the neighbor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lastRenderedPageBreak/>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New SIB22 can be mostly for neighbor cell measurement in IDLE mode. So it does not have to acquire the SIB19 frequently as required by serving satellite instantaneous ephemeris.</w:t>
            </w:r>
          </w:p>
          <w:p w14:paraId="19FA237F" w14:textId="77777777" w:rsidR="00FB33A6" w:rsidRDefault="005470FA">
            <w:pPr>
              <w:jc w:val="both"/>
            </w:pPr>
            <w:r>
              <w:t>But if validity duration is differently signalled for serving and neighbor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r>
              <w:rPr>
                <w:rFonts w:hint="eastAsia"/>
                <w:lang w:val="en-US" w:eastAsia="zh-CN"/>
              </w:rPr>
              <w:t>Transsion</w:t>
            </w:r>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We are slightly prefer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2A682C4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Heading2"/>
      </w:pPr>
      <w:r>
        <w:lastRenderedPageBreak/>
        <w:t xml:space="preserve">5.3 </w:t>
      </w:r>
      <w:r>
        <w:tab/>
        <w:t>Other</w:t>
      </w:r>
    </w:p>
    <w:p w14:paraId="3A6549F6" w14:textId="77777777" w:rsidR="00FB33A6" w:rsidRDefault="005470FA">
      <w:r>
        <w:t>The following two proposals were also sent to further offline handling:</w:t>
      </w:r>
    </w:p>
    <w:tbl>
      <w:tblPr>
        <w:tblStyle w:val="TableGrid"/>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Proposal 2: Common TA and Kmac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Proposal 6: Support the signaling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Question 5.3-1: Do you support P2, i.e. Common TA and Kmac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We agree with Google. Here RAN1 recommendation of “common TA pramaters”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Kmac. </w:t>
            </w:r>
          </w:p>
        </w:tc>
      </w:tr>
      <w:tr w:rsidR="00FB33A6" w14:paraId="5274AC8A" w14:textId="77777777">
        <w:tc>
          <w:tcPr>
            <w:tcW w:w="1980" w:type="dxa"/>
          </w:tcPr>
          <w:p w14:paraId="742B7130" w14:textId="77777777" w:rsidR="00FB33A6" w:rsidRDefault="005470FA">
            <w:pPr>
              <w:jc w:val="both"/>
              <w:rPr>
                <w:lang w:eastAsia="zh-CN"/>
              </w:rPr>
            </w:pPr>
            <w:r>
              <w:rPr>
                <w:rFonts w:hint="eastAsia"/>
                <w:lang w:val="en-US" w:eastAsia="zh-CN"/>
              </w:rPr>
              <w:lastRenderedPageBreak/>
              <w:t>Transsion</w:t>
            </w:r>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But this must be complemented by a definition of the SMTCs point of validity (reference point), which for this to make sense should be the neighbour cell’s gNB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Proposal 5.3-1: Common TA parameters and Kmac of the neighbour cell are used to support IDLE/Inactive UEs in NTN to perform SMTC adjustments.</w:t>
      </w:r>
    </w:p>
    <w:p w14:paraId="0489650B" w14:textId="77777777" w:rsidR="00FB33A6" w:rsidRDefault="005470FA">
      <w:r>
        <w:br/>
        <w:t>and regarding P6:</w:t>
      </w:r>
    </w:p>
    <w:tbl>
      <w:tblPr>
        <w:tblStyle w:val="TableGrid"/>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r>
              <w:rPr>
                <w:b/>
              </w:rPr>
              <w:t>signaling overhead for the orbital part of the neighbour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would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With serving cell ephemeris and some delta information corresponding to neighbour cell is enough to obtain the entire neighbour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r>
              <w:rPr>
                <w:rFonts w:hint="eastAsia"/>
                <w:lang w:val="en-US" w:eastAsia="zh-CN"/>
              </w:rPr>
              <w:t>Transsion</w:t>
            </w:r>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smtc                                    SSB-MTC4,</w:t>
            </w:r>
          </w:p>
          <w:p w14:paraId="6EC72A14"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9A63328"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280562F8" w14:textId="77777777" w:rsidR="00FB33A6" w:rsidRDefault="005470FA">
            <w:pPr>
              <w:spacing w:after="0"/>
              <w:jc w:val="both"/>
              <w:rPr>
                <w:highlight w:val="yellow"/>
                <w:lang w:eastAsia="zh-CN"/>
              </w:rPr>
            </w:pPr>
            <w:r>
              <w:rPr>
                <w:highlight w:val="yellow"/>
                <w:lang w:eastAsia="zh-CN"/>
              </w:rPr>
              <w:t xml:space="preserve">        useServingEphComTaKmac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8 companies are in favour, 7 are against.</w:t>
      </w:r>
    </w:p>
    <w:p w14:paraId="2752DF3D"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14:paraId="314AE354" w14:textId="77777777" w:rsidR="00FB33A6" w:rsidRDefault="005470FA">
      <w:pPr>
        <w:rPr>
          <w:b/>
          <w:bCs/>
        </w:rPr>
      </w:pPr>
      <w:r>
        <w:rPr>
          <w:b/>
          <w:bCs/>
        </w:rPr>
        <w:lastRenderedPageBreak/>
        <w:t xml:space="preserve">Proposal 5.3-2: Discuss further if to reduce and how to reduce the signaling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TableGrid"/>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Support polarization signalling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Support polarization signalling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RRCReconfiguration comprising reconfigurationWithSync</w:t>
      </w:r>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MeasObjectNR</w:t>
      </w:r>
    </w:p>
    <w:tbl>
      <w:tblPr>
        <w:tblStyle w:val="TableGrid"/>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r>
              <w:rPr>
                <w:rFonts w:hint="eastAsia"/>
                <w:lang w:val="en-US" w:eastAsia="zh-CN"/>
              </w:rPr>
              <w:t>Transsion</w:t>
            </w:r>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RAN2 has agreed to broadcast NTN-Config and to give it in RRCreconfig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RAN2 has not agreed to include it in measurement object. In fact, it seems not needed as serving cell is agreed to broadcast neighborcell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lastRenderedPageBreak/>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Good point raised about the presence of neighbour’s SI, which may make it not needed to introduce the polarization information into measurement config for the neighbours.</w:t>
      </w:r>
    </w:p>
    <w:p w14:paraId="5F48D61B" w14:textId="77777777" w:rsidR="00FB33A6" w:rsidRDefault="005470FA">
      <w:pPr>
        <w:rPr>
          <w:b/>
          <w:bCs/>
        </w:rPr>
      </w:pPr>
      <w:r>
        <w:rPr>
          <w:b/>
          <w:bCs/>
        </w:rPr>
        <w:t>Proposal 5.3-3: Target cell’s polarization information is provided via ntn-PolarizationDL-r17 and ntn-PolarizationUL-r17 in NTN-Config-r17 included in RRCReconfiguration comprising reconfigurationWithSync.</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34DEED2C" w14:textId="77777777" w:rsidR="00FB33A6" w:rsidRDefault="005470FA">
      <w:pPr>
        <w:pStyle w:val="Heading1"/>
      </w:pPr>
      <w:r>
        <w:t>6</w:t>
      </w:r>
      <w:r>
        <w:tab/>
        <w:t>Third round discussion</w:t>
      </w:r>
    </w:p>
    <w:p w14:paraId="673D86B3" w14:textId="77777777" w:rsidR="00FB33A6" w:rsidRDefault="005470FA">
      <w:r>
        <w:t>The following has been agreed in the second phase of discussion within [106] thread:</w:t>
      </w:r>
    </w:p>
    <w:tbl>
      <w:tblPr>
        <w:tblStyle w:val="TableGrid"/>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5.     Common TA parameters and Kmac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6.     Target cell’s polarization information is provided via ntn-PolarizationDL-r17 and ntn-PolarizationUL-r17 in NTN-Config-r17 included in RRCReconfiguration comprising reconfigurationWithSync.</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TableGrid"/>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5.3-2: Discuss further if to reduce and how to reduce the signaling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Heading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TableGrid"/>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lastRenderedPageBreak/>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r>
              <w:rPr>
                <w:rFonts w:hint="eastAsia"/>
                <w:lang w:val="en-US" w:eastAsia="zh-CN"/>
              </w:rPr>
              <w:t>Transsion</w:t>
            </w:r>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e think the candidate cell is only available during [T1, T2]. Vivo’s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lastRenderedPageBreak/>
        <w:t>Proposal 6.1-1: No specification changes are pursued to prevent the UE from using CHO configurations for recovery, if this happens before time T1.</w:t>
      </w:r>
    </w:p>
    <w:p w14:paraId="63C14107" w14:textId="77777777" w:rsidR="00FB33A6" w:rsidRDefault="005470FA">
      <w:pPr>
        <w:pStyle w:val="Heading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TableGrid"/>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TableGrid"/>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UE reports assistance information for SMTC/measurement gap adjustments in CONNECTED mode? Choose from the following options and please state the Stage-3 details:</w:t>
            </w:r>
          </w:p>
          <w:p w14:paraId="5BA526C4"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ListParagraph"/>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Option a) is alternate option for the network. But this is very 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signaling (e.g. reportConfig).</w:t>
            </w:r>
          </w:p>
        </w:tc>
      </w:tr>
      <w:tr w:rsidR="00FB33A6" w14:paraId="3570FBDF" w14:textId="77777777">
        <w:tc>
          <w:tcPr>
            <w:tcW w:w="1980" w:type="dxa"/>
          </w:tcPr>
          <w:p w14:paraId="0CA5648B" w14:textId="77777777" w:rsidR="00FB33A6" w:rsidRDefault="005470FA">
            <w:pPr>
              <w:jc w:val="both"/>
              <w:rPr>
                <w:lang w:eastAsia="zh-CN"/>
              </w:rPr>
            </w:pPr>
            <w:r>
              <w:rPr>
                <w:lang w:eastAsia="zh-CN"/>
              </w:rPr>
              <w:lastRenderedPageBreak/>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r>
              <w:rPr>
                <w:rFonts w:hint="eastAsia"/>
                <w:lang w:val="en-US" w:eastAsia="zh-CN"/>
              </w:rPr>
              <w:t>Transsion</w:t>
            </w:r>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TableGrid"/>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ListParagraph"/>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r>
              <w:rPr>
                <w:rFonts w:eastAsia="PMingLiU" w:hint="eastAsia"/>
                <w:lang w:eastAsia="zh-TW"/>
              </w:rPr>
              <w:t>A</w:t>
            </w:r>
            <w:r>
              <w:rPr>
                <w:rFonts w:eastAsia="PMingLiU"/>
                <w:lang w:eastAsia="zh-TW"/>
              </w:rPr>
              <w:t>SUSTeK</w:t>
            </w:r>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r>
              <w:rPr>
                <w:rFonts w:hint="eastAsia"/>
                <w:lang w:val="en-US" w:eastAsia="zh-CN"/>
              </w:rPr>
              <w:t>Transsion</w:t>
            </w:r>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lastRenderedPageBreak/>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If the majority view for question 6.2-1 is the propagation delay as the assistance information, we would like to discuss the change of the propagation delay difference. Let us consider that the serving and neighbor cells are moving at 8 km/s from 2000 km above the earth’s surface. The propagation delay difference has several tens of seconds while the change is only 1 ms.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ListParagraph"/>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Heading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TableGrid"/>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FC599E8" w14:textId="77777777" w:rsidR="00FB33A6" w:rsidRDefault="005470FA">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TableGrid"/>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rPr>
              <w:t>MeasObjectNR</w:t>
            </w:r>
            <w:bookmarkEnd w:id="7"/>
            <w:r>
              <w:rPr>
                <w:color w:val="000000" w:themeColor="text1"/>
              </w:rPr>
              <w:t xml:space="preserve"> contains the measurement configuration for the connected state, so neighbour cell polarization information should be added to the </w:t>
            </w:r>
            <w:r>
              <w:rPr>
                <w:i/>
                <w:iCs/>
                <w:color w:val="000000" w:themeColor="text1"/>
              </w:rPr>
              <w:t>MeasObjectNR</w:t>
            </w:r>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r>
              <w:rPr>
                <w:rFonts w:hint="eastAsia"/>
                <w:lang w:val="en-US" w:eastAsia="zh-CN"/>
              </w:rPr>
              <w:t>Transsion</w:t>
            </w:r>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roviding it in MeasObject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lastRenderedPageBreak/>
        <w:t>Summary for Q6.3-1:</w:t>
      </w:r>
    </w:p>
    <w:p w14:paraId="65D57614" w14:textId="77777777" w:rsidR="00FB33A6" w:rsidRDefault="005470FA">
      <w:pPr>
        <w:pStyle w:val="ListParagraph"/>
        <w:numPr>
          <w:ilvl w:val="0"/>
          <w:numId w:val="15"/>
        </w:numPr>
      </w:pPr>
      <w:r>
        <w:rPr>
          <w:rFonts w:ascii="Times New Roman" w:hAnsi="Times New Roman"/>
          <w:sz w:val="20"/>
          <w:szCs w:val="20"/>
        </w:rPr>
        <w:t>A clear majority thinks adding polarization information to measurement configuration is more in line with the RAN1 requirements than assuming the UE can obtain neighbour’s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Heading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Ericsson:</w:t>
      </w:r>
    </w:p>
    <w:tbl>
      <w:tblPr>
        <w:tblStyle w:val="TableGrid"/>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smtc                                    SSB-MTC4,</w:t>
            </w:r>
          </w:p>
          <w:p w14:paraId="62E77970"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52AA709"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3056ECF2" w14:textId="77777777" w:rsidR="00FB33A6" w:rsidRDefault="005470FA">
            <w:pPr>
              <w:spacing w:after="0"/>
              <w:jc w:val="both"/>
              <w:rPr>
                <w:highlight w:val="yellow"/>
                <w:lang w:eastAsia="zh-CN"/>
              </w:rPr>
            </w:pPr>
            <w:r>
              <w:rPr>
                <w:highlight w:val="yellow"/>
                <w:lang w:eastAsia="zh-CN"/>
              </w:rPr>
              <w:t xml:space="preserve">        useServingEphComTaKmac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vivo:</w:t>
      </w:r>
    </w:p>
    <w:tbl>
      <w:tblPr>
        <w:tblStyle w:val="TableGrid"/>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Nokia (R2-2205529):</w:t>
      </w:r>
    </w:p>
    <w:tbl>
      <w:tblPr>
        <w:tblStyle w:val="TableGrid"/>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reuseServingCellEphemeris::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PhysCellId,</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lastRenderedPageBreak/>
        <w:t>So please indicate whether any of these options is acceptable to you.</w:t>
      </w:r>
    </w:p>
    <w:tbl>
      <w:tblPr>
        <w:tblStyle w:val="TableGrid"/>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In some case, neigbhor cell may not reuse all the ehpemeris-commonTA-Kmac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r>
              <w:rPr>
                <w:rFonts w:hint="eastAsia"/>
                <w:lang w:val="en-US" w:eastAsia="zh-CN"/>
              </w:rPr>
              <w:t>Transsion</w:t>
            </w:r>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E.g. for any parameter in the EphemerisInfo, the actual value of neighbour cell = the field value provided in neighbour cell ephemeris +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ListParagraph"/>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ListParagraph"/>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ListParagraph"/>
        <w:numPr>
          <w:ilvl w:val="1"/>
          <w:numId w:val="15"/>
        </w:numPr>
      </w:pPr>
      <w:bookmarkStart w:id="8" w:name="_Hlk103680337"/>
      <w:r>
        <w:rPr>
          <w:rFonts w:ascii="Times New Roman" w:hAnsi="Times New Roman"/>
          <w:sz w:val="20"/>
          <w:szCs w:val="20"/>
        </w:rPr>
        <w:t>Using an indication within the configuration for each neighbour whether it can reuse the serving’s ephemeris (option a and c above)</w:t>
      </w:r>
    </w:p>
    <w:p w14:paraId="016B4B71" w14:textId="77777777" w:rsidR="00FB33A6" w:rsidRDefault="005470FA">
      <w:pPr>
        <w:pStyle w:val="ListParagraph"/>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ListParagraph"/>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neighbour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Heading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TableGrid"/>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TableGrid"/>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lastRenderedPageBreak/>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r>
                <w:rPr>
                  <w:rFonts w:eastAsia="Times New Roman"/>
                  <w:i/>
                  <w:iCs/>
                  <w:lang w:eastAsia="ja-JP"/>
                </w:rPr>
                <w:t>offsetThresholdPropagationDelay</w:t>
              </w:r>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r>
                <w:rPr>
                  <w:rFonts w:eastAsia="Times New Roman"/>
                  <w:i/>
                  <w:iCs/>
                  <w:lang w:eastAsia="ja-JP"/>
                </w:rPr>
                <w:t>UEAssistanceInformation</w:t>
              </w:r>
              <w:r>
                <w:rPr>
                  <w:rFonts w:eastAsia="Times New Roman"/>
                  <w:lang w:eastAsia="ja-JP"/>
                </w:rPr>
                <w:t xml:space="preserve"> message</w:t>
              </w:r>
              <w:r>
                <w:rPr>
                  <w:rFonts w:eastAsia="Times New Roman"/>
                </w:rPr>
                <w:t xml:space="preserve"> with </w:t>
              </w:r>
              <w:r>
                <w:rPr>
                  <w:rFonts w:eastAsia="Times New Roman"/>
                  <w:i/>
                  <w:iCs/>
                  <w:lang w:eastAsia="ja-JP"/>
                </w:rPr>
                <w:t xml:space="preserve">propagationDelayDifference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r>
                <w:rPr>
                  <w:rFonts w:eastAsia="Times New Roman"/>
                  <w:i/>
                </w:rPr>
                <w:t xml:space="preserve">neighbourcCellInfoList, </w:t>
              </w:r>
              <w:r>
                <w:rPr>
                  <w:rFonts w:eastAsia="MS Mincho"/>
                </w:rPr>
                <w:t xml:space="preserve">if </w:t>
              </w:r>
              <w:r>
                <w:rPr>
                  <w:rFonts w:eastAsia="Times New Roman"/>
                </w:rPr>
                <w:t xml:space="preserve">the propagation delay difference between serving cell and the neighbour cell has changed more than </w:t>
              </w:r>
              <w:r>
                <w:rPr>
                  <w:rFonts w:eastAsia="Times New Roman"/>
                  <w:i/>
                  <w:iCs/>
                  <w:lang w:eastAsia="ja-JP"/>
                </w:rPr>
                <w:t>offsetThresholdPropagationDelay</w:t>
              </w:r>
              <w:r>
                <w:rPr>
                  <w:rFonts w:eastAsia="Times New Roman"/>
                </w:rPr>
                <w:t xml:space="preserve"> </w:t>
              </w:r>
              <w:r>
                <w:rPr>
                  <w:rFonts w:eastAsia="Times New Roman"/>
                  <w:lang w:eastAsia="ja-JP"/>
                </w:rPr>
                <w:t xml:space="preserve">since the last transmission of the </w:t>
              </w:r>
              <w:r>
                <w:rPr>
                  <w:rFonts w:eastAsia="Times New Roman"/>
                  <w:i/>
                  <w:iCs/>
                  <w:lang w:eastAsia="ja-JP"/>
                </w:rPr>
                <w:t>UEAssistanceInformation</w:t>
              </w:r>
              <w:r>
                <w:rPr>
                  <w:rFonts w:eastAsia="Times New Roman"/>
                  <w:lang w:eastAsia="ja-JP"/>
                </w:rPr>
                <w:t xml:space="preserve"> message including</w:t>
              </w:r>
              <w:r>
                <w:rPr>
                  <w:rFonts w:eastAsia="Times New Roman"/>
                </w:rPr>
                <w:t xml:space="preserve"> </w:t>
              </w:r>
              <w:r>
                <w:rPr>
                  <w:rFonts w:eastAsia="Times New Roman"/>
                  <w:i/>
                  <w:iCs/>
                  <w:lang w:eastAsia="ja-JP"/>
                </w:rPr>
                <w:t>propagationDelayDifference</w:t>
              </w:r>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w:t>
              </w:r>
              <w:r>
                <w:rPr>
                  <w:rFonts w:eastAsia="Times New Roman"/>
                </w:rPr>
                <w:t xml:space="preserve">propagation delay difference between serving cell and each neighbour cell included in the </w:t>
              </w:r>
              <w:r>
                <w:rPr>
                  <w:rFonts w:eastAsia="Times New Roman"/>
                  <w:i/>
                </w:rPr>
                <w:t>neighbourcCellInfoList</w:t>
              </w:r>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5.7.4.3 Actions related to transmission of UEAssistanceInformation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r>
              <w:rPr>
                <w:rFonts w:eastAsia="Times New Roman"/>
                <w:i/>
                <w:lang w:eastAsia="ja-JP"/>
              </w:rPr>
              <w:t>UEAssistanceInformation</w:t>
            </w:r>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lastRenderedPageBreak/>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r>
                <w:rPr>
                  <w:rFonts w:eastAsia="Times New Roman"/>
                  <w:i/>
                  <w:lang w:eastAsia="ja-JP"/>
                </w:rPr>
                <w:t>UEAssistanceInformation</w:t>
              </w:r>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r>
                <w:rPr>
                  <w:i/>
                </w:rPr>
                <w:t>propagationDelayDifference</w:t>
              </w:r>
              <w:r>
                <w:t xml:space="preserve"> to include the current service link propagation delay difference between serving cell and each neighbour cell in the </w:t>
              </w:r>
              <w:r>
                <w:rPr>
                  <w:i/>
                </w:rPr>
                <w:t>neighbourcCellInfoList</w:t>
              </w:r>
              <w:r>
                <w:t>;</w:t>
              </w:r>
            </w:ins>
          </w:p>
          <w:p w14:paraId="24B4D732" w14:textId="77777777" w:rsidR="00FB33A6" w:rsidRDefault="005470FA">
            <w:pPr>
              <w:rPr>
                <w:lang w:eastAsia="zh-CN"/>
              </w:rPr>
            </w:pPr>
            <w:r>
              <w:rPr>
                <w:lang w:eastAsia="zh-CN"/>
              </w:rPr>
              <w:t>-------------------------------------------------------------------------------------------------------</w:t>
            </w:r>
          </w:p>
          <w:p w14:paraId="48B070C1" w14:textId="77777777" w:rsidR="00FB33A6" w:rsidRDefault="005470FA">
            <w:pPr>
              <w:pStyle w:val="Heading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Heading4"/>
              <w:ind w:left="0" w:firstLine="0"/>
            </w:pPr>
            <w:r>
              <w:t>–</w:t>
            </w:r>
            <w:r>
              <w:tab/>
            </w:r>
            <w:r>
              <w:rPr>
                <w:i/>
              </w:rPr>
              <w:t>OtherConfig</w:t>
            </w:r>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r>
              <w:rPr>
                <w:rFonts w:eastAsia="Times New Roman"/>
                <w:b/>
                <w:bCs/>
                <w:i/>
                <w:iCs/>
                <w:lang w:eastAsia="ja-JP"/>
              </w:rPr>
              <w:t xml:space="preserve">OtherConfig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rrm-MeasRelaxationReportingConfig</w:t>
            </w:r>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t xml:space="preserve">propagationDelayDifferenceReportingConfig-r17   SetupRelease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offsetThresholdPropagationDelayDifference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epochTime-r17                  EpochTime-r17</w:t>
              </w:r>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ephemerisInfo-r17              EphemerisInfo-r17</w:t>
              </w:r>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TableGrid"/>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r>
                    <w:rPr>
                      <w:b/>
                      <w:i/>
                      <w:sz w:val="16"/>
                      <w:szCs w:val="16"/>
                      <w:lang w:eastAsia="en-GB"/>
                    </w:rPr>
                    <w:t>OtherConfig</w:t>
                  </w:r>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ins w:id="43" w:author="OPPO " w:date="2022-05-18T16:31:00Z">
                    <w:r>
                      <w:rPr>
                        <w:b/>
                        <w:bCs/>
                        <w:i/>
                        <w:iCs/>
                        <w:sz w:val="16"/>
                        <w:szCs w:val="16"/>
                        <w:lang w:eastAsia="sv-SE"/>
                      </w:rPr>
                      <w:t>offsetThresholdPropagationDelay</w:t>
                    </w:r>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Heading4"/>
              <w:ind w:left="864" w:hanging="864"/>
            </w:pPr>
            <w:bookmarkStart w:id="45" w:name="_Toc60777128"/>
            <w:bookmarkStart w:id="46" w:name="_Toc100930005"/>
            <w:r>
              <w:t>–</w:t>
            </w:r>
            <w:r>
              <w:tab/>
            </w:r>
            <w:r>
              <w:rPr>
                <w:i/>
              </w:rPr>
              <w:t>UEAssistanceInformation</w:t>
            </w:r>
            <w:bookmarkEnd w:id="45"/>
            <w:bookmarkEnd w:id="46"/>
          </w:p>
          <w:p w14:paraId="214F2D70" w14:textId="77777777" w:rsidR="00FB33A6" w:rsidRDefault="005470FA">
            <w:r>
              <w:t xml:space="preserve">The </w:t>
            </w:r>
            <w:r>
              <w:rPr>
                <w:i/>
              </w:rPr>
              <w:t xml:space="preserve">UEAssistanceInformation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r>
              <w:rPr>
                <w:bCs/>
                <w:i/>
                <w:iCs/>
              </w:rPr>
              <w:t>UEAssistanceInformation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UL-GapFR2-Preference-r17              </w:t>
            </w:r>
            <w:r>
              <w:rPr>
                <w:color w:val="993366"/>
              </w:rPr>
              <w:t>OPTIONAL</w:t>
            </w:r>
            <w:r>
              <w:t>,</w:t>
            </w:r>
          </w:p>
          <w:p w14:paraId="48DFB3E0" w14:textId="77777777" w:rsidR="00FB33A6" w:rsidRDefault="005470FA">
            <w:pPr>
              <w:pStyle w:val="PL"/>
            </w:pPr>
            <w:r>
              <w:t xml:space="preserve">    musim-Assistance-r17                  MUSIM-Assistance-r17                  </w:t>
            </w:r>
            <w:r>
              <w:rPr>
                <w:color w:val="993366"/>
              </w:rPr>
              <w:t>OPTIONAL</w:t>
            </w:r>
            <w:r>
              <w:t>,</w:t>
            </w:r>
          </w:p>
          <w:p w14:paraId="49047283" w14:textId="77777777" w:rsidR="00FB33A6" w:rsidRDefault="005470FA">
            <w:pPr>
              <w:pStyle w:val="PL"/>
            </w:pPr>
            <w:r>
              <w:t xml:space="preserve">    overheatingAssistance-r17             OverheatingAssistance-r17             </w:t>
            </w:r>
            <w:r>
              <w:rPr>
                <w:color w:val="993366"/>
              </w:rPr>
              <w:t>OPTIONAL</w:t>
            </w:r>
            <w:r>
              <w:t>,</w:t>
            </w:r>
          </w:p>
          <w:p w14:paraId="4AA9F922" w14:textId="77777777" w:rsidR="00FB33A6" w:rsidRDefault="005470FA">
            <w:pPr>
              <w:pStyle w:val="PL"/>
            </w:pPr>
            <w:r>
              <w:t xml:space="preserve">    maxBW-PreferenceFR2-2-r17             MaxBW-PreferenceFR2-2-r17             </w:t>
            </w:r>
            <w:r>
              <w:rPr>
                <w:color w:val="993366"/>
              </w:rPr>
              <w:t>OPTIONAL</w:t>
            </w:r>
            <w:r>
              <w:t>,</w:t>
            </w:r>
          </w:p>
          <w:p w14:paraId="75C77C9E" w14:textId="77777777" w:rsidR="00FB33A6" w:rsidRDefault="005470FA">
            <w:pPr>
              <w:pStyle w:val="PL"/>
            </w:pPr>
            <w:r>
              <w:t xml:space="preserve">    maxMIMO-LayerPreferenceFR2-2-r17      MaxMIMO-LayerPreferenceFR2-2-r17      </w:t>
            </w:r>
            <w:r>
              <w:rPr>
                <w:color w:val="993366"/>
              </w:rPr>
              <w:t>OPTIONAL</w:t>
            </w:r>
            <w:r>
              <w:t>,</w:t>
            </w:r>
          </w:p>
          <w:p w14:paraId="0104AF7D" w14:textId="77777777" w:rsidR="00FB33A6" w:rsidRDefault="005470FA">
            <w:pPr>
              <w:pStyle w:val="PL"/>
            </w:pPr>
            <w:r>
              <w:t xml:space="preserve">    minSchedulingOffsetPreferenceExt-r17  MinSchedulingOffsetPreferenceExt-r17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ResumeCause                       </w:t>
            </w:r>
            <w:r>
              <w:rPr>
                <w:color w:val="993366"/>
              </w:rPr>
              <w:t>OPTIONAL</w:t>
            </w:r>
          </w:p>
          <w:p w14:paraId="7904663A" w14:textId="77777777" w:rsidR="00FB33A6" w:rsidRDefault="005470FA">
            <w:pPr>
              <w:pStyle w:val="PL"/>
            </w:pPr>
            <w:r>
              <w:lastRenderedPageBreak/>
              <w:t xml:space="preserve">    }                                                                           </w:t>
            </w:r>
            <w:r>
              <w:rPr>
                <w:color w:val="993366"/>
              </w:rPr>
              <w:t>OPTIONAL</w:t>
            </w:r>
            <w:r>
              <w:t>,</w:t>
            </w:r>
          </w:p>
          <w:p w14:paraId="38D2B4DC" w14:textId="77777777" w:rsidR="00FB33A6" w:rsidRDefault="005470FA">
            <w:pPr>
              <w:pStyle w:val="PL"/>
            </w:pPr>
            <w:r>
              <w:t xml:space="preserve">    scg-DeactivationPreference            </w:t>
            </w:r>
            <w:r>
              <w:rPr>
                <w:color w:val="993366"/>
              </w:rPr>
              <w:t>ENUMERATED</w:t>
            </w:r>
            <w:r>
              <w:t xml:space="preserve"> { scgDeactivationPreferred, noPreference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DengXian"/>
              </w:rPr>
            </w:pPr>
            <w:ins w:id="48" w:author="OPPO " w:date="2022-05-18T16:35:00Z">
              <w:r>
                <w:t>propagationDelayDifference-r17    PropagationDelayDifference</w:t>
              </w:r>
              <w:r>
                <w:rPr>
                  <w:lang w:eastAsia="en-GB"/>
                </w:rPr>
                <w:t xml:space="preserve">-r17 </w:t>
              </w:r>
              <w:r>
                <w:rPr>
                  <w:color w:val="993366"/>
                </w:rPr>
                <w:t>OPTIONAL,</w:t>
              </w:r>
              <w:r>
                <w:t xml:space="preserve">   </w:t>
              </w:r>
            </w:ins>
          </w:p>
          <w:p w14:paraId="51C2B08E" w14:textId="77777777" w:rsidR="00FB33A6" w:rsidRDefault="005470FA">
            <w:pPr>
              <w:pStyle w:val="PL"/>
            </w:pPr>
            <w:r>
              <w:t xml:space="preserve">    nonCriticalExtension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DengXian"/>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TableGrid"/>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r>
                    <w:rPr>
                      <w:b/>
                      <w:i/>
                      <w:sz w:val="16"/>
                      <w:szCs w:val="16"/>
                      <w:lang w:eastAsia="en-GB"/>
                    </w:rPr>
                    <w:t>UEAssistanceInformation</w:t>
                  </w:r>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ins w:id="52" w:author="OPPO " w:date="2022-05-18T16:37:00Z">
                    <w:r>
                      <w:rPr>
                        <w:b/>
                        <w:i/>
                        <w:sz w:val="16"/>
                        <w:szCs w:val="16"/>
                        <w:lang w:eastAsia="sv-SE"/>
                      </w:rPr>
                      <w:t>propagationDelayDifference</w:t>
                    </w:r>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ins w:id="57" w:author="OPPO " w:date="2022-05-18T16:37:00Z">
                    <w:r>
                      <w:rPr>
                        <w:sz w:val="16"/>
                        <w:szCs w:val="16"/>
                        <w:lang w:eastAsia="sv-SE"/>
                      </w:rPr>
                      <w:t xml:space="preserve"> in number of ms. First entry in </w:t>
                    </w:r>
                  </w:ins>
                  <w:ins w:id="58" w:author="OPPO " w:date="2022-05-18T17:04:00Z">
                    <w:r>
                      <w:rPr>
                        <w:i/>
                        <w:sz w:val="16"/>
                        <w:szCs w:val="16"/>
                        <w:lang w:eastAsia="sv-SE"/>
                      </w:rPr>
                      <w:t>p</w:t>
                    </w:r>
                  </w:ins>
                  <w:ins w:id="59" w:author="OPPO " w:date="2022-05-18T16:37:00Z">
                    <w:r>
                      <w:rPr>
                        <w:i/>
                        <w:sz w:val="16"/>
                        <w:szCs w:val="16"/>
                        <w:lang w:eastAsia="sv-SE"/>
                      </w:rPr>
                      <w:t>ropagationDelayDifference</w:t>
                    </w:r>
                    <w:r>
                      <w:rPr>
                        <w:sz w:val="16"/>
                        <w:szCs w:val="16"/>
                        <w:lang w:eastAsia="sv-SE"/>
                      </w:rPr>
                      <w:t xml:space="preserve"> corresponds to first entry in </w:t>
                    </w:r>
                  </w:ins>
                  <w:ins w:id="60" w:author="OPPO " w:date="2022-05-18T17:04:00Z">
                    <w:r>
                      <w:rPr>
                        <w:i/>
                        <w:sz w:val="16"/>
                        <w:szCs w:val="16"/>
                        <w:lang w:eastAsia="sv-SE"/>
                      </w:rPr>
                      <w:t>n</w:t>
                    </w:r>
                  </w:ins>
                  <w:ins w:id="61" w:author="OPPO " w:date="2022-05-18T16:37:00Z">
                    <w:r>
                      <w:rPr>
                        <w:i/>
                        <w:sz w:val="16"/>
                        <w:szCs w:val="16"/>
                        <w:lang w:eastAsia="sv-SE"/>
                      </w:rPr>
                      <w:t>eighbourCellInfoList</w:t>
                    </w:r>
                    <w:r>
                      <w:rPr>
                        <w:sz w:val="16"/>
                        <w:szCs w:val="16"/>
                        <w:lang w:eastAsia="sv-SE"/>
                      </w:rPr>
                      <w:t xml:space="preserve">, second entry in </w:t>
                    </w:r>
                  </w:ins>
                  <w:ins w:id="62" w:author="OPPO " w:date="2022-05-18T17:04:00Z">
                    <w:r>
                      <w:rPr>
                        <w:i/>
                        <w:sz w:val="16"/>
                        <w:szCs w:val="16"/>
                        <w:lang w:eastAsia="sv-SE"/>
                      </w:rPr>
                      <w:t>p</w:t>
                    </w:r>
                  </w:ins>
                  <w:ins w:id="63" w:author="OPPO " w:date="2022-05-18T16:37:00Z">
                    <w:r>
                      <w:rPr>
                        <w:i/>
                        <w:sz w:val="16"/>
                        <w:szCs w:val="16"/>
                        <w:lang w:eastAsia="sv-SE"/>
                      </w:rPr>
                      <w:t>ropagationDelayDifference</w:t>
                    </w:r>
                    <w:r>
                      <w:rPr>
                        <w:sz w:val="16"/>
                        <w:szCs w:val="16"/>
                        <w:lang w:eastAsia="sv-SE"/>
                      </w:rPr>
                      <w:t xml:space="preserve"> corresponds to second entry in </w:t>
                    </w:r>
                  </w:ins>
                  <w:ins w:id="64" w:author="OPPO " w:date="2022-05-18T17:04:00Z">
                    <w:r>
                      <w:rPr>
                        <w:i/>
                        <w:sz w:val="16"/>
                        <w:szCs w:val="16"/>
                        <w:lang w:eastAsia="sv-SE"/>
                      </w:rPr>
                      <w:t>n</w:t>
                    </w:r>
                  </w:ins>
                  <w:ins w:id="65" w:author="OPPO " w:date="2022-05-18T16:37:00Z">
                    <w:r>
                      <w:rPr>
                        <w:i/>
                        <w:sz w:val="16"/>
                        <w:szCs w:val="16"/>
                        <w:lang w:eastAsia="sv-SE"/>
                      </w:rPr>
                      <w:t>eighbourCellInfoList</w:t>
                    </w:r>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Considering the uncertainty of UE location reporting in R17 NTN, to help SMTC/gap enhancements, it is better to support the assistance information in the form of a propagation delay difference between the serving cell and the neighbour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the  </w:t>
            </w:r>
            <w:r>
              <w:rPr>
                <w:bCs/>
                <w:i/>
                <w:iCs/>
              </w:rPr>
              <w:t>RRCReconfiguration</w:t>
            </w:r>
            <w:r>
              <w:rPr>
                <w:bCs/>
                <w:lang w:val="en-US"/>
              </w:rPr>
              <w:t xml:space="preserve"> message and add </w:t>
            </w:r>
            <w:r>
              <w:rPr>
                <w:lang w:val="en-US" w:eastAsia="zh-CN"/>
              </w:rPr>
              <w:t xml:space="preserve">propagation delay difference reporting information in </w:t>
            </w:r>
            <w:r>
              <w:rPr>
                <w:i/>
                <w:iCs/>
                <w:lang w:val="en-US" w:eastAsia="zh-CN"/>
              </w:rPr>
              <w:t>UEAssistanceInformation</w:t>
            </w:r>
            <w:r>
              <w:rPr>
                <w:bCs/>
                <w:lang w:val="en-US"/>
              </w:rPr>
              <w:t>. And  the TP is as following.</w:t>
            </w:r>
          </w:p>
          <w:p w14:paraId="29FC38E9" w14:textId="77777777" w:rsidR="00FB33A6" w:rsidRDefault="005470FA">
            <w:pPr>
              <w:rPr>
                <w:bCs/>
                <w:lang w:val="en-US" w:eastAsia="zh-CN"/>
              </w:rPr>
            </w:pPr>
            <w:r>
              <w:rPr>
                <w:lang w:val="en-US" w:eastAsia="zh-CN"/>
              </w:rPr>
              <w:t xml:space="preserve">Change For </w:t>
            </w:r>
            <w:r>
              <w:rPr>
                <w:bCs/>
                <w:i/>
                <w:iCs/>
              </w:rPr>
              <w:t>RRCReconfiguration</w:t>
            </w:r>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OtherConfig-v1700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SetupRelease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SetupRelease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SetupRelease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needForNCSG-ConfigNR-r17                SetupRelease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SetupRelease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SetupRelease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AppLayerMeasConfig-r17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SetupRelease</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NeedForPDDiffNeighborServing-r17</w:t>
              </w:r>
              <w:r>
                <w:rPr>
                  <w:bCs/>
                  <w:lang w:val="en-US" w:eastAsia="zh-CN"/>
                </w:rPr>
                <w:t xml:space="preserve">  </w:t>
              </w:r>
              <w:r>
                <w:rPr>
                  <w:lang w:eastAsia="en-GB"/>
                </w:rPr>
                <w:t xml:space="preserve">contains </w:t>
              </w:r>
              <w:r>
                <w:rPr>
                  <w:lang w:val="en-US" w:eastAsia="en-GB"/>
                </w:rPr>
                <w:t>the trigger event</w:t>
              </w:r>
              <w:r>
                <w:rPr>
                  <w:lang w:eastAsia="en-GB"/>
                </w:rPr>
                <w:t xml:space="preserve"> related to the </w:t>
              </w:r>
              <w:r>
                <w:rPr>
                  <w:rFonts w:hint="eastAsia"/>
                </w:rPr>
                <w:t>propagation delay difference</w:t>
              </w:r>
              <w:r>
                <w:rPr>
                  <w:lang w:val="en-US"/>
                </w:rPr>
                <w:t xml:space="preserve"> </w:t>
              </w:r>
              <w:r>
                <w:rPr>
                  <w:lang w:eastAsia="en-GB"/>
                </w:rPr>
                <w:t>i</w:t>
              </w:r>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ins w:id="73" w:author="cmcc" w:date="2022-05-18T17:52:00Z">
              <w:r>
                <w:rPr>
                  <w:rFonts w:ascii="Courier New" w:eastAsia="Times New Roman" w:hAnsi="Courier New"/>
                  <w:sz w:val="16"/>
                  <w:lang w:eastAsia="en-GB"/>
                </w:rPr>
                <w:t xml:space="preserve">reportType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r>
                <w:rPr>
                  <w:rFonts w:ascii="Courier New" w:eastAsia="Times New Roman" w:hAnsi="Courier New"/>
                  <w:sz w:val="16"/>
                  <w:lang w:eastAsia="en-GB"/>
                </w:rPr>
                <w:t>eriodicalConfig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eventTriggered          EventTriggerConfig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ins w:id="86" w:author="cmcc" w:date="2022-05-18T17:52:00Z">
              <w:r>
                <w:rPr>
                  <w:rFonts w:ascii="Courier New" w:eastAsia="Times New Roman" w:hAnsi="Courier New" w:hint="eastAsia"/>
                  <w:color w:val="993366"/>
                  <w:sz w:val="16"/>
                  <w:lang w:eastAsia="en-GB"/>
                </w:rPr>
                <w:t>PeriodicalReportConfig</w:t>
              </w:r>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eriodicalReport</w:t>
              </w:r>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ins w:id="94" w:author="cmcc" w:date="2022-05-18T17:52:00Z">
              <w:r>
                <w:rPr>
                  <w:rFonts w:ascii="Courier New" w:eastAsia="Times New Roman" w:hAnsi="Courier New"/>
                  <w:sz w:val="16"/>
                  <w:lang w:val="en-US" w:eastAsia="en-GB"/>
                </w:rPr>
                <w:t xml:space="preserve">reportAmountDiff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ins w:id="101" w:author="cmcc" w:date="2022-05-18T17:52:00Z">
              <w:r>
                <w:rPr>
                  <w:rFonts w:ascii="Courier New" w:eastAsia="Times New Roman" w:hAnsi="Courier New"/>
                  <w:sz w:val="16"/>
                  <w:lang w:eastAsia="en-GB"/>
                </w:rPr>
                <w:t>EventTriggerConfig</w:t>
              </w:r>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 xml:space="preserve">Diff-Threshold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r>
                <w:rPr>
                  <w:rFonts w:ascii="Courier New" w:eastAsia="Times New Roman" w:hAnsi="Courier New"/>
                  <w:sz w:val="16"/>
                  <w:lang w:val="en-US" w:eastAsia="en-GB"/>
                </w:rPr>
                <w:t>physCellId</w:t>
              </w:r>
              <w:r>
                <w:rPr>
                  <w:rFonts w:ascii="Courier New" w:eastAsia="Times New Roman" w:hAnsi="Courier New"/>
                  <w:sz w:val="16"/>
                  <w:lang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lastRenderedPageBreak/>
                <w:t xml:space="preserve">Change For </w:t>
              </w:r>
              <w:r>
                <w:rPr>
                  <w:i/>
                </w:rPr>
                <w:t>UEAssistanceInformation</w:t>
              </w:r>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UL-GapFR2-Preference-r17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MUSIM-Assistance-r17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MaxBW-PreferenceFR2-2-r17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MaxMIMO-LayerPreferenceFR2-2-r17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MinSchedulingOffsetPreferenceExt-r17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ResumeCause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scgDeactivationPreferred, noPreference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List-r17  ::=  SEQUENCE (SIZE (1..max</w:t>
              </w:r>
              <w:r>
                <w:rPr>
                  <w:rFonts w:ascii="Courier New" w:eastAsia="Times New Roman" w:hAnsi="Courier New" w:hint="eastAsia"/>
                  <w:color w:val="993366"/>
                  <w:sz w:val="16"/>
                  <w:lang w:eastAsia="en-GB"/>
                </w:rPr>
                <w:t>Neighbor</w:t>
              </w:r>
              <w:r>
                <w:rPr>
                  <w:rFonts w:ascii="Courier New" w:eastAsia="Times New Roman" w:hAnsi="Courier New"/>
                  <w:color w:val="993366"/>
                  <w:sz w:val="16"/>
                  <w:lang w:val="en-US" w:eastAsia="en-GB"/>
                </w:rPr>
                <w:t>Cell)) OF 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ins w:id="118" w:author="cmcc" w:date="2022-05-18T17:53:00Z">
              <w:r>
                <w:rPr>
                  <w:rFonts w:ascii="Courier New" w:eastAsia="Times New Roman" w:hAnsi="Courier New"/>
                  <w:sz w:val="16"/>
                  <w:lang w:val="en-US" w:eastAsia="en-GB"/>
                </w:rPr>
                <w:t>neighPhysCellId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ins w:id="120" w:author="cmcc" w:date="2022-05-18T17:53:00Z">
              <w:r>
                <w:rPr>
                  <w:rFonts w:ascii="Courier New" w:eastAsia="Times New Roman" w:hAnsi="Courier New"/>
                  <w:sz w:val="16"/>
                  <w:lang w:val="en-US" w:eastAsia="en-GB"/>
                </w:rPr>
                <w:t xml:space="preserve">propaDelayDiff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r w:rsidRPr="00C27CB8">
              <w:rPr>
                <w:i/>
                <w:iCs/>
                <w:lang w:eastAsia="zh-CN"/>
              </w:rPr>
              <w:t>RRCReconfiguration</w:t>
            </w:r>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r w:rsidRPr="00C27CB8">
              <w:rPr>
                <w:i/>
                <w:iCs/>
                <w:lang w:eastAsia="zh-CN"/>
              </w:rPr>
              <w:t>UEAssistanceInformation</w:t>
            </w:r>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27CB8">
              <w:rPr>
                <w:rFonts w:ascii="Arial" w:eastAsia="Times New Roman" w:hAnsi="Arial"/>
                <w:b/>
                <w:bCs/>
                <w:i/>
                <w:iCs/>
                <w:lang w:eastAsia="ja-JP"/>
              </w:rPr>
              <w:t>RRCReconfiguration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r>
              <w:rPr>
                <w:rFonts w:ascii="Courier New" w:eastAsia="DengXian"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r w:rsidRPr="00920C0E">
              <w:rPr>
                <w:rFonts w:ascii="Courier New" w:eastAsia="Times New Roman" w:hAnsi="Courier New" w:hint="eastAsia"/>
                <w:sz w:val="16"/>
                <w:highlight w:val="yellow"/>
                <w:lang w:eastAsia="en-GB"/>
              </w:rPr>
              <w:t>Neighbor</w:t>
            </w:r>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r w:rsidRPr="00920C0E">
              <w:rPr>
                <w:rFonts w:ascii="Courier New" w:eastAsia="Times New Roman" w:hAnsi="Courier New"/>
                <w:sz w:val="16"/>
                <w:highlight w:val="yellow"/>
                <w:lang w:val="en-US" w:eastAsia="en-GB"/>
              </w:rPr>
              <w:t>neighPhysCellId</w:t>
            </w:r>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PhysCellId</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 xml:space="preserve">delayDiffvalue         </w:t>
            </w:r>
            <w:r w:rsidRPr="00920C0E">
              <w:rPr>
                <w:rFonts w:ascii="Courier New" w:eastAsia="Times New Roman" w:hAnsi="Courier New" w:hint="eastAsia"/>
                <w:sz w:val="16"/>
                <w:highlight w:val="yellow"/>
                <w:lang w:eastAsia="en-GB"/>
              </w:rPr>
              <w:t>INTEGER (-</w:t>
            </w:r>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eastAsia="en-GB"/>
              </w:rPr>
              <w:t>yyy</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nonCriticalExtension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lastRenderedPageBreak/>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r>
              <w:rPr>
                <w:i/>
              </w:rPr>
              <w:t>eventDelayDiff</w:t>
            </w:r>
            <w:r>
              <w:rPr>
                <w:i/>
                <w:lang w:eastAsia="zh-CN"/>
              </w:rPr>
              <w:t xml:space="preserve"> </w:t>
            </w:r>
            <w:r>
              <w:rPr>
                <w:lang w:eastAsia="zh-CN"/>
              </w:rPr>
              <w:t xml:space="preserve">and </w:t>
            </w:r>
            <w:r>
              <w:rPr>
                <w:i/>
                <w:lang w:eastAsia="zh-CN"/>
              </w:rPr>
              <w:t>includeDelayDiffInfo</w:t>
            </w:r>
            <w:r>
              <w:rPr>
                <w:lang w:eastAsia="zh-CN"/>
              </w:rPr>
              <w:t xml:space="preserve"> are configured in </w:t>
            </w:r>
            <w:r>
              <w:rPr>
                <w:i/>
                <w:lang w:eastAsia="zh-CN"/>
              </w:rPr>
              <w:t>ReportConfigNR</w:t>
            </w:r>
            <w:r>
              <w:rPr>
                <w:lang w:eastAsia="zh-CN"/>
              </w:rPr>
              <w:t xml:space="preserve">. If current propagation delay difference between the serving cell and a neighbour cell changes more than </w:t>
            </w:r>
            <w:r>
              <w:rPr>
                <w:i/>
              </w:rPr>
              <w:t>delayDiffThres</w:t>
            </w:r>
            <w:r>
              <w:rPr>
                <w:lang w:eastAsia="zh-CN"/>
              </w:rPr>
              <w:t xml:space="preserve"> compared to the last report propagation delay difference, UE reports current propagation delay difference for the corresponding </w:t>
            </w:r>
            <w:r>
              <w:rPr>
                <w:i/>
                <w:lang w:eastAsia="zh-CN"/>
              </w:rPr>
              <w:t>measID</w:t>
            </w:r>
            <w:r>
              <w:rPr>
                <w:lang w:eastAsia="zh-CN"/>
              </w:rPr>
              <w:t>.</w:t>
            </w:r>
          </w:p>
          <w:p w14:paraId="1ACF12CA" w14:textId="77777777" w:rsidR="005C0319" w:rsidRDefault="005C0319" w:rsidP="005C0319">
            <w:pPr>
              <w:pStyle w:val="PL"/>
              <w:shd w:val="clear" w:color="auto" w:fill="D9D9D9" w:themeFill="background1" w:themeFillShade="D9"/>
              <w:spacing w:after="0"/>
            </w:pPr>
            <w:r>
              <w:t xml:space="preserve">EventTriggerConfig::=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eventId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eventDelayDiff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delayDiffThres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DelayDiffInfo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r>
              <w:t>DelayDiffInfo</w:t>
            </w:r>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neighPhysCellId</w:t>
            </w:r>
            <w:r>
              <w:t xml:space="preserve">           </w:t>
            </w:r>
            <w:r>
              <w:rPr>
                <w:lang w:val="en-US"/>
              </w:rPr>
              <w:t xml:space="preserve">   </w:t>
            </w:r>
            <w:r>
              <w:t>PhysCellId</w:t>
            </w:r>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delayDiff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0652427B" w:rsidR="00FB33A6" w:rsidRDefault="009E706C">
            <w:pPr>
              <w:rPr>
                <w:lang w:eastAsia="zh-CN"/>
              </w:rPr>
            </w:pPr>
            <w:r>
              <w:rPr>
                <w:lang w:eastAsia="zh-CN"/>
              </w:rPr>
              <w:lastRenderedPageBreak/>
              <w:t>ZTE</w:t>
            </w:r>
          </w:p>
        </w:tc>
        <w:tc>
          <w:tcPr>
            <w:tcW w:w="7651" w:type="dxa"/>
          </w:tcPr>
          <w:p w14:paraId="30BFC4C7" w14:textId="77777777" w:rsidR="009E706C" w:rsidRDefault="009E706C" w:rsidP="009E706C">
            <w:pPr>
              <w:rPr>
                <w:lang w:eastAsia="zh-CN"/>
              </w:rPr>
            </w:pPr>
            <w:r>
              <w:rPr>
                <w:lang w:eastAsia="zh-CN"/>
              </w:rPr>
              <w:t>I</w:t>
            </w:r>
            <w:r w:rsidRPr="009E706C">
              <w:rPr>
                <w:lang w:eastAsia="zh-CN"/>
              </w:rPr>
              <w:t>f the UE sends the propagation delay difference between serving cell and neighbour cell for multiple neighbour cells, the NW can indeed derive the UE position</w:t>
            </w:r>
            <w:r>
              <w:rPr>
                <w:lang w:eastAsia="zh-CN"/>
              </w:rPr>
              <w:t xml:space="preserve"> and requires no user consent.</w:t>
            </w:r>
            <w:r>
              <w:rPr>
                <w:rFonts w:hint="eastAsia"/>
                <w:lang w:eastAsia="zh-CN"/>
              </w:rPr>
              <w:t xml:space="preserve"> </w:t>
            </w:r>
            <w:r>
              <w:rPr>
                <w:lang w:eastAsia="zh-CN"/>
              </w:rPr>
              <w:t>Thus, it is preferable from our perspective.</w:t>
            </w:r>
          </w:p>
          <w:p w14:paraId="75E30433" w14:textId="1212BFF5" w:rsidR="009E706C" w:rsidRDefault="009E706C" w:rsidP="009E706C">
            <w:pPr>
              <w:rPr>
                <w:lang w:eastAsia="zh-CN"/>
              </w:rPr>
            </w:pPr>
            <w:r>
              <w:rPr>
                <w:lang w:eastAsia="zh-CN"/>
              </w:rPr>
              <w:t>We are not quite interested in having such reporting to be event triggered and would prefer a NW request way, e.g. NW request the delay difference reporting via RRCReconfiguration message and UE then report such information via UEAssistanceInformation message as mentioned by Lenovo above.</w:t>
            </w:r>
          </w:p>
        </w:tc>
      </w:tr>
      <w:tr w:rsidR="00257EFC" w14:paraId="559AC615" w14:textId="77777777">
        <w:tc>
          <w:tcPr>
            <w:tcW w:w="1980" w:type="dxa"/>
          </w:tcPr>
          <w:p w14:paraId="26245BD7" w14:textId="4ED0F88E" w:rsidR="00257EFC" w:rsidRDefault="00257EFC">
            <w:pPr>
              <w:rPr>
                <w:lang w:eastAsia="zh-CN"/>
              </w:rPr>
            </w:pPr>
            <w:r>
              <w:rPr>
                <w:lang w:eastAsia="zh-CN"/>
              </w:rPr>
              <w:t>CATT</w:t>
            </w:r>
          </w:p>
        </w:tc>
        <w:tc>
          <w:tcPr>
            <w:tcW w:w="7651" w:type="dxa"/>
          </w:tcPr>
          <w:p w14:paraId="41DC377A" w14:textId="556E5DA2" w:rsidR="00257EFC" w:rsidRDefault="00257EFC" w:rsidP="00684F0E">
            <w:pPr>
              <w:rPr>
                <w:lang w:eastAsia="zh-CN"/>
              </w:rPr>
            </w:pPr>
            <w:r>
              <w:rPr>
                <w:rFonts w:hint="eastAsia"/>
                <w:lang w:eastAsia="zh-CN"/>
              </w:rPr>
              <w:t xml:space="preserve">In </w:t>
            </w:r>
            <w:r>
              <w:rPr>
                <w:lang w:eastAsia="zh-CN"/>
              </w:rPr>
              <w:t>addition</w:t>
            </w:r>
            <w:r>
              <w:rPr>
                <w:rFonts w:hint="eastAsia"/>
                <w:lang w:eastAsia="zh-CN"/>
              </w:rPr>
              <w:t xml:space="preserve"> to the configuration of the </w:t>
            </w:r>
            <w:r w:rsidRPr="009E706C">
              <w:rPr>
                <w:lang w:eastAsia="zh-CN"/>
              </w:rPr>
              <w:t>propagation delay difference</w:t>
            </w:r>
            <w:r>
              <w:rPr>
                <w:rFonts w:hint="eastAsia"/>
                <w:lang w:eastAsia="zh-CN"/>
              </w:rPr>
              <w:t xml:space="preserve"> the </w:t>
            </w:r>
            <w:r>
              <w:rPr>
                <w:lang w:eastAsia="zh-CN"/>
              </w:rPr>
              <w:t>companies</w:t>
            </w:r>
            <w:r>
              <w:rPr>
                <w:rFonts w:hint="eastAsia"/>
                <w:lang w:eastAsia="zh-CN"/>
              </w:rPr>
              <w:t xml:space="preserve"> provided, we have a </w:t>
            </w:r>
            <w:r w:rsidRPr="00FF2330">
              <w:rPr>
                <w:lang w:eastAsia="zh-CN"/>
              </w:rPr>
              <w:t>supplement</w:t>
            </w:r>
            <w:r>
              <w:rPr>
                <w:rFonts w:hint="eastAsia"/>
                <w:lang w:eastAsia="zh-CN"/>
              </w:rPr>
              <w:t>.</w:t>
            </w:r>
          </w:p>
          <w:p w14:paraId="38491FA2" w14:textId="77777777" w:rsidR="00257EFC" w:rsidRDefault="00257EFC" w:rsidP="00684F0E">
            <w:pPr>
              <w:rPr>
                <w:lang w:eastAsia="zh-CN"/>
              </w:rPr>
            </w:pPr>
            <w:r>
              <w:rPr>
                <w:lang w:eastAsia="zh-CN"/>
              </w:rPr>
              <w:t>F</w:t>
            </w:r>
            <w:r>
              <w:rPr>
                <w:rFonts w:hint="eastAsia"/>
                <w:lang w:eastAsia="zh-CN"/>
              </w:rPr>
              <w:t xml:space="preserve">or the procedure part, </w:t>
            </w:r>
            <w:r>
              <w:rPr>
                <w:lang w:eastAsia="zh-CN"/>
              </w:rPr>
              <w:t>“</w:t>
            </w:r>
            <w:r w:rsidRPr="00625388">
              <w:rPr>
                <w:lang w:eastAsia="zh-CN"/>
              </w:rPr>
              <w:t>5.3.5.9</w:t>
            </w:r>
            <w:r w:rsidRPr="00625388">
              <w:rPr>
                <w:lang w:eastAsia="zh-CN"/>
              </w:rPr>
              <w:tab/>
              <w:t>Other configuration</w:t>
            </w:r>
            <w:r>
              <w:rPr>
                <w:lang w:eastAsia="zh-CN"/>
              </w:rPr>
              <w:t>”</w:t>
            </w:r>
            <w:r>
              <w:rPr>
                <w:rFonts w:hint="eastAsia"/>
                <w:lang w:eastAsia="zh-CN"/>
              </w:rPr>
              <w:t xml:space="preserve"> also need to add </w:t>
            </w:r>
            <w:r w:rsidRPr="00625388">
              <w:rPr>
                <w:lang w:eastAsia="zh-CN"/>
              </w:rPr>
              <w:t>propagation</w:t>
            </w:r>
            <w:r>
              <w:rPr>
                <w:rFonts w:hint="eastAsia"/>
                <w:lang w:eastAsia="zh-CN"/>
              </w:rPr>
              <w:t xml:space="preserve"> d</w:t>
            </w:r>
            <w:r w:rsidRPr="00625388">
              <w:rPr>
                <w:lang w:eastAsia="zh-CN"/>
              </w:rPr>
              <w:t>elay</w:t>
            </w:r>
            <w:r>
              <w:rPr>
                <w:rFonts w:hint="eastAsia"/>
                <w:lang w:eastAsia="zh-CN"/>
              </w:rPr>
              <w:t xml:space="preserve"> d</w:t>
            </w:r>
            <w:r w:rsidRPr="00625388">
              <w:rPr>
                <w:lang w:eastAsia="zh-CN"/>
              </w:rPr>
              <w:t>ifference</w:t>
            </w:r>
            <w:r>
              <w:rPr>
                <w:rFonts w:hint="eastAsia"/>
                <w:lang w:eastAsia="zh-CN"/>
              </w:rPr>
              <w:t xml:space="preserve"> part.</w:t>
            </w:r>
          </w:p>
          <w:p w14:paraId="684F5B4C" w14:textId="77777777" w:rsidR="00257EFC" w:rsidRDefault="00257EFC" w:rsidP="00684F0E">
            <w:pPr>
              <w:rPr>
                <w:lang w:eastAsia="zh-CN"/>
              </w:rPr>
            </w:pPr>
            <w:r w:rsidRPr="00740BCD">
              <w:t>The UE shall:</w:t>
            </w:r>
          </w:p>
          <w:p w14:paraId="476E5D75" w14:textId="77777777" w:rsidR="00257EFC" w:rsidRPr="00740BCD" w:rsidRDefault="00257EFC" w:rsidP="00684F0E">
            <w:pPr>
              <w:rPr>
                <w:lang w:eastAsia="zh-CN"/>
              </w:rPr>
            </w:pPr>
            <w:r>
              <w:rPr>
                <w:lang w:eastAsia="zh-CN"/>
              </w:rPr>
              <w:t>…</w:t>
            </w:r>
          </w:p>
          <w:p w14:paraId="70042C17" w14:textId="77777777" w:rsidR="00257EFC" w:rsidRPr="005E62D0" w:rsidRDefault="00257EFC" w:rsidP="00684F0E">
            <w:pPr>
              <w:pStyle w:val="B1"/>
              <w:rPr>
                <w:color w:val="FF0000"/>
                <w:u w:val="single"/>
              </w:rPr>
            </w:pPr>
            <w:r w:rsidRPr="005E62D0">
              <w:rPr>
                <w:color w:val="FF0000"/>
                <w:u w:val="single"/>
              </w:rPr>
              <w:t>1&gt;</w:t>
            </w:r>
            <w:r w:rsidRPr="005E62D0">
              <w:rPr>
                <w:color w:val="FF0000"/>
                <w:u w:val="single"/>
              </w:rPr>
              <w:tab/>
              <w:t xml:space="preserve">if the received </w:t>
            </w:r>
            <w:r w:rsidRPr="005E62D0">
              <w:rPr>
                <w:i/>
                <w:color w:val="FF0000"/>
                <w:u w:val="single"/>
              </w:rPr>
              <w:t>otherConfig</w:t>
            </w:r>
            <w:r w:rsidRPr="005E62D0">
              <w:rPr>
                <w:color w:val="FF0000"/>
                <w:u w:val="single"/>
              </w:rPr>
              <w:t xml:space="preserve"> includes the </w:t>
            </w:r>
            <w:r w:rsidRPr="005E62D0">
              <w:rPr>
                <w:i/>
                <w:color w:val="FF0000"/>
                <w:u w:val="single"/>
              </w:rPr>
              <w:t>propagationDelayDifferenceReportingConfig</w:t>
            </w:r>
            <w:r w:rsidRPr="005E62D0">
              <w:rPr>
                <w:color w:val="FF0000"/>
                <w:u w:val="single"/>
              </w:rPr>
              <w:t>:</w:t>
            </w:r>
          </w:p>
          <w:p w14:paraId="6B1C5F58"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 xml:space="preserve">if </w:t>
            </w:r>
            <w:r w:rsidRPr="005E62D0">
              <w:rPr>
                <w:i/>
                <w:color w:val="FF0000"/>
                <w:u w:val="single"/>
              </w:rPr>
              <w:t>propagationDelayDifferenceReportingConfig</w:t>
            </w:r>
            <w:r w:rsidRPr="005E62D0">
              <w:rPr>
                <w:color w:val="FF0000"/>
                <w:u w:val="single"/>
              </w:rPr>
              <w:t xml:space="preserve"> is set to </w:t>
            </w:r>
            <w:r w:rsidRPr="005E62D0">
              <w:rPr>
                <w:i/>
                <w:color w:val="FF0000"/>
                <w:u w:val="single"/>
              </w:rPr>
              <w:t>setup</w:t>
            </w:r>
            <w:r w:rsidRPr="005E62D0">
              <w:rPr>
                <w:color w:val="FF0000"/>
                <w:u w:val="single"/>
              </w:rPr>
              <w:t>:</w:t>
            </w:r>
          </w:p>
          <w:p w14:paraId="3A82AFE0" w14:textId="77777777" w:rsidR="00257EFC" w:rsidRPr="005E62D0" w:rsidRDefault="00257EFC" w:rsidP="00684F0E">
            <w:pPr>
              <w:pStyle w:val="B3"/>
              <w:rPr>
                <w:color w:val="FF0000"/>
                <w:u w:val="single"/>
              </w:rPr>
            </w:pPr>
            <w:r w:rsidRPr="005E62D0">
              <w:rPr>
                <w:color w:val="FF0000"/>
                <w:u w:val="single"/>
              </w:rPr>
              <w:t>3&gt;</w:t>
            </w:r>
            <w:r w:rsidRPr="005E62D0">
              <w:rPr>
                <w:color w:val="FF0000"/>
                <w:u w:val="single"/>
              </w:rPr>
              <w:tab/>
              <w:t>consider itself to be configured to send propagation delay difference between serving cell and neighbour cell(s) reports in accordance with 5.</w:t>
            </w:r>
            <w:r w:rsidRPr="005E62D0">
              <w:rPr>
                <w:color w:val="FF0000"/>
                <w:u w:val="single"/>
                <w:lang w:eastAsia="zh-CN"/>
              </w:rPr>
              <w:t>7.4</w:t>
            </w:r>
            <w:r w:rsidRPr="005E62D0">
              <w:rPr>
                <w:color w:val="FF0000"/>
                <w:u w:val="single"/>
              </w:rPr>
              <w:t>;</w:t>
            </w:r>
          </w:p>
          <w:p w14:paraId="42A1F66C"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else:</w:t>
            </w:r>
          </w:p>
          <w:p w14:paraId="5A77631A" w14:textId="77777777" w:rsidR="00257EFC" w:rsidRPr="005E62D0" w:rsidRDefault="00257EFC" w:rsidP="00684F0E">
            <w:pPr>
              <w:pStyle w:val="B3"/>
              <w:rPr>
                <w:color w:val="FF0000"/>
                <w:u w:val="single"/>
                <w:lang w:eastAsia="zh-CN"/>
              </w:rPr>
            </w:pPr>
            <w:r w:rsidRPr="005E62D0">
              <w:rPr>
                <w:color w:val="FF0000"/>
                <w:u w:val="single"/>
              </w:rPr>
              <w:t>3&gt;</w:t>
            </w:r>
            <w:r w:rsidRPr="005E62D0">
              <w:rPr>
                <w:color w:val="FF0000"/>
                <w:u w:val="single"/>
              </w:rPr>
              <w:tab/>
              <w:t>consider itself not to be configured to send propagation delay difference between serving cell and neighbour cell(s) reports.</w:t>
            </w:r>
          </w:p>
          <w:p w14:paraId="5BE404D8" w14:textId="77777777" w:rsidR="00257EFC" w:rsidRDefault="00257EFC">
            <w:pPr>
              <w:rPr>
                <w:lang w:eastAsia="zh-CN"/>
              </w:rPr>
            </w:pPr>
          </w:p>
        </w:tc>
      </w:tr>
      <w:tr w:rsidR="00FB33A6" w14:paraId="007916E6" w14:textId="77777777">
        <w:tc>
          <w:tcPr>
            <w:tcW w:w="1980" w:type="dxa"/>
          </w:tcPr>
          <w:p w14:paraId="2DADF7E2" w14:textId="6DB603B0" w:rsidR="00FB33A6" w:rsidRDefault="00A25BED">
            <w:pPr>
              <w:rPr>
                <w:lang w:eastAsia="zh-CN"/>
              </w:rPr>
            </w:pPr>
            <w:r>
              <w:rPr>
                <w:lang w:eastAsia="zh-CN"/>
              </w:rPr>
              <w:t>MediaTek</w:t>
            </w:r>
          </w:p>
        </w:tc>
        <w:tc>
          <w:tcPr>
            <w:tcW w:w="7651" w:type="dxa"/>
          </w:tcPr>
          <w:p w14:paraId="52E16E42" w14:textId="77777777" w:rsidR="00FB33A6" w:rsidRDefault="00A25BED">
            <w:pPr>
              <w:rPr>
                <w:lang w:eastAsia="zh-CN"/>
              </w:rPr>
            </w:pPr>
            <w:r>
              <w:rPr>
                <w:lang w:eastAsia="zh-CN"/>
              </w:rPr>
              <w:t xml:space="preserve">We believe that </w:t>
            </w:r>
            <w:r w:rsidRPr="00A25BED">
              <w:rPr>
                <w:lang w:eastAsia="zh-CN"/>
              </w:rPr>
              <w:t>UE can report propagation delay difference in RRM measurement report if a</w:t>
            </w:r>
            <w:r>
              <w:rPr>
                <w:lang w:eastAsia="zh-CN"/>
              </w:rPr>
              <w:t>n event-based triggered is configured.</w:t>
            </w:r>
            <w:r w:rsidRPr="00A25BED">
              <w:rPr>
                <w:lang w:eastAsia="zh-CN"/>
              </w:rPr>
              <w:t xml:space="preserve"> If current propagation delay difference between the serving cell and a neighbour cell changes more than </w:t>
            </w:r>
            <w:r>
              <w:rPr>
                <w:lang w:eastAsia="zh-CN"/>
              </w:rPr>
              <w:t>a threshold</w:t>
            </w:r>
            <w:r w:rsidRPr="00A25BED">
              <w:rPr>
                <w:lang w:eastAsia="zh-CN"/>
              </w:rPr>
              <w:t xml:space="preserve"> compared to the last report propagation delay difference, UE reports current propagation delay difference for the corresponding measID.</w:t>
            </w:r>
            <w:r>
              <w:rPr>
                <w:lang w:eastAsia="zh-CN"/>
              </w:rPr>
              <w:t xml:space="preserve"> The events mentioned by Samsung seems a plausible solution to us</w:t>
            </w:r>
            <w:r w:rsidRPr="00A25BED">
              <w:rPr>
                <w:lang w:eastAsia="zh-CN"/>
              </w:rPr>
              <w:t>.</w:t>
            </w:r>
          </w:p>
          <w:p w14:paraId="060B744B" w14:textId="36505D81" w:rsidR="00A25BED" w:rsidRDefault="00A25BED" w:rsidP="00A25BED">
            <w:pPr>
              <w:rPr>
                <w:lang w:eastAsia="zh-CN"/>
              </w:rPr>
            </w:pPr>
            <w:r>
              <w:rPr>
                <w:lang w:eastAsia="zh-CN"/>
              </w:rPr>
              <w:t>For UE location report, user consent mechanism needs to be used. So, if the UE does not provide location info, then NW is not able to adjust SMTC.</w:t>
            </w:r>
          </w:p>
        </w:tc>
      </w:tr>
      <w:tr w:rsidR="00046888" w14:paraId="10DB4C90" w14:textId="77777777">
        <w:tc>
          <w:tcPr>
            <w:tcW w:w="1980" w:type="dxa"/>
          </w:tcPr>
          <w:p w14:paraId="40702B21" w14:textId="3AAF7F3B" w:rsidR="00046888" w:rsidRPr="00046888" w:rsidRDefault="00046888" w:rsidP="00046888">
            <w:pPr>
              <w:rPr>
                <w:lang w:eastAsia="zh-CN"/>
              </w:rPr>
            </w:pPr>
            <w:r w:rsidRPr="007634A2">
              <w:rPr>
                <w:rFonts w:hint="eastAsia"/>
                <w:lang w:eastAsia="zh-CN"/>
              </w:rPr>
              <w:t>L</w:t>
            </w:r>
            <w:r w:rsidRPr="007634A2">
              <w:rPr>
                <w:lang w:eastAsia="zh-CN"/>
              </w:rPr>
              <w:t>GE</w:t>
            </w:r>
          </w:p>
        </w:tc>
        <w:tc>
          <w:tcPr>
            <w:tcW w:w="7651" w:type="dxa"/>
          </w:tcPr>
          <w:p w14:paraId="79B0BD0B" w14:textId="77777777" w:rsidR="00046888" w:rsidRPr="00BF5FA1" w:rsidRDefault="00046888" w:rsidP="00046888">
            <w:pPr>
              <w:rPr>
                <w:rFonts w:eastAsia="Malgun Gothic"/>
                <w:lang w:eastAsia="ko-KR"/>
              </w:rPr>
            </w:pPr>
            <w:r w:rsidRPr="00BF5FA1">
              <w:rPr>
                <w:rFonts w:eastAsia="Malgun Gothic"/>
                <w:lang w:eastAsia="ko-KR"/>
              </w:rPr>
              <w:t xml:space="preserve">We prefer the UE reports the propagation delay difference between the serving and neighbor cells. The UE needs valid SMTC for neighbor cells if the network configures </w:t>
            </w:r>
            <w:r w:rsidRPr="00BF5FA1">
              <w:rPr>
                <w:rFonts w:eastAsia="Malgun Gothic"/>
                <w:i/>
                <w:lang w:eastAsia="ko-KR"/>
              </w:rPr>
              <w:t>reportType</w:t>
            </w:r>
            <w:r w:rsidRPr="00BF5FA1">
              <w:rPr>
                <w:rFonts w:eastAsia="Malgun Gothic"/>
                <w:lang w:eastAsia="ko-KR"/>
              </w:rPr>
              <w:t xml:space="preserve"> to </w:t>
            </w:r>
            <w:r w:rsidRPr="00BF5FA1">
              <w:rPr>
                <w:rFonts w:eastAsia="Malgun Gothic"/>
                <w:i/>
                <w:lang w:eastAsia="ko-KR"/>
              </w:rPr>
              <w:t>eventTriggerd</w:t>
            </w:r>
            <w:r w:rsidRPr="00BF5FA1">
              <w:rPr>
                <w:rFonts w:eastAsia="Malgun Gothic"/>
                <w:lang w:eastAsia="ko-KR"/>
              </w:rPr>
              <w:t xml:space="preserve"> or </w:t>
            </w:r>
            <w:r w:rsidRPr="00BF5FA1">
              <w:rPr>
                <w:rFonts w:eastAsia="Malgun Gothic"/>
                <w:i/>
                <w:lang w:eastAsia="ko-KR"/>
              </w:rPr>
              <w:t>periodical</w:t>
            </w:r>
            <w:r w:rsidRPr="00BF5FA1">
              <w:rPr>
                <w:rFonts w:eastAsia="Malgun Gothic"/>
                <w:lang w:eastAsia="ko-KR"/>
              </w:rPr>
              <w:t>. However, the UE is likely to have no valid SMTC for the neighbor cell, and it is useless to report the measurement result if the measurement is performed based on the invalid SMTC. Therefore, the UE should not be required to report the best neighboring cells when reporting the propagation delay difference. To this end, we propose to define a new report type for the propagation delay difference.</w:t>
            </w:r>
          </w:p>
          <w:p w14:paraId="0C513B32" w14:textId="77777777" w:rsidR="00046888" w:rsidRPr="00BF5FA1" w:rsidRDefault="00046888" w:rsidP="00046888">
            <w:pPr>
              <w:rPr>
                <w:rFonts w:eastAsia="Malgun Gothic"/>
                <w:lang w:eastAsia="ko-KR"/>
              </w:rPr>
            </w:pPr>
            <w:r w:rsidRPr="00BF5FA1">
              <w:rPr>
                <w:rFonts w:eastAsia="Malgun Gothic"/>
                <w:lang w:eastAsia="ko-KR"/>
              </w:rPr>
              <w:t>The details of the new report type introduction are presented in R2-2206030.</w:t>
            </w:r>
          </w:p>
          <w:p w14:paraId="2358ABBB" w14:textId="77777777" w:rsidR="00046888" w:rsidRPr="00975640" w:rsidRDefault="00046888" w:rsidP="00046888">
            <w:pPr>
              <w:rPr>
                <w:rFonts w:eastAsia="Malgun Gothic"/>
                <w:lang w:eastAsia="ko-KR"/>
              </w:rPr>
            </w:pPr>
            <w:r w:rsidRPr="00BF5FA1">
              <w:rPr>
                <w:rFonts w:eastAsia="Malgun Gothic"/>
                <w:lang w:eastAsia="ko-KR"/>
              </w:rPr>
              <w:t>We want to present the text proposal for TS 38.331 presented in R2-2206030 as follows.</w:t>
            </w:r>
          </w:p>
          <w:p w14:paraId="1BC0F21D" w14:textId="77777777" w:rsidR="00046888" w:rsidRDefault="00046888" w:rsidP="00046888">
            <w:pPr>
              <w:rPr>
                <w:rFonts w:eastAsia="Malgun Gothic"/>
                <w:lang w:eastAsia="ko-KR"/>
              </w:rPr>
            </w:pPr>
            <w:r>
              <w:rPr>
                <w:rFonts w:eastAsia="Malgun Gothic"/>
                <w:lang w:eastAsia="ko-KR"/>
              </w:rPr>
              <w:t>------------------------------------------------------------------------------------------------</w:t>
            </w:r>
          </w:p>
          <w:p w14:paraId="5414F975" w14:textId="77777777" w:rsidR="00046888" w:rsidRPr="00B56452" w:rsidRDefault="00046888" w:rsidP="00046888">
            <w:pPr>
              <w:rPr>
                <w:rFonts w:eastAsia="Malgun Gothic"/>
                <w:b/>
                <w:lang w:eastAsia="ko-KR"/>
              </w:rPr>
            </w:pPr>
            <w:r w:rsidRPr="00FE23F9">
              <w:rPr>
                <w:rFonts w:eastAsia="Malgun Gothic" w:hint="eastAsia"/>
                <w:b/>
                <w:lang w:eastAsia="ko-KR"/>
              </w:rPr>
              <w:t xml:space="preserve">In section </w:t>
            </w:r>
            <w:r w:rsidRPr="00FE23F9">
              <w:rPr>
                <w:rFonts w:eastAsia="Malgun Gothic"/>
                <w:b/>
                <w:lang w:eastAsia="ko-KR"/>
              </w:rPr>
              <w:t>5.5.3.1 General:</w:t>
            </w:r>
          </w:p>
          <w:p w14:paraId="43B2DCD0" w14:textId="77777777" w:rsidR="00046888" w:rsidRPr="00FE23F9" w:rsidRDefault="00046888" w:rsidP="00046888">
            <w:pPr>
              <w:rPr>
                <w:rFonts w:eastAsia="Malgun Gothic"/>
                <w:lang w:eastAsia="ko-KR"/>
              </w:rPr>
            </w:pPr>
            <w:r>
              <w:rPr>
                <w:rFonts w:eastAsia="Malgun Gothic"/>
                <w:color w:val="0000FF"/>
                <w:lang w:eastAsia="ko-KR"/>
              </w:rPr>
              <w:t>(Omitted)</w:t>
            </w:r>
          </w:p>
          <w:p w14:paraId="3FCDF333" w14:textId="77777777" w:rsidR="00046888" w:rsidRDefault="00046888" w:rsidP="00046888">
            <w:pPr>
              <w:ind w:leftChars="400" w:left="800"/>
              <w:rPr>
                <w:rFonts w:eastAsia="Malgun Gothic"/>
                <w:lang w:eastAsia="ko-KR"/>
              </w:rPr>
            </w:pPr>
            <w:r w:rsidRPr="00B72614">
              <w:rPr>
                <w:rFonts w:eastAsia="Times New Roman"/>
                <w:lang w:eastAsia="ja-JP"/>
              </w:rPr>
              <w:lastRenderedPageBreak/>
              <w:t>3&gt;</w:t>
            </w:r>
            <w:r w:rsidRPr="00B72614">
              <w:rPr>
                <w:rFonts w:eastAsia="Times New Roman"/>
                <w:lang w:eastAsia="ja-JP"/>
              </w:rPr>
              <w:tab/>
              <w:t xml:space="preserve">perform the corresponding measurements associated to CLI measurement resources indicated in the concerned </w:t>
            </w:r>
            <w:r w:rsidRPr="00B72614">
              <w:rPr>
                <w:rFonts w:eastAsia="Times New Roman"/>
                <w:i/>
                <w:lang w:eastAsia="ja-JP"/>
              </w:rPr>
              <w:t>measObjectCLI</w:t>
            </w:r>
            <w:r w:rsidRPr="00B72614">
              <w:rPr>
                <w:rFonts w:eastAsia="Times New Roman"/>
                <w:lang w:eastAsia="ja-JP"/>
              </w:rPr>
              <w:t>;</w:t>
            </w:r>
          </w:p>
          <w:p w14:paraId="2BA8574D" w14:textId="77777777" w:rsidR="00046888" w:rsidRPr="00B72614" w:rsidRDefault="00046888" w:rsidP="00046888">
            <w:pPr>
              <w:overflowPunct w:val="0"/>
              <w:autoSpaceDE w:val="0"/>
              <w:autoSpaceDN w:val="0"/>
              <w:adjustRightInd w:val="0"/>
              <w:ind w:left="851" w:hanging="284"/>
              <w:textAlignment w:val="baseline"/>
              <w:rPr>
                <w:ins w:id="127" w:author="LGE (Han Cha)" w:date="2022-05-19T01:03:00Z"/>
                <w:rFonts w:eastAsia="Times New Roman"/>
                <w:lang w:eastAsia="ja-JP"/>
              </w:rPr>
            </w:pPr>
            <w:ins w:id="128" w:author="LGE (Han Cha)" w:date="2022-05-19T01:03:00Z">
              <w:r w:rsidRPr="00B72614">
                <w:rPr>
                  <w:rFonts w:eastAsia="Times New Roman"/>
                  <w:lang w:eastAsia="ja-JP"/>
                </w:rPr>
                <w:t>2&gt;</w:t>
              </w:r>
              <w:r w:rsidRPr="00B72614">
                <w:rPr>
                  <w:rFonts w:eastAsia="Times New Roman"/>
                  <w:lang w:eastAsia="ja-JP"/>
                </w:rPr>
                <w:tab/>
                <w:t xml:space="preserve">if the </w:t>
              </w:r>
              <w:r w:rsidRPr="00B72614">
                <w:rPr>
                  <w:rFonts w:eastAsia="Times New Roman"/>
                  <w:i/>
                  <w:lang w:eastAsia="ja-JP"/>
                </w:rPr>
                <w:t>reportType</w:t>
              </w:r>
              <w:r w:rsidRPr="00B72614">
                <w:rPr>
                  <w:rFonts w:eastAsia="Times New Roman"/>
                  <w:lang w:eastAsia="ja-JP"/>
                </w:rPr>
                <w:t xml:space="preserve"> for the associated </w:t>
              </w:r>
              <w:r w:rsidRPr="00B72614">
                <w:rPr>
                  <w:rFonts w:eastAsia="Times New Roman"/>
                  <w:i/>
                  <w:lang w:eastAsia="ja-JP"/>
                </w:rPr>
                <w:t>reportConfig</w:t>
              </w:r>
              <w:r w:rsidRPr="00B72614">
                <w:rPr>
                  <w:rFonts w:eastAsia="Times New Roman"/>
                  <w:lang w:eastAsia="ja-JP"/>
                </w:rPr>
                <w:t xml:space="preserve"> is set to </w:t>
              </w:r>
              <w:r w:rsidRPr="00B72614">
                <w:rPr>
                  <w:rFonts w:eastAsia="Times New Roman"/>
                  <w:i/>
                  <w:lang w:eastAsia="ja-JP"/>
                </w:rPr>
                <w:t>report</w:t>
              </w:r>
              <w:r>
                <w:rPr>
                  <w:rFonts w:eastAsia="Times New Roman"/>
                  <w:i/>
                  <w:lang w:eastAsia="ja-JP"/>
                </w:rPr>
                <w:t>PropDelay</w:t>
              </w:r>
              <w:r w:rsidRPr="00B72614">
                <w:rPr>
                  <w:rFonts w:eastAsia="Times New Roman"/>
                  <w:lang w:eastAsia="ja-JP"/>
                </w:rPr>
                <w:t>:</w:t>
              </w:r>
            </w:ins>
          </w:p>
          <w:p w14:paraId="6F330F1E" w14:textId="7429E75B" w:rsidR="00046888" w:rsidRPr="00FE23F9" w:rsidRDefault="00046888" w:rsidP="00046888">
            <w:pPr>
              <w:ind w:leftChars="400" w:left="800"/>
              <w:rPr>
                <w:rFonts w:eastAsia="MS Mincho"/>
                <w:lang w:eastAsia="ja-JP"/>
              </w:rPr>
            </w:pPr>
            <w:ins w:id="129" w:author="LGE (Han Cha)" w:date="2022-05-19T01:03:00Z">
              <w:r w:rsidRPr="00B72614">
                <w:rPr>
                  <w:rFonts w:eastAsia="Times New Roman"/>
                  <w:lang w:eastAsia="ja-JP"/>
                </w:rPr>
                <w:t>3&gt;</w:t>
              </w:r>
              <w:r w:rsidRPr="00B72614">
                <w:rPr>
                  <w:rFonts w:eastAsia="Times New Roman"/>
                  <w:lang w:eastAsia="ja-JP"/>
                </w:rPr>
                <w:tab/>
              </w:r>
              <w:r w:rsidRPr="003A49EB">
                <w:rPr>
                  <w:rFonts w:eastAsia="Times New Roman"/>
                  <w:lang w:eastAsia="ja-JP"/>
                </w:rPr>
                <w:t xml:space="preserve">perform the propagation delay difference </w:t>
              </w:r>
              <w:r>
                <w:rPr>
                  <w:rFonts w:eastAsia="Times New Roman"/>
                  <w:lang w:eastAsia="ja-JP"/>
                </w:rPr>
                <w:t xml:space="preserve">measurement </w:t>
              </w:r>
              <w:r w:rsidRPr="003A49EB">
                <w:rPr>
                  <w:rFonts w:eastAsia="Times New Roman"/>
                  <w:lang w:eastAsia="ja-JP"/>
                </w:rPr>
                <w:t xml:space="preserve">between the PCell and neighbouring cell(s) based on ephemeris information in the associated </w:t>
              </w:r>
              <w:r w:rsidRPr="003A49EB">
                <w:rPr>
                  <w:rFonts w:eastAsia="Times New Roman"/>
                  <w:i/>
                  <w:lang w:eastAsia="ja-JP"/>
                </w:rPr>
                <w:t>measObjectNR</w:t>
              </w:r>
              <w:r>
                <w:rPr>
                  <w:rFonts w:eastAsia="Times New Roman"/>
                  <w:lang w:eastAsia="ja-JP"/>
                </w:rPr>
                <w:t>;</w:t>
              </w:r>
            </w:ins>
          </w:p>
          <w:p w14:paraId="14D7EF7B" w14:textId="77777777" w:rsidR="00046888" w:rsidRPr="00FE23F9" w:rsidRDefault="00046888" w:rsidP="00046888">
            <w:pPr>
              <w:rPr>
                <w:rFonts w:eastAsia="Times New Roman"/>
                <w:color w:val="0000FF"/>
                <w:lang w:eastAsia="ja-JP"/>
              </w:rPr>
            </w:pPr>
            <w:r>
              <w:rPr>
                <w:rFonts w:eastAsia="Malgun Gothic"/>
                <w:color w:val="0000FF"/>
                <w:lang w:eastAsia="ko-KR"/>
              </w:rPr>
              <w:t>(Omitted)</w:t>
            </w:r>
          </w:p>
          <w:p w14:paraId="3B0B05A5" w14:textId="77777777" w:rsidR="00046888" w:rsidRDefault="00046888" w:rsidP="00046888">
            <w:pPr>
              <w:rPr>
                <w:rFonts w:eastAsia="Malgun Gothic"/>
                <w:lang w:eastAsia="ko-KR"/>
              </w:rPr>
            </w:pPr>
            <w:r>
              <w:rPr>
                <w:rFonts w:eastAsia="Malgun Gothic" w:hint="eastAsia"/>
                <w:lang w:eastAsia="ko-KR"/>
              </w:rPr>
              <w:t>----------------------------------------------------------------------------------------------------</w:t>
            </w:r>
          </w:p>
          <w:p w14:paraId="30E45B1E" w14:textId="77777777" w:rsidR="00046888" w:rsidRDefault="00046888" w:rsidP="00046888">
            <w:pPr>
              <w:rPr>
                <w:rFonts w:eastAsia="Malgun Gothic"/>
                <w:b/>
                <w:lang w:eastAsia="ko-KR"/>
              </w:rPr>
            </w:pPr>
            <w:r w:rsidRPr="00FE23F9">
              <w:rPr>
                <w:rFonts w:eastAsia="Malgun Gothic" w:hint="eastAsia"/>
                <w:b/>
                <w:lang w:eastAsia="ko-KR"/>
              </w:rPr>
              <w:t xml:space="preserve">In section </w:t>
            </w:r>
            <w:r w:rsidRPr="00FE23F9">
              <w:rPr>
                <w:rFonts w:eastAsia="Malgun Gothic"/>
                <w:b/>
                <w:lang w:eastAsia="ko-KR"/>
              </w:rPr>
              <w:t>5.5.4.1 General</w:t>
            </w:r>
          </w:p>
          <w:p w14:paraId="43884F03" w14:textId="77777777" w:rsidR="00046888" w:rsidRPr="00FE23F9" w:rsidRDefault="00046888" w:rsidP="00046888">
            <w:pPr>
              <w:rPr>
                <w:rFonts w:eastAsia="Malgun Gothic"/>
                <w:b/>
                <w:lang w:eastAsia="ko-KR"/>
              </w:rPr>
            </w:pPr>
            <w:r>
              <w:rPr>
                <w:rFonts w:eastAsia="Malgun Gothic"/>
                <w:color w:val="0000FF"/>
                <w:lang w:eastAsia="ko-KR"/>
              </w:rPr>
              <w:t>(Omitted)</w:t>
            </w:r>
          </w:p>
          <w:p w14:paraId="5F4BFA02" w14:textId="77777777" w:rsidR="00046888" w:rsidRDefault="00046888" w:rsidP="00046888">
            <w:pPr>
              <w:ind w:leftChars="400" w:left="800"/>
              <w:rPr>
                <w:rFonts w:eastAsia="Times New Roman"/>
                <w:lang w:eastAsia="ja-JP"/>
              </w:rPr>
            </w:pPr>
            <w:r w:rsidRPr="002023ED">
              <w:rPr>
                <w:rFonts w:eastAsia="Times New Roman"/>
                <w:lang w:eastAsia="ja-JP"/>
              </w:rPr>
              <w:t>3&gt;</w:t>
            </w:r>
            <w:r w:rsidRPr="002023ED">
              <w:rPr>
                <w:rFonts w:eastAsia="Times New Roman"/>
                <w:lang w:eastAsia="ja-JP"/>
              </w:rPr>
              <w:tab/>
              <w:t xml:space="preserve">consider all Rx-Tx time difference measurement resources included in the corresponding </w:t>
            </w:r>
            <w:r w:rsidRPr="002023ED">
              <w:rPr>
                <w:rFonts w:eastAsia="Times New Roman"/>
                <w:i/>
                <w:lang w:eastAsia="ja-JP"/>
              </w:rPr>
              <w:t>measObject</w:t>
            </w:r>
            <w:r w:rsidRPr="002023ED">
              <w:rPr>
                <w:rFonts w:eastAsia="Times New Roman"/>
                <w:lang w:eastAsia="ja-JP"/>
              </w:rPr>
              <w:t xml:space="preserve"> to be applicable;</w:t>
            </w:r>
          </w:p>
          <w:p w14:paraId="3F021E0E" w14:textId="77777777" w:rsidR="00046888" w:rsidRPr="002023ED" w:rsidRDefault="00046888" w:rsidP="00046888">
            <w:pPr>
              <w:overflowPunct w:val="0"/>
              <w:autoSpaceDE w:val="0"/>
              <w:autoSpaceDN w:val="0"/>
              <w:adjustRightInd w:val="0"/>
              <w:ind w:left="851" w:hanging="284"/>
              <w:textAlignment w:val="baseline"/>
              <w:rPr>
                <w:ins w:id="130" w:author="LGE (Han Cha)" w:date="2022-05-19T01:03:00Z"/>
                <w:rFonts w:eastAsia="Times New Roman"/>
                <w:lang w:eastAsia="ja-JP"/>
              </w:rPr>
            </w:pPr>
            <w:ins w:id="131" w:author="LGE (Han Cha)" w:date="2022-05-19T01:03:00Z">
              <w:r w:rsidRPr="002023ED">
                <w:rPr>
                  <w:rFonts w:eastAsia="Times New Roman"/>
                  <w:lang w:eastAsia="ja-JP"/>
                </w:rPr>
                <w:t>2&gt;</w:t>
              </w:r>
              <w:r w:rsidRPr="002023ED">
                <w:rPr>
                  <w:rFonts w:eastAsia="Times New Roman"/>
                  <w:lang w:eastAsia="ja-JP"/>
                </w:rPr>
                <w:tab/>
                <w:t xml:space="preserve">else if the corresponding </w:t>
              </w:r>
              <w:r w:rsidRPr="002023ED">
                <w:rPr>
                  <w:rFonts w:eastAsia="Times New Roman"/>
                  <w:i/>
                  <w:lang w:eastAsia="ja-JP"/>
                </w:rPr>
                <w:t xml:space="preserve">reportConfig </w:t>
              </w:r>
              <w:r w:rsidRPr="002023ED">
                <w:rPr>
                  <w:rFonts w:eastAsia="Times New Roman"/>
                  <w:lang w:eastAsia="ja-JP"/>
                </w:rPr>
                <w:t xml:space="preserve">includes a </w:t>
              </w:r>
              <w:r w:rsidRPr="002023ED">
                <w:rPr>
                  <w:rFonts w:eastAsia="Times New Roman"/>
                  <w:i/>
                  <w:lang w:eastAsia="ja-JP"/>
                </w:rPr>
                <w:t>reportType</w:t>
              </w:r>
              <w:r w:rsidRPr="002023ED">
                <w:rPr>
                  <w:rFonts w:eastAsia="Times New Roman"/>
                  <w:lang w:eastAsia="ja-JP"/>
                </w:rPr>
                <w:t xml:space="preserve"> set to </w:t>
              </w:r>
              <w:r>
                <w:rPr>
                  <w:rFonts w:eastAsia="Times New Roman"/>
                  <w:i/>
                  <w:iCs/>
                  <w:lang w:eastAsia="ja-JP"/>
                </w:rPr>
                <w:t>reportPropDelay</w:t>
              </w:r>
              <w:r w:rsidRPr="002023ED">
                <w:rPr>
                  <w:rFonts w:eastAsia="Times New Roman"/>
                  <w:lang w:eastAsia="ja-JP"/>
                </w:rPr>
                <w:t>:</w:t>
              </w:r>
            </w:ins>
          </w:p>
          <w:p w14:paraId="554A8761" w14:textId="4F47D1BB" w:rsidR="00046888" w:rsidRDefault="00046888" w:rsidP="00046888">
            <w:pPr>
              <w:ind w:leftChars="400" w:left="800"/>
              <w:rPr>
                <w:rFonts w:eastAsia="Times New Roman"/>
                <w:lang w:eastAsia="ja-JP"/>
              </w:rPr>
            </w:pPr>
            <w:ins w:id="132" w:author="LGE (Han Cha)" w:date="2022-05-19T01:03:00Z">
              <w:r w:rsidRPr="002023ED">
                <w:rPr>
                  <w:rFonts w:eastAsia="Times New Roman"/>
                  <w:lang w:eastAsia="ja-JP"/>
                </w:rPr>
                <w:t>3&gt;</w:t>
              </w:r>
              <w:r w:rsidRPr="002023ED">
                <w:rPr>
                  <w:rFonts w:eastAsia="Times New Roman"/>
                  <w:lang w:eastAsia="ja-JP"/>
                </w:rPr>
                <w:tab/>
                <w:t xml:space="preserve">consider </w:t>
              </w:r>
              <w:r w:rsidRPr="00D12E26">
                <w:rPr>
                  <w:rFonts w:eastAsia="Times New Roman"/>
                  <w:lang w:eastAsia="ja-JP"/>
                </w:rPr>
                <w:t xml:space="preserve">the cell detected on the associated </w:t>
              </w:r>
              <w:r w:rsidRPr="0013544D">
                <w:rPr>
                  <w:rFonts w:eastAsia="Times New Roman"/>
                  <w:i/>
                  <w:lang w:eastAsia="ja-JP"/>
                </w:rPr>
                <w:t>measObject</w:t>
              </w:r>
              <w:r w:rsidRPr="00D12E26">
                <w:rPr>
                  <w:rFonts w:eastAsia="Times New Roman"/>
                  <w:lang w:eastAsia="ja-JP"/>
                </w:rPr>
                <w:t xml:space="preserve"> for which the ephemeris information is provided to be applicable</w:t>
              </w:r>
              <w:r w:rsidRPr="002023ED">
                <w:rPr>
                  <w:rFonts w:eastAsia="Times New Roman"/>
                  <w:lang w:eastAsia="ja-JP"/>
                </w:rPr>
                <w:t>;</w:t>
              </w:r>
            </w:ins>
          </w:p>
          <w:p w14:paraId="27386B3C" w14:textId="77777777" w:rsidR="00046888" w:rsidRDefault="00046888" w:rsidP="00046888">
            <w:pPr>
              <w:rPr>
                <w:rFonts w:eastAsia="Times New Roman"/>
                <w:color w:val="0000FF"/>
                <w:lang w:eastAsia="ja-JP"/>
              </w:rPr>
            </w:pPr>
            <w:r>
              <w:rPr>
                <w:rFonts w:eastAsia="Malgun Gothic"/>
                <w:color w:val="0000FF"/>
                <w:lang w:eastAsia="ko-KR"/>
              </w:rPr>
              <w:t>(Omitted)</w:t>
            </w:r>
          </w:p>
          <w:p w14:paraId="3A769751" w14:textId="77777777" w:rsidR="00046888" w:rsidRDefault="00046888" w:rsidP="00046888">
            <w:pPr>
              <w:ind w:leftChars="500" w:left="1000"/>
              <w:rPr>
                <w:rFonts w:eastAsia="Times New Roman"/>
                <w:lang w:eastAsia="ja-JP"/>
              </w:rPr>
            </w:pPr>
            <w:r w:rsidRPr="002023ED">
              <w:rPr>
                <w:rFonts w:eastAsia="Times New Roman"/>
                <w:lang w:eastAsia="ja-JP"/>
              </w:rPr>
              <w:t>4&gt;</w:t>
            </w:r>
            <w:r w:rsidRPr="002023ED">
              <w:rPr>
                <w:rFonts w:eastAsia="Times New Roman"/>
                <w:lang w:eastAsia="ja-JP"/>
              </w:rPr>
              <w:tab/>
              <w:t>initiate the measurement reporting procedure, as specified in 5.5.5;</w:t>
            </w:r>
          </w:p>
          <w:p w14:paraId="7DEABD65" w14:textId="77777777" w:rsidR="00046888" w:rsidRPr="002023ED" w:rsidRDefault="00046888" w:rsidP="00046888">
            <w:pPr>
              <w:overflowPunct w:val="0"/>
              <w:autoSpaceDE w:val="0"/>
              <w:autoSpaceDN w:val="0"/>
              <w:adjustRightInd w:val="0"/>
              <w:ind w:left="851" w:hanging="284"/>
              <w:textAlignment w:val="baseline"/>
              <w:rPr>
                <w:ins w:id="133" w:author="LGE (Han Cha)" w:date="2022-05-19T01:03:00Z"/>
                <w:rFonts w:eastAsia="Times New Roman"/>
                <w:lang w:eastAsia="ja-JP"/>
              </w:rPr>
            </w:pPr>
            <w:ins w:id="134" w:author="LGE (Han Cha)" w:date="2022-05-19T01:03:00Z">
              <w:r w:rsidRPr="002023ED">
                <w:rPr>
                  <w:rFonts w:eastAsia="Times New Roman"/>
                  <w:lang w:eastAsia="ja-JP"/>
                </w:rPr>
                <w:t>2&gt;</w:t>
              </w:r>
              <w:r w:rsidRPr="002023ED">
                <w:rPr>
                  <w:rFonts w:eastAsia="Times New Roman"/>
                  <w:lang w:eastAsia="ja-JP"/>
                </w:rPr>
                <w:tab/>
                <w:t xml:space="preserve">if the corresponding </w:t>
              </w:r>
              <w:r w:rsidRPr="002023ED">
                <w:rPr>
                  <w:rFonts w:eastAsia="Times New Roman"/>
                  <w:i/>
                  <w:lang w:eastAsia="ja-JP"/>
                </w:rPr>
                <w:t xml:space="preserve">reportConfig </w:t>
              </w:r>
              <w:r w:rsidRPr="002023ED">
                <w:rPr>
                  <w:rFonts w:eastAsia="Times New Roman"/>
                  <w:lang w:eastAsia="ja-JP"/>
                </w:rPr>
                <w:t>includes a</w:t>
              </w:r>
              <w:r w:rsidRPr="002023ED">
                <w:rPr>
                  <w:rFonts w:eastAsia="Times New Roman"/>
                  <w:i/>
                  <w:lang w:eastAsia="ja-JP"/>
                </w:rPr>
                <w:t xml:space="preserve"> reportType</w:t>
              </w:r>
              <w:r w:rsidRPr="002023ED">
                <w:rPr>
                  <w:rFonts w:eastAsia="Times New Roman"/>
                  <w:lang w:eastAsia="ja-JP"/>
                </w:rPr>
                <w:t xml:space="preserve"> is set to </w:t>
              </w:r>
              <w:r w:rsidRPr="002023ED">
                <w:rPr>
                  <w:rFonts w:eastAsia="Times New Roman"/>
                  <w:i/>
                  <w:lang w:eastAsia="ja-JP"/>
                </w:rPr>
                <w:t>report</w:t>
              </w:r>
              <w:r>
                <w:rPr>
                  <w:rFonts w:eastAsia="Times New Roman"/>
                  <w:i/>
                  <w:lang w:eastAsia="ja-JP"/>
                </w:rPr>
                <w:t>PropDelay</w:t>
              </w:r>
              <w:r w:rsidRPr="002023ED">
                <w:rPr>
                  <w:rFonts w:eastAsia="Times New Roman"/>
                  <w:lang w:eastAsia="ja-JP"/>
                </w:rPr>
                <w:t>:</w:t>
              </w:r>
            </w:ins>
          </w:p>
          <w:p w14:paraId="4584638F" w14:textId="3170B890" w:rsidR="00046888" w:rsidRDefault="00046888" w:rsidP="00046888">
            <w:pPr>
              <w:ind w:leftChars="500" w:left="1000"/>
              <w:rPr>
                <w:rFonts w:eastAsia="Times New Roman"/>
                <w:lang w:val="en-US" w:eastAsia="ja-JP"/>
              </w:rPr>
            </w:pPr>
            <w:ins w:id="135" w:author="LGE (Han Cha)" w:date="2022-05-19T01:03:00Z">
              <w:r w:rsidRPr="002023ED">
                <w:rPr>
                  <w:rFonts w:eastAsia="Times New Roman"/>
                  <w:lang w:eastAsia="ja-JP"/>
                </w:rPr>
                <w:t>3&gt;</w:t>
              </w:r>
              <w:r w:rsidRPr="002023ED">
                <w:rPr>
                  <w:rFonts w:eastAsia="Times New Roman"/>
                  <w:lang w:eastAsia="ja-JP"/>
                </w:rPr>
                <w:tab/>
              </w:r>
              <w:r w:rsidRPr="00D55BAD">
                <w:rPr>
                  <w:rFonts w:eastAsia="Times New Roman"/>
                  <w:lang w:eastAsia="ja-JP"/>
                </w:rPr>
                <w:t xml:space="preserve">initiate the measurement reporting procedure, as specified in 5.5.5, immediately after the quantity to be reported becomes available for each requested pair of PCell and </w:t>
              </w:r>
              <w:r>
                <w:rPr>
                  <w:rFonts w:eastAsia="Times New Roman"/>
                  <w:lang w:eastAsia="ja-JP"/>
                </w:rPr>
                <w:t>neighbour cell</w:t>
              </w:r>
              <w:r>
                <w:rPr>
                  <w:rFonts w:eastAsia="Times New Roman"/>
                  <w:lang w:val="en-US" w:eastAsia="ja-JP"/>
                </w:rPr>
                <w:t>;</w:t>
              </w:r>
            </w:ins>
          </w:p>
          <w:p w14:paraId="02EC301B" w14:textId="77777777" w:rsidR="00046888" w:rsidRDefault="00046888" w:rsidP="00046888">
            <w:pPr>
              <w:rPr>
                <w:rFonts w:eastAsia="Times New Roman"/>
                <w:color w:val="0000FF"/>
                <w:lang w:eastAsia="ja-JP"/>
              </w:rPr>
            </w:pPr>
            <w:r>
              <w:rPr>
                <w:rFonts w:eastAsia="Malgun Gothic"/>
                <w:color w:val="0000FF"/>
                <w:lang w:eastAsia="ko-KR"/>
              </w:rPr>
              <w:t>(Omitted)</w:t>
            </w:r>
          </w:p>
          <w:p w14:paraId="39FE3667" w14:textId="77777777" w:rsidR="00046888" w:rsidRDefault="00046888" w:rsidP="00046888">
            <w:pPr>
              <w:rPr>
                <w:rFonts w:eastAsia="Times New Roman"/>
                <w:color w:val="0000FF"/>
                <w:lang w:eastAsia="ja-JP"/>
              </w:rPr>
            </w:pPr>
            <w:r>
              <w:rPr>
                <w:rFonts w:eastAsia="Malgun Gothic" w:hint="eastAsia"/>
                <w:lang w:eastAsia="ko-KR"/>
              </w:rPr>
              <w:t>----------------------------------------------------------------------------------------------------</w:t>
            </w:r>
          </w:p>
          <w:p w14:paraId="6879E8E8" w14:textId="77777777" w:rsidR="00046888" w:rsidRDefault="00046888" w:rsidP="00046888">
            <w:pPr>
              <w:rPr>
                <w:rFonts w:eastAsia="Times New Roman"/>
                <w:b/>
                <w:lang w:eastAsia="ja-JP"/>
              </w:rPr>
            </w:pPr>
            <w:r w:rsidRPr="0013544D">
              <w:rPr>
                <w:rFonts w:eastAsia="Times New Roman"/>
                <w:b/>
                <w:lang w:eastAsia="ja-JP"/>
              </w:rPr>
              <w:t>In section 5.5.5.1 General</w:t>
            </w:r>
          </w:p>
          <w:p w14:paraId="27E8F4CF" w14:textId="77777777" w:rsidR="00046888" w:rsidRDefault="00046888" w:rsidP="00046888">
            <w:pPr>
              <w:rPr>
                <w:rFonts w:eastAsia="Times New Roman"/>
                <w:b/>
                <w:lang w:eastAsia="ja-JP"/>
              </w:rPr>
            </w:pPr>
            <w:r>
              <w:rPr>
                <w:rFonts w:eastAsia="Malgun Gothic"/>
                <w:color w:val="0000FF"/>
                <w:lang w:eastAsia="ko-KR"/>
              </w:rPr>
              <w:t>(Omitted)</w:t>
            </w:r>
          </w:p>
          <w:p w14:paraId="2F046B96" w14:textId="77777777" w:rsidR="00046888" w:rsidRPr="004A193C" w:rsidRDefault="00046888" w:rsidP="00046888">
            <w:pPr>
              <w:overflowPunct w:val="0"/>
              <w:autoSpaceDE w:val="0"/>
              <w:autoSpaceDN w:val="0"/>
              <w:adjustRightInd w:val="0"/>
              <w:ind w:left="1985" w:hanging="284"/>
              <w:textAlignment w:val="baseline"/>
              <w:rPr>
                <w:rFonts w:eastAsia="Times New Roman" w:cs="Arial"/>
                <w:lang w:eastAsia="zh-CN"/>
              </w:rPr>
            </w:pPr>
            <w:r w:rsidRPr="004A193C">
              <w:rPr>
                <w:rFonts w:eastAsia="Times New Roman"/>
                <w:lang w:eastAsia="ja-JP"/>
              </w:rPr>
              <w:t>6&gt;</w:t>
            </w:r>
            <w:r w:rsidRPr="004A193C">
              <w:rPr>
                <w:rFonts w:eastAsia="Times New Roman"/>
                <w:lang w:eastAsia="ja-JP"/>
              </w:rPr>
              <w:tab/>
              <w:t xml:space="preserve">set the </w:t>
            </w:r>
            <w:r w:rsidRPr="004A193C">
              <w:rPr>
                <w:rFonts w:eastAsia="Times New Roman"/>
                <w:i/>
                <w:lang w:eastAsia="ja-JP"/>
              </w:rPr>
              <w:t>measResult</w:t>
            </w:r>
            <w:r w:rsidRPr="004A193C">
              <w:rPr>
                <w:rFonts w:eastAsia="Times New Roman"/>
                <w:lang w:eastAsia="ja-JP"/>
              </w:rPr>
              <w:t xml:space="preserve"> to include the quantity(ies) indicated in the </w:t>
            </w:r>
            <w:r w:rsidRPr="004A193C">
              <w:rPr>
                <w:i/>
                <w:iCs/>
                <w:lang w:eastAsia="ja-JP"/>
              </w:rPr>
              <w:t>reportQuantityRelay</w:t>
            </w:r>
            <w:r w:rsidRPr="004A193C">
              <w:rPr>
                <w:rFonts w:eastAsia="Times New Roman" w:cs="Arial"/>
                <w:lang w:eastAsia="zh-CN"/>
              </w:rPr>
              <w:t xml:space="preserve"> within the concerned </w:t>
            </w:r>
            <w:r w:rsidRPr="004A193C">
              <w:rPr>
                <w:i/>
                <w:iCs/>
                <w:lang w:eastAsia="ja-JP"/>
              </w:rPr>
              <w:t>reportConfigRelay</w:t>
            </w:r>
            <w:r w:rsidRPr="004A193C">
              <w:rPr>
                <w:lang w:eastAsia="ja-JP"/>
              </w:rPr>
              <w:t xml:space="preserve"> </w:t>
            </w:r>
            <w:r w:rsidRPr="004A193C">
              <w:rPr>
                <w:rFonts w:eastAsia="Times New Roman" w:cs="Arial"/>
                <w:lang w:eastAsia="zh-CN"/>
              </w:rPr>
              <w:t xml:space="preserve">in decreasing order of the sorting </w:t>
            </w:r>
            <w:r w:rsidRPr="004A193C">
              <w:rPr>
                <w:rFonts w:eastAsia="Times New Roman"/>
                <w:lang w:eastAsia="ja-JP"/>
              </w:rPr>
              <w:t>quantity, determined as specified in 5.5.5.3</w:t>
            </w:r>
            <w:r w:rsidRPr="004A193C">
              <w:rPr>
                <w:rFonts w:eastAsia="Times New Roman" w:cs="Arial"/>
                <w:lang w:eastAsia="zh-CN"/>
              </w:rPr>
              <w:t>, i.e. the best L2 U2N Relay UE is included first;</w:t>
            </w:r>
          </w:p>
          <w:p w14:paraId="2BE50C30" w14:textId="77777777" w:rsidR="00046888" w:rsidRPr="004A193C" w:rsidRDefault="00046888" w:rsidP="00046888">
            <w:pPr>
              <w:overflowPunct w:val="0"/>
              <w:autoSpaceDE w:val="0"/>
              <w:autoSpaceDN w:val="0"/>
              <w:adjustRightInd w:val="0"/>
              <w:ind w:left="851" w:hanging="284"/>
              <w:textAlignment w:val="baseline"/>
              <w:rPr>
                <w:ins w:id="136" w:author="LGE (Han Cha)" w:date="2022-05-19T01:03:00Z"/>
                <w:rFonts w:eastAsia="Times New Roman"/>
                <w:lang w:eastAsia="ja-JP"/>
              </w:rPr>
            </w:pPr>
            <w:ins w:id="137" w:author="LGE (Han Cha)" w:date="2022-05-19T01:03:00Z">
              <w:r w:rsidRPr="004A193C">
                <w:rPr>
                  <w:rFonts w:eastAsia="Times New Roman"/>
                  <w:lang w:eastAsia="ja-JP"/>
                </w:rPr>
                <w:t>2&gt;</w:t>
              </w:r>
              <w:r w:rsidRPr="004A193C">
                <w:rPr>
                  <w:rFonts w:eastAsia="Times New Roman"/>
                  <w:lang w:eastAsia="ja-JP"/>
                </w:rPr>
                <w:tab/>
              </w:r>
              <w:r>
                <w:rPr>
                  <w:rFonts w:eastAsia="Times New Roman"/>
                  <w:lang w:eastAsia="ja-JP"/>
                </w:rPr>
                <w:t xml:space="preserve">else </w:t>
              </w:r>
              <w:r w:rsidRPr="004A193C">
                <w:rPr>
                  <w:rFonts w:eastAsia="Times New Roman"/>
                  <w:lang w:eastAsia="ja-JP"/>
                </w:rPr>
                <w:t xml:space="preserve">if the </w:t>
              </w:r>
              <w:r w:rsidRPr="004A193C">
                <w:rPr>
                  <w:rFonts w:eastAsia="Times New Roman"/>
                  <w:i/>
                  <w:lang w:eastAsia="ja-JP"/>
                </w:rPr>
                <w:t>reportType</w:t>
              </w:r>
              <w:r w:rsidRPr="004A193C">
                <w:rPr>
                  <w:rFonts w:eastAsia="Times New Roman"/>
                  <w:lang w:eastAsia="ja-JP"/>
                </w:rPr>
                <w:t xml:space="preserve"> is set to </w:t>
              </w:r>
              <w:r>
                <w:rPr>
                  <w:rFonts w:eastAsia="Times New Roman"/>
                  <w:i/>
                  <w:lang w:eastAsia="ja-JP"/>
                </w:rPr>
                <w:t>reportPropDelay</w:t>
              </w:r>
              <w:r w:rsidRPr="004A193C">
                <w:rPr>
                  <w:rFonts w:eastAsia="Times New Roman"/>
                  <w:lang w:eastAsia="ja-JP"/>
                </w:rPr>
                <w:t>:</w:t>
              </w:r>
            </w:ins>
          </w:p>
          <w:p w14:paraId="0D114C88" w14:textId="77777777" w:rsidR="00046888" w:rsidRPr="004A193C" w:rsidRDefault="00046888" w:rsidP="00046888">
            <w:pPr>
              <w:overflowPunct w:val="0"/>
              <w:autoSpaceDE w:val="0"/>
              <w:autoSpaceDN w:val="0"/>
              <w:adjustRightInd w:val="0"/>
              <w:ind w:left="1135" w:hanging="284"/>
              <w:textAlignment w:val="baseline"/>
              <w:rPr>
                <w:ins w:id="138" w:author="LGE (Han Cha)" w:date="2022-05-19T01:03:00Z"/>
                <w:rFonts w:eastAsia="Times New Roman"/>
                <w:lang w:eastAsia="ja-JP"/>
              </w:rPr>
            </w:pPr>
            <w:ins w:id="139" w:author="LGE (Han Cha)" w:date="2022-05-19T01:03:00Z">
              <w:r w:rsidRPr="004A193C">
                <w:rPr>
                  <w:rFonts w:eastAsia="Times New Roman"/>
                  <w:lang w:eastAsia="ja-JP"/>
                </w:rPr>
                <w:t>3&gt;</w:t>
              </w:r>
              <w:r w:rsidRPr="004A193C">
                <w:rPr>
                  <w:rFonts w:eastAsia="Times New Roman"/>
                  <w:lang w:eastAsia="ja-JP"/>
                </w:rPr>
                <w:tab/>
                <w:t xml:space="preserve">for each applicable cell which measurement results are available, include an entry in the </w:t>
              </w:r>
              <w:r w:rsidRPr="004A193C">
                <w:rPr>
                  <w:rFonts w:eastAsia="Times New Roman"/>
                  <w:i/>
                  <w:lang w:eastAsia="ja-JP"/>
                </w:rPr>
                <w:t>measResult</w:t>
              </w:r>
              <w:r>
                <w:rPr>
                  <w:rFonts w:eastAsia="Times New Roman"/>
                  <w:i/>
                  <w:lang w:eastAsia="ja-JP"/>
                </w:rPr>
                <w:t>PropDelay</w:t>
              </w:r>
              <w:r w:rsidRPr="004A193C">
                <w:rPr>
                  <w:rFonts w:eastAsia="Times New Roman"/>
                  <w:i/>
                  <w:lang w:eastAsia="ja-JP"/>
                </w:rPr>
                <w:t xml:space="preserve"> </w:t>
              </w:r>
              <w:r w:rsidRPr="004A193C">
                <w:rPr>
                  <w:rFonts w:eastAsia="Times New Roman"/>
                  <w:lang w:eastAsia="ja-JP"/>
                </w:rPr>
                <w:t>and set the contents as follows:</w:t>
              </w:r>
            </w:ins>
          </w:p>
          <w:p w14:paraId="6BB1AEA2" w14:textId="77777777" w:rsidR="00046888" w:rsidRPr="004A193C" w:rsidRDefault="00046888" w:rsidP="00046888">
            <w:pPr>
              <w:overflowPunct w:val="0"/>
              <w:autoSpaceDE w:val="0"/>
              <w:autoSpaceDN w:val="0"/>
              <w:adjustRightInd w:val="0"/>
              <w:ind w:left="1418" w:hanging="284"/>
              <w:textAlignment w:val="baseline"/>
              <w:rPr>
                <w:ins w:id="140" w:author="LGE (Han Cha)" w:date="2022-05-19T01:03:00Z"/>
                <w:rFonts w:eastAsia="Times New Roman"/>
                <w:lang w:eastAsia="ja-JP"/>
              </w:rPr>
            </w:pPr>
            <w:ins w:id="141" w:author="LGE (Han Cha)" w:date="2022-05-19T01:03:00Z">
              <w:r w:rsidRPr="004A193C">
                <w:rPr>
                  <w:rFonts w:eastAsia="Times New Roman"/>
                  <w:lang w:eastAsia="ja-JP"/>
                </w:rPr>
                <w:t>4&gt;</w:t>
              </w:r>
              <w:r w:rsidRPr="004A193C">
                <w:rPr>
                  <w:rFonts w:eastAsia="Times New Roman"/>
                  <w:lang w:eastAsia="ja-JP"/>
                </w:rPr>
                <w:tab/>
                <w:t xml:space="preserve">set </w:t>
              </w:r>
              <w:r w:rsidRPr="004A193C">
                <w:rPr>
                  <w:rFonts w:eastAsia="Times New Roman"/>
                  <w:i/>
                  <w:lang w:eastAsia="ja-JP"/>
                </w:rPr>
                <w:t>physCellId</w:t>
              </w:r>
              <w:r w:rsidRPr="004A193C">
                <w:rPr>
                  <w:rFonts w:eastAsia="Times New Roman"/>
                  <w:lang w:eastAsia="ja-JP"/>
                </w:rPr>
                <w:t xml:space="preserve"> to the physical cell identity of the concerned NR neighbour cell.</w:t>
              </w:r>
            </w:ins>
          </w:p>
          <w:p w14:paraId="0F54FD5F" w14:textId="1A8563A8" w:rsidR="00046888" w:rsidRPr="00B56452" w:rsidRDefault="00046888" w:rsidP="00046888">
            <w:pPr>
              <w:overflowPunct w:val="0"/>
              <w:autoSpaceDE w:val="0"/>
              <w:autoSpaceDN w:val="0"/>
              <w:adjustRightInd w:val="0"/>
              <w:ind w:left="1418" w:hanging="284"/>
              <w:textAlignment w:val="baseline"/>
              <w:rPr>
                <w:rFonts w:eastAsia="MS Mincho"/>
                <w:lang w:eastAsia="ja-JP"/>
              </w:rPr>
            </w:pPr>
            <w:ins w:id="142" w:author="LGE (Han Cha)" w:date="2022-05-19T01:03:00Z">
              <w:r w:rsidRPr="004A193C">
                <w:rPr>
                  <w:rFonts w:eastAsia="Times New Roman"/>
                  <w:lang w:eastAsia="ja-JP"/>
                </w:rPr>
                <w:t>4&gt;</w:t>
              </w:r>
              <w:r w:rsidRPr="004A193C">
                <w:rPr>
                  <w:rFonts w:eastAsia="Times New Roman"/>
                  <w:lang w:eastAsia="ja-JP"/>
                </w:rPr>
                <w:tab/>
                <w:t xml:space="preserve">set </w:t>
              </w:r>
              <w:r w:rsidRPr="00AE3458">
                <w:rPr>
                  <w:rFonts w:eastAsia="Times New Roman"/>
                  <w:i/>
                  <w:lang w:eastAsia="ja-JP"/>
                </w:rPr>
                <w:t>PropDelayDifferenceResult</w:t>
              </w:r>
              <w:r w:rsidRPr="004A193C">
                <w:rPr>
                  <w:rFonts w:eastAsia="Times New Roman"/>
                  <w:lang w:eastAsia="ja-JP"/>
                </w:rPr>
                <w:t xml:space="preserve"> to the measurement results provided by lower layers;</w:t>
              </w:r>
            </w:ins>
          </w:p>
          <w:p w14:paraId="4A88CF8C" w14:textId="77777777" w:rsidR="00046888" w:rsidRPr="00B56452" w:rsidRDefault="00046888" w:rsidP="00046888">
            <w:pPr>
              <w:rPr>
                <w:rFonts w:eastAsia="Malgun Gothic"/>
                <w:color w:val="0000FF"/>
                <w:lang w:eastAsia="ko-KR"/>
              </w:rPr>
            </w:pPr>
            <w:r>
              <w:rPr>
                <w:rFonts w:eastAsia="Malgun Gothic"/>
                <w:color w:val="0000FF"/>
                <w:lang w:eastAsia="ko-KR"/>
              </w:rPr>
              <w:t>(Omitted)</w:t>
            </w:r>
          </w:p>
          <w:p w14:paraId="7D8F03E0" w14:textId="77777777" w:rsidR="00046888" w:rsidRDefault="00046888" w:rsidP="00046888">
            <w:pPr>
              <w:rPr>
                <w:rFonts w:eastAsia="Malgun Gothic"/>
                <w:lang w:eastAsia="ko-KR"/>
              </w:rPr>
            </w:pPr>
            <w:r>
              <w:rPr>
                <w:rFonts w:eastAsia="Malgun Gothic" w:hint="eastAsia"/>
                <w:lang w:eastAsia="ko-KR"/>
              </w:rPr>
              <w:lastRenderedPageBreak/>
              <w:t>----------------------------------------------------------------------------------------------------</w:t>
            </w:r>
          </w:p>
          <w:p w14:paraId="7294964B" w14:textId="77777777" w:rsidR="00046888" w:rsidRDefault="00046888" w:rsidP="00046888">
            <w:pPr>
              <w:rPr>
                <w:rFonts w:eastAsia="MS Mincho"/>
                <w:b/>
                <w:lang w:eastAsia="ja-JP"/>
              </w:rPr>
            </w:pPr>
            <w:r w:rsidRPr="0013544D">
              <w:rPr>
                <w:rFonts w:eastAsia="MS Mincho"/>
                <w:b/>
                <w:lang w:eastAsia="ja-JP"/>
              </w:rPr>
              <w:t>In section 6.3.</w:t>
            </w:r>
            <w:r>
              <w:rPr>
                <w:rFonts w:eastAsia="MS Mincho"/>
                <w:b/>
                <w:lang w:eastAsia="ja-JP"/>
              </w:rPr>
              <w:t>2</w:t>
            </w:r>
            <w:r w:rsidRPr="0013544D">
              <w:rPr>
                <w:rFonts w:eastAsia="MS Mincho"/>
                <w:b/>
                <w:lang w:eastAsia="ja-JP"/>
              </w:rPr>
              <w:t xml:space="preserve">. </w:t>
            </w:r>
            <w:r>
              <w:rPr>
                <w:rFonts w:eastAsia="MS Mincho"/>
                <w:b/>
                <w:lang w:eastAsia="ja-JP"/>
              </w:rPr>
              <w:t>Radio resource control</w:t>
            </w:r>
            <w:r w:rsidRPr="0013544D">
              <w:rPr>
                <w:rFonts w:eastAsia="MS Mincho"/>
                <w:b/>
                <w:lang w:eastAsia="ja-JP"/>
              </w:rPr>
              <w:t xml:space="preserve"> information elements</w:t>
            </w:r>
          </w:p>
          <w:p w14:paraId="4956A711" w14:textId="77777777" w:rsidR="00046888" w:rsidRPr="00C23DAC" w:rsidRDefault="00046888" w:rsidP="00046888">
            <w:pPr>
              <w:keepNext/>
              <w:keepLines/>
              <w:overflowPunct w:val="0"/>
              <w:autoSpaceDE w:val="0"/>
              <w:autoSpaceDN w:val="0"/>
              <w:adjustRightInd w:val="0"/>
              <w:spacing w:before="120"/>
              <w:ind w:left="1418"/>
              <w:textAlignment w:val="baseline"/>
              <w:outlineLvl w:val="3"/>
              <w:rPr>
                <w:rFonts w:ascii="Arial" w:eastAsia="Times New Roman" w:hAnsi="Arial"/>
                <w:i/>
                <w:iCs/>
                <w:sz w:val="24"/>
                <w:lang w:eastAsia="ja-JP"/>
              </w:rPr>
            </w:pPr>
            <w:bookmarkStart w:id="143" w:name="_Toc60777261"/>
            <w:bookmarkStart w:id="144" w:name="_Toc100930160"/>
            <w:r w:rsidRPr="00C23DAC">
              <w:rPr>
                <w:rFonts w:ascii="Arial" w:eastAsia="Times New Roman" w:hAnsi="Arial"/>
                <w:i/>
                <w:iCs/>
                <w:sz w:val="24"/>
                <w:lang w:eastAsia="ja-JP"/>
              </w:rPr>
              <w:t>–</w:t>
            </w:r>
            <w:r w:rsidRPr="00C23DAC">
              <w:rPr>
                <w:rFonts w:ascii="Arial" w:eastAsia="Times New Roman" w:hAnsi="Arial"/>
                <w:i/>
                <w:iCs/>
                <w:sz w:val="24"/>
                <w:lang w:eastAsia="ja-JP"/>
              </w:rPr>
              <w:tab/>
              <w:t>MeasObjectNR</w:t>
            </w:r>
            <w:bookmarkEnd w:id="143"/>
            <w:bookmarkEnd w:id="144"/>
          </w:p>
          <w:p w14:paraId="1C541FB4" w14:textId="77777777" w:rsidR="00046888" w:rsidRPr="00C23DAC" w:rsidRDefault="00046888" w:rsidP="00046888">
            <w:pPr>
              <w:overflowPunct w:val="0"/>
              <w:autoSpaceDE w:val="0"/>
              <w:autoSpaceDN w:val="0"/>
              <w:adjustRightInd w:val="0"/>
              <w:textAlignment w:val="baseline"/>
              <w:rPr>
                <w:rFonts w:eastAsia="Times New Roman"/>
                <w:lang w:eastAsia="ja-JP"/>
              </w:rPr>
            </w:pPr>
            <w:r w:rsidRPr="00C23DAC">
              <w:rPr>
                <w:rFonts w:eastAsia="Times New Roman"/>
                <w:lang w:eastAsia="ja-JP"/>
              </w:rPr>
              <w:t xml:space="preserve">The IE </w:t>
            </w:r>
            <w:r w:rsidRPr="00C23DAC">
              <w:rPr>
                <w:rFonts w:eastAsia="Times New Roman"/>
                <w:i/>
                <w:lang w:eastAsia="ja-JP"/>
              </w:rPr>
              <w:t>MeasObjectNR</w:t>
            </w:r>
            <w:r w:rsidRPr="00C23DAC">
              <w:rPr>
                <w:rFonts w:eastAsia="Times New Roman"/>
                <w:lang w:eastAsia="ja-JP"/>
              </w:rPr>
              <w:t xml:space="preserve"> specifies information applicable for SS/PBCH block(s) intra/inter-frequency measurements and/or CSI-RS intra/inter-frequency measurements.</w:t>
            </w:r>
          </w:p>
          <w:p w14:paraId="6250FEC6" w14:textId="77777777" w:rsidR="00046888" w:rsidRPr="00C23DAC" w:rsidRDefault="00046888" w:rsidP="0004688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3DAC">
              <w:rPr>
                <w:rFonts w:ascii="Arial" w:eastAsia="Times New Roman" w:hAnsi="Arial"/>
                <w:b/>
                <w:i/>
                <w:lang w:eastAsia="ja-JP"/>
              </w:rPr>
              <w:t>MeasObjectNR</w:t>
            </w:r>
            <w:r w:rsidRPr="00C23DAC">
              <w:rPr>
                <w:rFonts w:ascii="Arial" w:eastAsia="Times New Roman" w:hAnsi="Arial"/>
                <w:b/>
                <w:lang w:eastAsia="ja-JP"/>
              </w:rPr>
              <w:t xml:space="preserve"> information element</w:t>
            </w:r>
          </w:p>
          <w:p w14:paraId="584AEF9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ASN1START</w:t>
            </w:r>
          </w:p>
          <w:p w14:paraId="4DD6186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TAG-MEASOBJECTNR-START</w:t>
            </w:r>
          </w:p>
          <w:p w14:paraId="2973B34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B1DF5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MeasObjectNR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00D30FE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ssbFrequency                        ARFCN-ValueNR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3C1633A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ssbSubcarrierSpacing                SubcarrierSpacing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3AC8C85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smtc1                               SSB-MTC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43B99C4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smtc2                               SSB-MTC2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IntraFreqConnected</w:t>
            </w:r>
          </w:p>
          <w:p w14:paraId="42AD02E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refFreqCSI-RS                       ARFCN-ValueNR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CSI-RS</w:t>
            </w:r>
          </w:p>
          <w:p w14:paraId="0254E06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referenceSignalConfig               ReferenceSignalConfig,</w:t>
            </w:r>
          </w:p>
          <w:p w14:paraId="0D30FD9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absThreshSS-BlocksConsolidation     ThresholdNR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2B7DA2F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absThreshCSI-RS-Consolidation       ThresholdNR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0DE09F2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nrofSS-BlocksToAverage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 (2..maxNrofSS-BlocksToAverage)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7D4775A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nrofCSI-RS-ResourcesToAverage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 (2..maxNrofCSI-RS-ResourcesToAverage)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397A346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quantityConfigIndex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 (1..maxNrofQuantityConfig),</w:t>
            </w:r>
          </w:p>
          <w:p w14:paraId="2038CDF3"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offsetMO                            Q-OffsetRangeList,</w:t>
            </w:r>
          </w:p>
          <w:p w14:paraId="3E41B32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cellsToRemoveList                   PCI-List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7982AAC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cellsToAddModList                   CellsToAddModList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24DE2BF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excludedCellsToRemoveList           PCI-RangeIndexList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7A49B23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excludedCellsToAddModList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(1..maxNrofPCI-Ranges))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PCI-RangeElement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7846E21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allowedCellsToRemoveList            PCI-RangeIndexList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525D4F5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allowedCellsToAddModList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(1..maxNrofPCI-Ranges))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PCI-RangeElement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60BACB72"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791BCFB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AFDAB7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freqBandIndicatorNR                 FreqBandIndicatorNR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30A8401D"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measCycleSCell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{sf160, sf256, sf320, sf512, sf640, sf1024, sf1280}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41B0556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24C8309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2EFD269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smtc3list-r16                       SSB-MTC3List-r16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40BD390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rmtc-Config-r16                     SetupRelease {RMTC-Config-r16}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3640BB4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t312-r16                            SetupRelease { T312-r16 }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6C5D331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4E7DB7D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4802C63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associatedMeasGapSSB-r17            MeasGapId-r17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2D7A0EC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associatedMeasGapCSIRS-r17          MeasGapId-r17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3E95E55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smtc4List-r17                       SSB-MTC4List-r17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178C673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lastRenderedPageBreak/>
              <w:t xml:space="preserve">    measCyclePSCell-r17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{ffs}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 FFS</w:t>
            </w:r>
          </w:p>
          <w:p w14:paraId="00617C2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6E5D59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2A3EE1E3"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C8AE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SSB-MTC3List-r16::=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(1..4))</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SSB-MTC3-r16</w:t>
            </w:r>
          </w:p>
          <w:p w14:paraId="64194D5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B87D1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SSB-MTC4List-r17::=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(1..4))</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SSB-MTC4-r17</w:t>
            </w:r>
          </w:p>
          <w:p w14:paraId="75A297B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33D9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T312-r16 ::=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 ms0, ms50, ms100, ms200, ms300, ms400, ms500, ms1000}</w:t>
            </w:r>
          </w:p>
          <w:p w14:paraId="067DC7B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3311D"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ReferenceSignalConfig::=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525FEE8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ssb-ConfigMobility                  SSB-ConfigMobility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454E14A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csi-rs-ResourceConfigMobility       SetupRelease { CSI-RS-ResourceConfigMobility }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5F7ADDD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079DBAD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6220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SSB-ConfigMobility::=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712512E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ssb-ToMeasure                       SetupRelease { SSB-ToMeasure }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365415D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deriveSSB-IndexFromCell             </w:t>
            </w:r>
            <w:r w:rsidRPr="00C23DAC">
              <w:rPr>
                <w:rFonts w:ascii="Courier New" w:eastAsia="Times New Roman" w:hAnsi="Courier New"/>
                <w:noProof/>
                <w:color w:val="993366"/>
                <w:sz w:val="16"/>
                <w:lang w:eastAsia="en-GB"/>
              </w:rPr>
              <w:t>BOOLEAN</w:t>
            </w:r>
            <w:r w:rsidRPr="00C23DAC">
              <w:rPr>
                <w:rFonts w:ascii="Courier New" w:eastAsia="Times New Roman" w:hAnsi="Courier New"/>
                <w:noProof/>
                <w:sz w:val="16"/>
                <w:lang w:eastAsia="en-GB"/>
              </w:rPr>
              <w:t>,</w:t>
            </w:r>
          </w:p>
          <w:p w14:paraId="52D7C49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ss-RSSI-Measurement                 SS-RSSI-Measurement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3A9D674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43904F9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1249EED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ssb-PositionQCL-Common-r16              SSB-PositionQCL-Relation-r16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SharedSpectrum</w:t>
            </w:r>
          </w:p>
          <w:p w14:paraId="395C23D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ssb-PositionQCL-CellsToAddModList-r16   SSB-PositionQCL-CellsToAddModList-r16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1ED7CD5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ssb-PositionQCL-CellsToRemoveList-r16   PCI-List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57EE55F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6D64646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F6DB44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deriveSSB-IndexFromCellInter-r17    ServCellIndex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6EAA5D1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18C3006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0BF2FB0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541A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Q-OffsetRangeList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1004F5D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rsrpOffsetSSB                       Q-OffsetRange               DEFAULT dB0,</w:t>
            </w:r>
          </w:p>
          <w:p w14:paraId="2958263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rsrqOffsetSSB                       Q-OffsetRange               DEFAULT dB0,</w:t>
            </w:r>
          </w:p>
          <w:p w14:paraId="35BE5E5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sinrOffsetSSB                       Q-OffsetRange               DEFAULT dB0,</w:t>
            </w:r>
          </w:p>
          <w:p w14:paraId="633664C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rsrpOffsetCSI-RS                    Q-OffsetRange               DEFAULT dB0,</w:t>
            </w:r>
          </w:p>
          <w:p w14:paraId="38C52E7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rsrqOffsetCSI-RS                    Q-OffsetRange               DEFAULT dB0,</w:t>
            </w:r>
          </w:p>
          <w:p w14:paraId="7F935A1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sinrOffsetCSI-RS                    Q-OffsetRange               DEFAULT dB0</w:t>
            </w:r>
          </w:p>
          <w:p w14:paraId="52F4620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046069A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1E25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15FA8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ThresholdNR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w:t>
            </w:r>
          </w:p>
          <w:p w14:paraId="1439DB3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thresholdRSRP                       RSRP-Range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0A9C0F0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thresholdRSRQ                       RSRQ-Range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1FF9A81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thresholdSINR                       SINR-Range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47B27E6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25A89AF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DA77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CellsToAddModList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(1..maxNrofCellMeas))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CellsToAddMod</w:t>
            </w:r>
          </w:p>
          <w:p w14:paraId="4E1F0AE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050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CellsToAddMod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3AB6BCF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physCellId                          PhysCellId,</w:t>
            </w:r>
          </w:p>
          <w:p w14:paraId="0F7C6C7C" w14:textId="77777777"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cellIndividualOffset                Q-OffsetRangeList</w:t>
            </w:r>
          </w:p>
          <w:p w14:paraId="335A8439" w14:textId="433AEDD8"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5" w:author="LGE (Han Cha)" w:date="2022-05-19T01:04:00Z">
              <w:r>
                <w:rPr>
                  <w:rFonts w:ascii="Courier New" w:eastAsia="Times New Roman" w:hAnsi="Courier New"/>
                  <w:noProof/>
                  <w:sz w:val="16"/>
                  <w:lang w:eastAsia="en-GB"/>
                </w:rPr>
                <w:lastRenderedPageBreak/>
                <w:t xml:space="preserve">    </w:t>
              </w:r>
              <w:r w:rsidRPr="0013544D">
                <w:rPr>
                  <w:rFonts w:ascii="Courier New" w:eastAsia="Times New Roman" w:hAnsi="Courier New"/>
                  <w:noProof/>
                  <w:sz w:val="16"/>
                  <w:lang w:eastAsia="en-GB"/>
                </w:rPr>
                <w:t>ephemerisInfo-r17                   EphemerisInfo-r17                                               OPTIONAL    -- Need R</w:t>
              </w:r>
            </w:ins>
          </w:p>
          <w:p w14:paraId="328F5AD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409DE08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BB416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RMTC-Config-r16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41C90C9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rmtc-Periodicity-r16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{ms40, ms80, ms160, ms320, ms640},</w:t>
            </w:r>
          </w:p>
          <w:p w14:paraId="58F6016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rmtc-SubframeOffset-r16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(0..639)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70A1D8B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measDurationSymbols-r16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{sym1, sym14or12, sym28or24, sym42or36, sym70or60},</w:t>
            </w:r>
          </w:p>
          <w:p w14:paraId="0C03B2B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rmtc-Frequency-r16                  ARFCN-ValueNR,</w:t>
            </w:r>
          </w:p>
          <w:p w14:paraId="04EB9583"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ref-SCS-CP-r16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{kHz15, kHz30, kHz60-NCP, kHz60-ECP},</w:t>
            </w:r>
          </w:p>
          <w:p w14:paraId="5CD3683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55173C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10D3477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rmtc-Bandwidth-r17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{mhz100, mhz400, mhz800, mhz1600, mhz2000}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1468DC6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measDurationSymbols-v1700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{sym140, sym560, sym1120}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15DCE65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ref-SCS-CP-v1700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{kHz120, kHz480, kHz960}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567C650D"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7D3D835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3BE4250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4C9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SSB-PositionQCL-CellsToAddModList-r16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(1..maxNrofCellMeas))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SSB-PositionQCL-CellsToAddMod-r16</w:t>
            </w:r>
          </w:p>
          <w:p w14:paraId="0E202EE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B3F29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SSB-PositionQCL-CellsToAddMod-r16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296D635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physCellId-r16                        PhysCellId,</w:t>
            </w:r>
          </w:p>
          <w:p w14:paraId="6487EE9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ssb-PositionQCL-r16                   SSB-PositionQCL-Relation-r16</w:t>
            </w:r>
          </w:p>
          <w:p w14:paraId="4DD8303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79BE1A92"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E518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TAG-MEASOBJECTNR-STOP</w:t>
            </w:r>
          </w:p>
          <w:p w14:paraId="795A262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ASN1STOP</w:t>
            </w:r>
          </w:p>
          <w:p w14:paraId="12772B12" w14:textId="77777777" w:rsidR="00046888" w:rsidRDefault="00046888" w:rsidP="00046888">
            <w:pPr>
              <w:rPr>
                <w:rFonts w:eastAsia="Malgun Gothic"/>
                <w:color w:val="0000FF"/>
                <w:lang w:eastAsia="ko-KR"/>
              </w:rPr>
            </w:pPr>
          </w:p>
          <w:p w14:paraId="00BC174D" w14:textId="77777777" w:rsidR="00046888" w:rsidRDefault="00046888" w:rsidP="00046888">
            <w:pPr>
              <w:rPr>
                <w:rFonts w:eastAsia="Malgun Gothic"/>
                <w:color w:val="0000FF"/>
                <w:lang w:eastAsia="ko-KR"/>
              </w:rPr>
            </w:pPr>
            <w:r>
              <w:rPr>
                <w:rFonts w:eastAsia="Malgun Gothic"/>
                <w:color w:val="0000FF"/>
                <w:lang w:eastAsia="ko-KR"/>
              </w:rPr>
              <w:t>(Omitted)</w:t>
            </w:r>
          </w:p>
          <w:p w14:paraId="4AD69C92" w14:textId="77777777" w:rsidR="00046888" w:rsidRDefault="00046888" w:rsidP="00046888">
            <w:pPr>
              <w:rPr>
                <w:rFonts w:eastAsia="Malgun Gothic"/>
                <w:color w:val="0000FF"/>
                <w:lang w:eastAsia="ko-KR"/>
              </w:rPr>
            </w:pPr>
          </w:p>
          <w:p w14:paraId="648BF5D0" w14:textId="6B92DF7D" w:rsidR="002C373B" w:rsidRDefault="002C373B" w:rsidP="002C373B">
            <w:pPr>
              <w:rPr>
                <w:ins w:id="146" w:author="LGE (Han Cha)" w:date="2022-05-19T01:05:00Z"/>
                <w:rFonts w:ascii="Arial" w:eastAsia="Times New Roman" w:hAnsi="Arial"/>
                <w:i/>
                <w:sz w:val="24"/>
                <w:lang w:eastAsia="ja-JP"/>
              </w:rPr>
            </w:pPr>
            <w:ins w:id="147" w:author="LGE (Han Cha)" w:date="2022-05-19T01:05:00Z">
              <w:r w:rsidRPr="006D1B3D">
                <w:rPr>
                  <w:rFonts w:ascii="Arial" w:eastAsia="Times New Roman" w:hAnsi="Arial"/>
                  <w:i/>
                  <w:sz w:val="24"/>
                  <w:lang w:eastAsia="ja-JP"/>
                </w:rPr>
                <w:t>–</w:t>
              </w:r>
              <w:r w:rsidRPr="006D1B3D">
                <w:rPr>
                  <w:rFonts w:ascii="Arial" w:eastAsia="Times New Roman" w:hAnsi="Arial"/>
                  <w:i/>
                  <w:sz w:val="24"/>
                  <w:lang w:eastAsia="ja-JP"/>
                </w:rPr>
                <w:tab/>
              </w:r>
              <w:r>
                <w:rPr>
                  <w:rFonts w:ascii="Arial" w:eastAsia="Times New Roman" w:hAnsi="Arial"/>
                  <w:i/>
                  <w:sz w:val="24"/>
                  <w:lang w:eastAsia="ja-JP"/>
                </w:rPr>
                <w:tab/>
              </w:r>
              <w:r>
                <w:rPr>
                  <w:rFonts w:ascii="Arial" w:eastAsia="Times New Roman" w:hAnsi="Arial"/>
                  <w:i/>
                  <w:sz w:val="24"/>
                  <w:lang w:eastAsia="ja-JP"/>
                </w:rPr>
                <w:tab/>
              </w:r>
              <w:r>
                <w:rPr>
                  <w:rFonts w:ascii="Arial" w:eastAsia="Times New Roman" w:hAnsi="Arial"/>
                  <w:i/>
                  <w:sz w:val="24"/>
                  <w:lang w:eastAsia="ja-JP"/>
                </w:rPr>
                <w:tab/>
              </w:r>
              <w:r w:rsidRPr="006D1B3D">
                <w:rPr>
                  <w:rFonts w:ascii="Arial" w:eastAsia="Times New Roman" w:hAnsi="Arial"/>
                  <w:i/>
                  <w:sz w:val="24"/>
                  <w:lang w:eastAsia="ja-JP"/>
                </w:rPr>
                <w:t>MeasResult</w:t>
              </w:r>
            </w:ins>
            <w:r>
              <w:rPr>
                <w:rFonts w:ascii="Arial" w:eastAsia="Times New Roman" w:hAnsi="Arial"/>
                <w:i/>
                <w:sz w:val="24"/>
                <w:lang w:eastAsia="ja-JP"/>
              </w:rPr>
              <w:t>CellList</w:t>
            </w:r>
            <w:ins w:id="148" w:author="LGE (Han Cha)" w:date="2022-05-19T01:05:00Z">
              <w:r w:rsidRPr="0013544D">
                <w:rPr>
                  <w:rFonts w:ascii="Arial" w:eastAsia="Times New Roman" w:hAnsi="Arial"/>
                  <w:i/>
                  <w:sz w:val="24"/>
                  <w:lang w:eastAsia="ja-JP"/>
                </w:rPr>
                <w:t>tPropDelay</w:t>
              </w:r>
            </w:ins>
          </w:p>
          <w:p w14:paraId="68622BF0" w14:textId="263BDBD2" w:rsidR="002C373B" w:rsidRPr="006D1B3D" w:rsidRDefault="002C373B" w:rsidP="002C373B">
            <w:pPr>
              <w:overflowPunct w:val="0"/>
              <w:autoSpaceDE w:val="0"/>
              <w:autoSpaceDN w:val="0"/>
              <w:adjustRightInd w:val="0"/>
              <w:textAlignment w:val="baseline"/>
              <w:rPr>
                <w:ins w:id="149" w:author="LGE (Han Cha)" w:date="2022-05-19T01:05:00Z"/>
                <w:rFonts w:eastAsia="Times New Roman"/>
                <w:lang w:eastAsia="ja-JP"/>
              </w:rPr>
            </w:pPr>
            <w:ins w:id="150" w:author="LGE (Han Cha)" w:date="2022-05-19T01:05:00Z">
              <w:r w:rsidRPr="00740BCD">
                <w:t xml:space="preserve">The IE </w:t>
              </w:r>
              <w:r w:rsidRPr="00740BCD">
                <w:rPr>
                  <w:i/>
                  <w:iCs/>
                </w:rPr>
                <w:t>MeasResult</w:t>
              </w:r>
            </w:ins>
            <w:r>
              <w:rPr>
                <w:i/>
                <w:iCs/>
              </w:rPr>
              <w:t>CellList</w:t>
            </w:r>
            <w:ins w:id="151" w:author="LGE (Han Cha)" w:date="2022-05-19T01:05:00Z">
              <w:r>
                <w:rPr>
                  <w:i/>
                </w:rPr>
                <w:t>PropDelay</w:t>
              </w:r>
              <w:r w:rsidRPr="00740BCD">
                <w:t xml:space="preserve"> con</w:t>
              </w:r>
              <w:r>
                <w:t>tins</w:t>
              </w:r>
              <w:r w:rsidRPr="00740BCD">
                <w:t xml:space="preserve"> </w:t>
              </w:r>
              <w:r>
                <w:t>propagation delay</w:t>
              </w:r>
              <w:r w:rsidRPr="00740BCD">
                <w:t xml:space="preserve"> difference between the PCell and </w:t>
              </w:r>
              <w:r>
                <w:t>neighbour</w:t>
              </w:r>
              <w:r w:rsidRPr="00740BCD">
                <w:t xml:space="preserve"> cell</w:t>
              </w:r>
              <w:r>
                <w:t>(s)</w:t>
              </w:r>
              <w:r w:rsidRPr="006D1B3D">
                <w:rPr>
                  <w:rFonts w:eastAsia="Times New Roman"/>
                  <w:lang w:eastAsia="ja-JP"/>
                </w:rPr>
                <w:t>.</w:t>
              </w:r>
            </w:ins>
          </w:p>
          <w:p w14:paraId="193C8E4D" w14:textId="5639A5F8" w:rsidR="002C373B" w:rsidRPr="006D1B3D" w:rsidRDefault="002C373B" w:rsidP="002C373B">
            <w:pPr>
              <w:keepNext/>
              <w:keepLines/>
              <w:overflowPunct w:val="0"/>
              <w:autoSpaceDE w:val="0"/>
              <w:autoSpaceDN w:val="0"/>
              <w:adjustRightInd w:val="0"/>
              <w:spacing w:before="60"/>
              <w:jc w:val="center"/>
              <w:textAlignment w:val="baseline"/>
              <w:rPr>
                <w:ins w:id="152" w:author="LGE (Han Cha)" w:date="2022-05-19T01:05:00Z"/>
                <w:rFonts w:ascii="Arial" w:eastAsia="Times New Roman" w:hAnsi="Arial"/>
                <w:b/>
                <w:lang w:eastAsia="ja-JP"/>
              </w:rPr>
            </w:pPr>
            <w:ins w:id="153" w:author="LGE (Han Cha)" w:date="2022-05-19T01:05:00Z">
              <w:r w:rsidRPr="006D1B3D">
                <w:rPr>
                  <w:rFonts w:ascii="Arial" w:eastAsia="Times New Roman" w:hAnsi="Arial"/>
                  <w:b/>
                  <w:i/>
                  <w:iCs/>
                  <w:lang w:eastAsia="ja-JP"/>
                </w:rPr>
                <w:t>MeasResult</w:t>
              </w:r>
            </w:ins>
            <w:r>
              <w:rPr>
                <w:rFonts w:ascii="Arial" w:eastAsia="Times New Roman" w:hAnsi="Arial"/>
                <w:b/>
                <w:i/>
                <w:iCs/>
                <w:lang w:eastAsia="ja-JP"/>
              </w:rPr>
              <w:t>CellListPropDelay</w:t>
            </w:r>
            <w:ins w:id="154" w:author="LGE (Han Cha)" w:date="2022-05-19T01:05:00Z">
              <w:r w:rsidRPr="006D1B3D">
                <w:rPr>
                  <w:rFonts w:ascii="Arial" w:eastAsia="Times New Roman" w:hAnsi="Arial"/>
                  <w:b/>
                  <w:iCs/>
                  <w:lang w:eastAsia="ja-JP"/>
                </w:rPr>
                <w:t xml:space="preserve"> </w:t>
              </w:r>
              <w:r w:rsidRPr="006D1B3D">
                <w:rPr>
                  <w:rFonts w:ascii="Arial" w:eastAsia="Times New Roman" w:hAnsi="Arial"/>
                  <w:b/>
                  <w:lang w:eastAsia="ja-JP"/>
                </w:rPr>
                <w:t>information element</w:t>
              </w:r>
            </w:ins>
          </w:p>
          <w:p w14:paraId="432BD9F8"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LGE (Han Cha)" w:date="2022-05-19T01:05:00Z"/>
                <w:rFonts w:ascii="Courier New" w:eastAsia="Times New Roman" w:hAnsi="Courier New"/>
                <w:noProof/>
                <w:color w:val="808080"/>
                <w:sz w:val="16"/>
                <w:lang w:eastAsia="en-GB"/>
              </w:rPr>
            </w:pPr>
            <w:ins w:id="156" w:author="LGE (Han Cha)" w:date="2022-05-19T01:05:00Z">
              <w:r w:rsidRPr="006D1B3D">
                <w:rPr>
                  <w:rFonts w:ascii="Courier New" w:eastAsia="Times New Roman" w:hAnsi="Courier New"/>
                  <w:noProof/>
                  <w:color w:val="808080"/>
                  <w:sz w:val="16"/>
                  <w:lang w:eastAsia="en-GB"/>
                </w:rPr>
                <w:t>-- ASN1START</w:t>
              </w:r>
            </w:ins>
          </w:p>
          <w:p w14:paraId="0455C934"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LGE (Han Cha)" w:date="2022-05-19T01:05:00Z"/>
                <w:rFonts w:ascii="Courier New" w:eastAsia="Times New Roman" w:hAnsi="Courier New"/>
                <w:noProof/>
                <w:color w:val="808080"/>
                <w:sz w:val="16"/>
                <w:lang w:eastAsia="en-GB"/>
              </w:rPr>
            </w:pPr>
            <w:ins w:id="158" w:author="LGE (Han Cha)" w:date="2022-05-19T01:05:00Z">
              <w:r w:rsidRPr="006D1B3D">
                <w:rPr>
                  <w:rFonts w:ascii="Courier New" w:eastAsia="Times New Roman" w:hAnsi="Courier New"/>
                  <w:noProof/>
                  <w:color w:val="808080"/>
                  <w:sz w:val="16"/>
                  <w:lang w:eastAsia="en-GB"/>
                </w:rPr>
                <w:t>-- TAG-MEASRESULTCELLLISTSFTD-NR-START</w:t>
              </w:r>
            </w:ins>
          </w:p>
          <w:p w14:paraId="6A1475A7"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LGE (Han Cha)" w:date="2022-05-19T01:05:00Z"/>
                <w:rFonts w:ascii="Courier New" w:eastAsia="Times New Roman" w:hAnsi="Courier New"/>
                <w:noProof/>
                <w:sz w:val="16"/>
                <w:lang w:eastAsia="en-GB"/>
              </w:rPr>
            </w:pPr>
          </w:p>
          <w:p w14:paraId="2DF2767D" w14:textId="6BB3894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LGE (Han Cha)" w:date="2022-05-19T01:05:00Z"/>
                <w:rFonts w:ascii="Courier New" w:eastAsia="Times New Roman" w:hAnsi="Courier New"/>
                <w:noProof/>
                <w:sz w:val="16"/>
                <w:lang w:eastAsia="en-GB"/>
              </w:rPr>
            </w:pPr>
            <w:ins w:id="161" w:author="LGE (Han Cha)" w:date="2022-05-19T01:05:00Z">
              <w:r w:rsidRPr="006D1B3D">
                <w:rPr>
                  <w:rFonts w:ascii="Courier New" w:eastAsia="Times New Roman" w:hAnsi="Courier New"/>
                  <w:noProof/>
                  <w:sz w:val="16"/>
                  <w:lang w:eastAsia="en-GB"/>
                </w:rPr>
                <w:t>MeasResult</w:t>
              </w:r>
            </w:ins>
            <w:r>
              <w:rPr>
                <w:rFonts w:ascii="Courier New" w:eastAsia="Times New Roman" w:hAnsi="Courier New"/>
                <w:noProof/>
                <w:sz w:val="16"/>
                <w:lang w:eastAsia="en-GB"/>
              </w:rPr>
              <w:t>CellListPropDelay</w:t>
            </w:r>
            <w:ins w:id="162" w:author="LGE (Han Cha)" w:date="2022-05-19T01:05:00Z">
              <w:r w:rsidRPr="006D1B3D">
                <w:rPr>
                  <w:rFonts w:ascii="Courier New" w:eastAsia="Times New Roman" w:hAnsi="Courier New"/>
                  <w:noProof/>
                  <w:sz w:val="16"/>
                  <w:lang w:eastAsia="en-GB"/>
                </w:rPr>
                <w:t xml:space="preserve"> ::=        </w:t>
              </w:r>
              <w:r w:rsidRPr="006D1B3D">
                <w:rPr>
                  <w:rFonts w:ascii="Courier New" w:eastAsia="Times New Roman" w:hAnsi="Courier New"/>
                  <w:noProof/>
                  <w:color w:val="993366"/>
                  <w:sz w:val="16"/>
                  <w:lang w:eastAsia="en-GB"/>
                </w:rPr>
                <w:t>SEQUENCE</w:t>
              </w:r>
              <w:r w:rsidRPr="006D1B3D">
                <w:rPr>
                  <w:rFonts w:ascii="Courier New" w:eastAsia="Times New Roman" w:hAnsi="Courier New"/>
                  <w:noProof/>
                  <w:sz w:val="16"/>
                  <w:lang w:eastAsia="en-GB"/>
                </w:rPr>
                <w:t xml:space="preserve"> (</w:t>
              </w:r>
              <w:r w:rsidRPr="006D1B3D">
                <w:rPr>
                  <w:rFonts w:ascii="Courier New" w:eastAsia="Times New Roman" w:hAnsi="Courier New"/>
                  <w:noProof/>
                  <w:color w:val="993366"/>
                  <w:sz w:val="16"/>
                  <w:lang w:eastAsia="en-GB"/>
                </w:rPr>
                <w:t>SIZE</w:t>
              </w:r>
              <w:r w:rsidRPr="006D1B3D">
                <w:rPr>
                  <w:rFonts w:ascii="Courier New" w:eastAsia="Times New Roman" w:hAnsi="Courier New"/>
                  <w:noProof/>
                  <w:sz w:val="16"/>
                  <w:lang w:eastAsia="en-GB"/>
                </w:rPr>
                <w:t xml:space="preserve"> (1..maxCell</w:t>
              </w:r>
            </w:ins>
            <w:r>
              <w:rPr>
                <w:rFonts w:ascii="Courier New" w:eastAsia="Times New Roman" w:hAnsi="Courier New"/>
                <w:noProof/>
                <w:sz w:val="16"/>
                <w:lang w:eastAsia="en-GB"/>
              </w:rPr>
              <w:t>PropDelay</w:t>
            </w:r>
            <w:ins w:id="163" w:author="LGE (Han Cha)" w:date="2022-05-19T01:05:00Z">
              <w:r w:rsidRPr="006D1B3D">
                <w:rPr>
                  <w:rFonts w:ascii="Courier New" w:eastAsia="Times New Roman" w:hAnsi="Courier New"/>
                  <w:noProof/>
                  <w:sz w:val="16"/>
                  <w:lang w:eastAsia="en-GB"/>
                </w:rPr>
                <w:t>))</w:t>
              </w:r>
              <w:r w:rsidRPr="006D1B3D">
                <w:rPr>
                  <w:rFonts w:ascii="Courier New" w:eastAsia="Times New Roman" w:hAnsi="Courier New"/>
                  <w:noProof/>
                  <w:color w:val="993366"/>
                  <w:sz w:val="16"/>
                  <w:lang w:eastAsia="en-GB"/>
                </w:rPr>
                <w:t xml:space="preserve"> OF</w:t>
              </w:r>
              <w:r w:rsidRPr="006D1B3D">
                <w:rPr>
                  <w:rFonts w:ascii="Courier New" w:eastAsia="Times New Roman" w:hAnsi="Courier New"/>
                  <w:noProof/>
                  <w:sz w:val="16"/>
                  <w:lang w:eastAsia="en-GB"/>
                </w:rPr>
                <w:t xml:space="preserve"> MeasResult</w:t>
              </w:r>
            </w:ins>
            <w:r>
              <w:rPr>
                <w:rFonts w:ascii="Courier New" w:eastAsia="Times New Roman" w:hAnsi="Courier New"/>
                <w:noProof/>
                <w:sz w:val="16"/>
                <w:lang w:eastAsia="en-GB"/>
              </w:rPr>
              <w:t>PropDelay</w:t>
            </w:r>
          </w:p>
          <w:p w14:paraId="49B865B0"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LGE (Han Cha)" w:date="2022-05-19T01:05:00Z"/>
                <w:rFonts w:ascii="Courier New" w:eastAsia="Times New Roman" w:hAnsi="Courier New"/>
                <w:noProof/>
                <w:sz w:val="16"/>
                <w:lang w:eastAsia="en-GB"/>
              </w:rPr>
            </w:pPr>
          </w:p>
          <w:p w14:paraId="4221E754" w14:textId="3A3A1509"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LGE (Han Cha)" w:date="2022-05-19T01:05:00Z"/>
                <w:rFonts w:ascii="Courier New" w:eastAsia="Times New Roman" w:hAnsi="Courier New"/>
                <w:noProof/>
                <w:sz w:val="16"/>
                <w:lang w:eastAsia="en-GB"/>
              </w:rPr>
            </w:pPr>
            <w:ins w:id="166" w:author="LGE (Han Cha)" w:date="2022-05-19T01:05:00Z">
              <w:r w:rsidRPr="006D1B3D">
                <w:rPr>
                  <w:rFonts w:ascii="Courier New" w:eastAsia="Times New Roman" w:hAnsi="Courier New"/>
                  <w:noProof/>
                  <w:sz w:val="16"/>
                  <w:lang w:eastAsia="en-GB"/>
                </w:rPr>
                <w:t>MeasResult</w:t>
              </w:r>
            </w:ins>
            <w:r>
              <w:rPr>
                <w:rFonts w:ascii="Courier New" w:eastAsia="Times New Roman" w:hAnsi="Courier New"/>
                <w:noProof/>
                <w:sz w:val="16"/>
                <w:lang w:eastAsia="en-GB"/>
              </w:rPr>
              <w:t>PropDelay</w:t>
            </w:r>
            <w:ins w:id="167" w:author="LGE (Han Cha)" w:date="2022-05-19T01:05:00Z">
              <w:r w:rsidRPr="006D1B3D">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6D1B3D">
                <w:rPr>
                  <w:rFonts w:ascii="Courier New" w:eastAsia="Times New Roman" w:hAnsi="Courier New"/>
                  <w:noProof/>
                  <w:sz w:val="16"/>
                  <w:lang w:eastAsia="en-GB"/>
                </w:rPr>
                <w:t xml:space="preserve">             </w:t>
              </w:r>
              <w:r w:rsidRPr="006D1B3D">
                <w:rPr>
                  <w:rFonts w:ascii="Courier New" w:eastAsia="Times New Roman" w:hAnsi="Courier New"/>
                  <w:noProof/>
                  <w:color w:val="993366"/>
                  <w:sz w:val="16"/>
                  <w:lang w:eastAsia="en-GB"/>
                </w:rPr>
                <w:t>SEQUENCE</w:t>
              </w:r>
              <w:r w:rsidRPr="006D1B3D">
                <w:rPr>
                  <w:rFonts w:ascii="Courier New" w:eastAsia="Times New Roman" w:hAnsi="Courier New"/>
                  <w:noProof/>
                  <w:sz w:val="16"/>
                  <w:lang w:eastAsia="en-GB"/>
                </w:rPr>
                <w:t xml:space="preserve"> {</w:t>
              </w:r>
            </w:ins>
          </w:p>
          <w:p w14:paraId="29B46BEA"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LGE (Han Cha)" w:date="2022-05-19T01:05:00Z"/>
                <w:rFonts w:ascii="Courier New" w:eastAsia="Times New Roman" w:hAnsi="Courier New"/>
                <w:noProof/>
                <w:sz w:val="16"/>
                <w:lang w:eastAsia="en-GB"/>
              </w:rPr>
            </w:pPr>
            <w:ins w:id="169" w:author="LGE (Han Cha)" w:date="2022-05-19T01:05:00Z">
              <w:r w:rsidRPr="006D1B3D">
                <w:rPr>
                  <w:rFonts w:ascii="Courier New" w:eastAsia="Times New Roman" w:hAnsi="Courier New"/>
                  <w:noProof/>
                  <w:sz w:val="16"/>
                  <w:lang w:eastAsia="en-GB"/>
                </w:rPr>
                <w:t xml:space="preserve">    physCellId                            PhysCellId,</w:t>
              </w:r>
            </w:ins>
          </w:p>
          <w:p w14:paraId="099CC727" w14:textId="28DB7C70"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LGE (Han Cha)" w:date="2022-05-19T01:05:00Z"/>
                <w:rFonts w:ascii="Courier New" w:eastAsia="Times New Roman" w:hAnsi="Courier New"/>
                <w:noProof/>
                <w:sz w:val="16"/>
                <w:lang w:eastAsia="en-GB"/>
              </w:rPr>
            </w:pPr>
            <w:ins w:id="171" w:author="LGE (Han Cha)" w:date="2022-05-19T01:05:00Z">
              <w:r w:rsidRPr="006D1B3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r>
              <w:rPr>
                <w:rFonts w:ascii="Courier New" w:eastAsia="Times New Roman" w:hAnsi="Courier New"/>
                <w:noProof/>
                <w:sz w:val="16"/>
                <w:lang w:eastAsia="en-GB"/>
              </w:rPr>
              <w:t>PropDelayDifference</w:t>
            </w:r>
            <w:ins w:id="172" w:author="LGE (Han Cha)" w:date="2022-05-19T01:05:00Z">
              <w:r w:rsidRPr="006D1B3D">
                <w:rPr>
                  <w:rFonts w:ascii="Courier New" w:eastAsia="Times New Roman" w:hAnsi="Courier New"/>
                  <w:noProof/>
                  <w:sz w:val="16"/>
                  <w:lang w:eastAsia="en-GB"/>
                </w:rPr>
                <w:t xml:space="preserve">Result             </w:t>
              </w:r>
              <w:r w:rsidRPr="006D1B3D">
                <w:rPr>
                  <w:rFonts w:ascii="Courier New" w:eastAsia="Times New Roman" w:hAnsi="Courier New"/>
                  <w:noProof/>
                  <w:color w:val="993366"/>
                  <w:sz w:val="16"/>
                  <w:lang w:eastAsia="en-GB"/>
                </w:rPr>
                <w:t>INTEGER</w:t>
              </w:r>
              <w:r w:rsidRPr="006D1B3D">
                <w:rPr>
                  <w:rFonts w:ascii="Courier New" w:eastAsia="Times New Roman" w:hAnsi="Courier New"/>
                  <w:noProof/>
                  <w:sz w:val="16"/>
                  <w:lang w:eastAsia="en-GB"/>
                </w:rPr>
                <w:t xml:space="preserve"> (</w:t>
              </w:r>
            </w:ins>
            <w:r>
              <w:rPr>
                <w:rFonts w:ascii="Courier New" w:eastAsia="Times New Roman" w:hAnsi="Courier New"/>
                <w:noProof/>
                <w:sz w:val="16"/>
                <w:lang w:eastAsia="en-GB"/>
              </w:rPr>
              <w:t>0</w:t>
            </w:r>
            <w:ins w:id="173" w:author="LGE (Han Cha)" w:date="2022-05-19T01:05:00Z">
              <w:r w:rsidRPr="006D1B3D">
                <w:rPr>
                  <w:rFonts w:ascii="Courier New" w:eastAsia="Times New Roman" w:hAnsi="Courier New"/>
                  <w:noProof/>
                  <w:sz w:val="16"/>
                  <w:lang w:eastAsia="en-GB"/>
                </w:rPr>
                <w:t>..</w:t>
              </w:r>
            </w:ins>
            <w:r>
              <w:rPr>
                <w:rFonts w:ascii="Courier New" w:eastAsia="Times New Roman" w:hAnsi="Courier New"/>
                <w:noProof/>
                <w:sz w:val="16"/>
                <w:lang w:eastAsia="en-GB"/>
              </w:rPr>
              <w:t>159</w:t>
            </w:r>
            <w:ins w:id="174" w:author="LGE (Han Cha)" w:date="2022-05-19T01:05:00Z">
              <w:r w:rsidRPr="006D1B3D">
                <w:rPr>
                  <w:rFonts w:ascii="Courier New" w:eastAsia="Times New Roman" w:hAnsi="Courier New"/>
                  <w:noProof/>
                  <w:sz w:val="16"/>
                  <w:lang w:eastAsia="en-GB"/>
                </w:rPr>
                <w:t>)</w:t>
              </w:r>
            </w:ins>
          </w:p>
          <w:p w14:paraId="5E90E028"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LGE (Han Cha)" w:date="2022-05-19T01:05:00Z"/>
                <w:rFonts w:ascii="Courier New" w:eastAsia="Times New Roman" w:hAnsi="Courier New"/>
                <w:noProof/>
                <w:sz w:val="16"/>
                <w:lang w:eastAsia="en-GB"/>
              </w:rPr>
            </w:pPr>
            <w:ins w:id="176" w:author="LGE (Han Cha)" w:date="2022-05-19T01:05:00Z">
              <w:r w:rsidRPr="006D1B3D">
                <w:rPr>
                  <w:rFonts w:ascii="Courier New" w:eastAsia="Times New Roman" w:hAnsi="Courier New"/>
                  <w:noProof/>
                  <w:sz w:val="16"/>
                  <w:lang w:eastAsia="en-GB"/>
                </w:rPr>
                <w:t>}</w:t>
              </w:r>
            </w:ins>
          </w:p>
          <w:p w14:paraId="76F45930"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LGE (Han Cha)" w:date="2022-05-19T01:05:00Z"/>
                <w:rFonts w:ascii="Courier New" w:eastAsia="Times New Roman" w:hAnsi="Courier New"/>
                <w:noProof/>
                <w:sz w:val="16"/>
                <w:lang w:eastAsia="en-GB"/>
              </w:rPr>
            </w:pPr>
          </w:p>
          <w:p w14:paraId="170E6D8B"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LGE (Han Cha)" w:date="2022-05-19T01:05:00Z"/>
                <w:rFonts w:ascii="Courier New" w:eastAsia="Times New Roman" w:hAnsi="Courier New"/>
                <w:noProof/>
                <w:color w:val="808080"/>
                <w:sz w:val="16"/>
                <w:lang w:eastAsia="en-GB"/>
              </w:rPr>
            </w:pPr>
            <w:ins w:id="179" w:author="LGE (Han Cha)" w:date="2022-05-19T01:05:00Z">
              <w:r w:rsidRPr="006D1B3D">
                <w:rPr>
                  <w:rFonts w:ascii="Courier New" w:eastAsia="Times New Roman" w:hAnsi="Courier New"/>
                  <w:noProof/>
                  <w:color w:val="808080"/>
                  <w:sz w:val="16"/>
                  <w:lang w:eastAsia="en-GB"/>
                </w:rPr>
                <w:t>-- TAG-MEASRESULTCELLLISTSFTD-NR-STOP</w:t>
              </w:r>
            </w:ins>
          </w:p>
          <w:p w14:paraId="65003153" w14:textId="1F8D1E94" w:rsidR="00046888"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80" w:author="LGE (Han Cha)" w:date="2022-05-19T01:05:00Z">
              <w:r w:rsidRPr="006D1B3D">
                <w:rPr>
                  <w:rFonts w:ascii="Courier New" w:eastAsia="Times New Roman" w:hAnsi="Courier New"/>
                  <w:noProof/>
                  <w:color w:val="808080"/>
                  <w:sz w:val="16"/>
                  <w:lang w:eastAsia="en-GB"/>
                </w:rPr>
                <w:t>-- ASN1STOP</w:t>
              </w:r>
            </w:ins>
          </w:p>
          <w:p w14:paraId="537132A4" w14:textId="77777777" w:rsidR="00046888" w:rsidRDefault="00046888" w:rsidP="00046888">
            <w:pPr>
              <w:rPr>
                <w:rFonts w:eastAsia="Malgun Gothic"/>
                <w:color w:val="0000FF"/>
                <w:lang w:eastAsia="ko-KR"/>
              </w:rPr>
            </w:pPr>
          </w:p>
          <w:p w14:paraId="38B0903A" w14:textId="77777777" w:rsidR="00046888" w:rsidRDefault="00046888" w:rsidP="00046888">
            <w:pPr>
              <w:rPr>
                <w:rFonts w:eastAsia="Malgun Gothic"/>
                <w:color w:val="0000FF"/>
                <w:lang w:eastAsia="ko-KR"/>
              </w:rPr>
            </w:pPr>
            <w:r>
              <w:rPr>
                <w:rFonts w:eastAsia="Malgun Gothic"/>
                <w:color w:val="0000FF"/>
                <w:lang w:eastAsia="ko-KR"/>
              </w:rPr>
              <w:t>(Omitted)</w:t>
            </w:r>
          </w:p>
          <w:p w14:paraId="6899C1F5" w14:textId="77777777" w:rsidR="00046888" w:rsidRDefault="00046888" w:rsidP="00046888">
            <w:pPr>
              <w:rPr>
                <w:rFonts w:eastAsia="Malgun Gothic"/>
                <w:color w:val="0000FF"/>
                <w:lang w:eastAsia="ko-KR"/>
              </w:rPr>
            </w:pPr>
          </w:p>
          <w:p w14:paraId="6DB2B961" w14:textId="77777777" w:rsidR="00046888" w:rsidRPr="002223BA" w:rsidRDefault="00046888" w:rsidP="00046888">
            <w:pPr>
              <w:keepNext/>
              <w:keepLines/>
              <w:overflowPunct w:val="0"/>
              <w:autoSpaceDE w:val="0"/>
              <w:autoSpaceDN w:val="0"/>
              <w:adjustRightInd w:val="0"/>
              <w:spacing w:before="120"/>
              <w:ind w:left="1418"/>
              <w:textAlignment w:val="baseline"/>
              <w:outlineLvl w:val="3"/>
              <w:rPr>
                <w:rFonts w:ascii="Arial" w:eastAsia="MS Mincho" w:hAnsi="Arial"/>
                <w:i/>
                <w:sz w:val="24"/>
                <w:lang w:eastAsia="ja-JP"/>
              </w:rPr>
            </w:pPr>
            <w:bookmarkStart w:id="181" w:name="_Toc60777350"/>
            <w:bookmarkStart w:id="182" w:name="_Toc100930263"/>
            <w:r w:rsidRPr="002223BA">
              <w:rPr>
                <w:rFonts w:ascii="Arial" w:eastAsia="MS Mincho" w:hAnsi="Arial"/>
                <w:sz w:val="24"/>
                <w:lang w:eastAsia="ja-JP"/>
              </w:rPr>
              <w:lastRenderedPageBreak/>
              <w:t>–</w:t>
            </w:r>
            <w:r w:rsidRPr="002223BA">
              <w:rPr>
                <w:rFonts w:ascii="Arial" w:eastAsia="MS Mincho" w:hAnsi="Arial"/>
                <w:sz w:val="24"/>
                <w:lang w:eastAsia="ja-JP"/>
              </w:rPr>
              <w:tab/>
            </w:r>
            <w:r w:rsidRPr="002223BA">
              <w:rPr>
                <w:rFonts w:ascii="Arial" w:eastAsia="MS Mincho" w:hAnsi="Arial"/>
                <w:i/>
                <w:sz w:val="24"/>
                <w:lang w:eastAsia="ja-JP"/>
              </w:rPr>
              <w:t>ReportConfigNR</w:t>
            </w:r>
            <w:bookmarkEnd w:id="181"/>
            <w:bookmarkEnd w:id="182"/>
          </w:p>
          <w:p w14:paraId="7C7EB539" w14:textId="77777777" w:rsidR="00046888" w:rsidRPr="002223BA" w:rsidRDefault="00046888" w:rsidP="00046888">
            <w:pPr>
              <w:overflowPunct w:val="0"/>
              <w:autoSpaceDE w:val="0"/>
              <w:autoSpaceDN w:val="0"/>
              <w:adjustRightInd w:val="0"/>
              <w:textAlignment w:val="baseline"/>
              <w:rPr>
                <w:rFonts w:eastAsia="MS Mincho"/>
                <w:lang w:eastAsia="ja-JP"/>
              </w:rPr>
            </w:pPr>
            <w:r w:rsidRPr="002223BA">
              <w:rPr>
                <w:rFonts w:eastAsia="Times New Roman"/>
                <w:lang w:eastAsia="ja-JP"/>
              </w:rPr>
              <w:t xml:space="preserve">The IE </w:t>
            </w:r>
            <w:r w:rsidRPr="002223BA">
              <w:rPr>
                <w:rFonts w:eastAsia="Times New Roman"/>
                <w:i/>
                <w:lang w:eastAsia="ja-JP"/>
              </w:rPr>
              <w:t>ReportConfigNR</w:t>
            </w:r>
            <w:r w:rsidRPr="002223BA">
              <w:rPr>
                <w:rFonts w:eastAsia="Times New Roman"/>
                <w:lang w:eastAsia="ja-JP"/>
              </w:rPr>
              <w:t xml:space="preserve"> specifies criteria for triggering of an NR measurement reporting event or of a CHO, CPA or CPC event. For events labelled AN with N equal to 1, 2 and so on, measurement reporting events and CHO, CPA or CPC events are based on cell measurement results, which can either be derived based on SS/PBCH block or CSI-RS.</w:t>
            </w:r>
          </w:p>
          <w:p w14:paraId="23FB36A2"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A1:</w:t>
            </w:r>
            <w:r w:rsidRPr="002223BA">
              <w:rPr>
                <w:rFonts w:eastAsia="Times New Roman"/>
                <w:lang w:eastAsia="ja-JP"/>
              </w:rPr>
              <w:tab/>
              <w:t>Serving becomes better than absolute threshold;</w:t>
            </w:r>
          </w:p>
          <w:p w14:paraId="776BA01E"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A2:</w:t>
            </w:r>
            <w:r w:rsidRPr="002223BA">
              <w:rPr>
                <w:rFonts w:eastAsia="Times New Roman"/>
                <w:lang w:eastAsia="ja-JP"/>
              </w:rPr>
              <w:tab/>
              <w:t>Serving becomes worse than absolute threshold;</w:t>
            </w:r>
          </w:p>
          <w:p w14:paraId="76EA92BC"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A3:</w:t>
            </w:r>
            <w:r w:rsidRPr="002223BA">
              <w:rPr>
                <w:rFonts w:eastAsia="Times New Roman"/>
                <w:lang w:eastAsia="ja-JP"/>
              </w:rPr>
              <w:tab/>
              <w:t>Neighbour becomes amount of offset better than PCell/PSCell;</w:t>
            </w:r>
          </w:p>
          <w:p w14:paraId="200C2F9C"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A4:</w:t>
            </w:r>
            <w:r w:rsidRPr="002223BA">
              <w:rPr>
                <w:rFonts w:eastAsia="Times New Roman"/>
                <w:lang w:eastAsia="ja-JP"/>
              </w:rPr>
              <w:tab/>
              <w:t>Neighbour becomes better than absolute threshold;</w:t>
            </w:r>
          </w:p>
          <w:p w14:paraId="0E8B2A26"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A5:</w:t>
            </w:r>
            <w:r w:rsidRPr="002223BA">
              <w:rPr>
                <w:rFonts w:eastAsia="Times New Roman"/>
                <w:lang w:eastAsia="ja-JP"/>
              </w:rPr>
              <w:tab/>
              <w:t>PCell/PSCell becomes worse than absolute threshold1 AND Neighbour/SCell becomes better than another absolute threshold2;</w:t>
            </w:r>
          </w:p>
          <w:p w14:paraId="0BDCA94F"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A6:</w:t>
            </w:r>
            <w:r w:rsidRPr="002223BA">
              <w:rPr>
                <w:rFonts w:eastAsia="Times New Roman"/>
                <w:lang w:eastAsia="ja-JP"/>
              </w:rPr>
              <w:tab/>
              <w:t>Neighbour becomes amount of offset better than SCell;</w:t>
            </w:r>
          </w:p>
          <w:p w14:paraId="2B57E356" w14:textId="77777777" w:rsidR="00046888" w:rsidRPr="002223BA" w:rsidRDefault="00046888" w:rsidP="00046888">
            <w:pPr>
              <w:overflowPunct w:val="0"/>
              <w:autoSpaceDE w:val="0"/>
              <w:autoSpaceDN w:val="0"/>
              <w:adjustRightInd w:val="0"/>
              <w:ind w:left="568" w:hanging="284"/>
              <w:textAlignment w:val="baseline"/>
              <w:rPr>
                <w:rFonts w:eastAsia="Yu Mincho"/>
                <w:lang w:eastAsia="ja-JP"/>
              </w:rPr>
            </w:pPr>
            <w:r w:rsidRPr="002223BA">
              <w:rPr>
                <w:rFonts w:eastAsia="Times New Roman"/>
                <w:lang w:eastAsia="ja-JP"/>
              </w:rPr>
              <w:t xml:space="preserve">Event D1:Distance between UE and a reference location </w:t>
            </w:r>
            <w:r w:rsidRPr="002223BA">
              <w:rPr>
                <w:rFonts w:eastAsia="Times New Roman"/>
                <w:i/>
                <w:iCs/>
                <w:lang w:eastAsia="ja-JP"/>
              </w:rPr>
              <w:t>referenceLocation1</w:t>
            </w:r>
            <w:r w:rsidRPr="002223BA">
              <w:rPr>
                <w:rFonts w:eastAsia="Times New Roman"/>
                <w:lang w:eastAsia="ja-JP"/>
              </w:rPr>
              <w:t xml:space="preserve"> becomes larger than configured threshold1 </w:t>
            </w:r>
            <w:r w:rsidRPr="002223BA">
              <w:rPr>
                <w:rFonts w:eastAsia="Times New Roman"/>
                <w:i/>
                <w:iCs/>
                <w:lang w:eastAsia="ja-JP"/>
              </w:rPr>
              <w:t>Thresh1</w:t>
            </w:r>
            <w:r w:rsidRPr="002223BA">
              <w:rPr>
                <w:rFonts w:eastAsia="Times New Roman"/>
                <w:lang w:eastAsia="ja-JP"/>
              </w:rPr>
              <w:t xml:space="preserve"> and distance between UE and a reference location </w:t>
            </w:r>
            <w:r w:rsidRPr="002223BA">
              <w:rPr>
                <w:rFonts w:eastAsia="Times New Roman"/>
                <w:i/>
                <w:lang w:eastAsia="ja-JP"/>
              </w:rPr>
              <w:t>referenceLocation2</w:t>
            </w:r>
            <w:r w:rsidRPr="002223BA">
              <w:rPr>
                <w:rFonts w:eastAsia="Times New Roman"/>
                <w:lang w:eastAsia="ja-JP"/>
              </w:rPr>
              <w:t xml:space="preserve"> becomes shorter than configured threshold </w:t>
            </w:r>
            <w:r w:rsidRPr="002223BA">
              <w:rPr>
                <w:rFonts w:eastAsia="Times New Roman"/>
                <w:i/>
                <w:iCs/>
                <w:lang w:eastAsia="ja-JP"/>
              </w:rPr>
              <w:t>Thresh2</w:t>
            </w:r>
            <w:r w:rsidRPr="002223BA">
              <w:rPr>
                <w:rFonts w:eastAsia="Times New Roman"/>
                <w:lang w:eastAsia="ja-JP"/>
              </w:rPr>
              <w:t>;</w:t>
            </w:r>
          </w:p>
          <w:p w14:paraId="65B93773"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CondEvent A3: Conditional reconfiguration candidate becomes amount of offset better than PCell/PSCell;</w:t>
            </w:r>
          </w:p>
          <w:p w14:paraId="0D91357C" w14:textId="77777777" w:rsidR="00046888" w:rsidRPr="002223BA" w:rsidRDefault="00046888" w:rsidP="00046888">
            <w:pPr>
              <w:overflowPunct w:val="0"/>
              <w:autoSpaceDE w:val="0"/>
              <w:autoSpaceDN w:val="0"/>
              <w:adjustRightInd w:val="0"/>
              <w:ind w:left="568" w:hanging="284"/>
              <w:textAlignment w:val="baseline"/>
              <w:rPr>
                <w:rFonts w:eastAsia="Yu Mincho"/>
                <w:lang w:eastAsia="ja-JP"/>
              </w:rPr>
            </w:pPr>
            <w:r w:rsidRPr="002223BA">
              <w:rPr>
                <w:rFonts w:eastAsia="Times New Roman"/>
                <w:lang w:eastAsia="ja-JP"/>
              </w:rPr>
              <w:t>CondEvent A4: Conditional reconfiguration candidate becomes better than absolute threshold</w:t>
            </w:r>
            <w:r w:rsidRPr="002223BA">
              <w:rPr>
                <w:rFonts w:ascii="DengXian" w:eastAsia="DengXian" w:hAnsi="DengXian"/>
                <w:lang w:eastAsia="zh-CN"/>
              </w:rPr>
              <w:t>;</w:t>
            </w:r>
          </w:p>
          <w:p w14:paraId="16BD8F72"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CondEvent A5: PCell/PSCell becomes worse than absolute threshold1 AND Conditional reconfiguration candidate becomes better than another absolute threshold2;</w:t>
            </w:r>
          </w:p>
          <w:p w14:paraId="0134C124" w14:textId="77777777" w:rsidR="00046888" w:rsidRPr="002223BA" w:rsidRDefault="00046888" w:rsidP="00046888">
            <w:pPr>
              <w:overflowPunct w:val="0"/>
              <w:autoSpaceDE w:val="0"/>
              <w:autoSpaceDN w:val="0"/>
              <w:adjustRightInd w:val="0"/>
              <w:ind w:left="568" w:hanging="284"/>
              <w:textAlignment w:val="baseline"/>
              <w:rPr>
                <w:rFonts w:eastAsia="Yu Mincho"/>
                <w:lang w:eastAsia="ja-JP"/>
              </w:rPr>
            </w:pPr>
            <w:r w:rsidRPr="002223BA">
              <w:rPr>
                <w:rFonts w:eastAsia="Times New Roman"/>
                <w:lang w:eastAsia="ja-JP"/>
              </w:rPr>
              <w:t xml:space="preserve">CondEvent D1: Distance between UE and a reference location </w:t>
            </w:r>
            <w:r w:rsidRPr="002223BA">
              <w:rPr>
                <w:rFonts w:eastAsia="Times New Roman"/>
                <w:i/>
                <w:iCs/>
                <w:lang w:eastAsia="ja-JP"/>
              </w:rPr>
              <w:t>referenceLocation1</w:t>
            </w:r>
            <w:r w:rsidRPr="002223BA">
              <w:rPr>
                <w:rFonts w:eastAsia="Times New Roman"/>
                <w:lang w:eastAsia="ja-JP"/>
              </w:rPr>
              <w:t xml:space="preserve"> becomes larger than configured threshold </w:t>
            </w:r>
            <w:r w:rsidRPr="002223BA">
              <w:rPr>
                <w:rFonts w:eastAsia="Times New Roman"/>
                <w:i/>
                <w:iCs/>
                <w:lang w:eastAsia="ja-JP"/>
              </w:rPr>
              <w:t>Thresh1</w:t>
            </w:r>
            <w:r w:rsidRPr="002223BA">
              <w:rPr>
                <w:rFonts w:eastAsia="Times New Roman"/>
                <w:lang w:eastAsia="ja-JP"/>
              </w:rPr>
              <w:t xml:space="preserve"> and distance between UE and a reference location </w:t>
            </w:r>
            <w:r w:rsidRPr="002223BA">
              <w:rPr>
                <w:rFonts w:eastAsia="Times New Roman"/>
                <w:i/>
                <w:lang w:eastAsia="ja-JP"/>
              </w:rPr>
              <w:t>referenceLocation2</w:t>
            </w:r>
            <w:r w:rsidRPr="002223BA">
              <w:rPr>
                <w:rFonts w:eastAsia="Times New Roman"/>
                <w:lang w:eastAsia="ja-JP"/>
              </w:rPr>
              <w:t xml:space="preserve"> of conditional reconfiguration candidate becomes shorter than configured threshold </w:t>
            </w:r>
            <w:r w:rsidRPr="002223BA">
              <w:rPr>
                <w:rFonts w:eastAsia="Times New Roman"/>
                <w:i/>
                <w:iCs/>
                <w:lang w:eastAsia="ja-JP"/>
              </w:rPr>
              <w:t>Thresh2</w:t>
            </w:r>
            <w:r w:rsidRPr="002223BA">
              <w:rPr>
                <w:rFonts w:eastAsia="Times New Roman"/>
                <w:lang w:eastAsia="ja-JP"/>
              </w:rPr>
              <w:t>;</w:t>
            </w:r>
          </w:p>
          <w:p w14:paraId="5FE22272"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bookmarkStart w:id="183" w:name="_Hlk87969184"/>
            <w:r w:rsidRPr="002223BA">
              <w:rPr>
                <w:rFonts w:eastAsia="Times New Roman"/>
                <w:lang w:eastAsia="ja-JP"/>
              </w:rPr>
              <w:t xml:space="preserve">CondEvent T1: Time measured at UE becomes more than configured threshold </w:t>
            </w:r>
            <w:r w:rsidRPr="002223BA">
              <w:rPr>
                <w:rFonts w:eastAsia="Times New Roman"/>
                <w:i/>
                <w:iCs/>
                <w:lang w:eastAsia="ja-JP"/>
              </w:rPr>
              <w:t xml:space="preserve">Thresh1 </w:t>
            </w:r>
            <w:r w:rsidRPr="002223BA">
              <w:rPr>
                <w:rFonts w:eastAsia="Times New Roman"/>
                <w:lang w:eastAsia="ja-JP"/>
              </w:rPr>
              <w:t xml:space="preserve">but is less than </w:t>
            </w:r>
            <w:r w:rsidRPr="002223BA">
              <w:rPr>
                <w:rFonts w:eastAsia="Times New Roman"/>
                <w:i/>
                <w:iCs/>
                <w:lang w:eastAsia="ja-JP"/>
              </w:rPr>
              <w:t>Thresh2</w:t>
            </w:r>
            <w:r w:rsidRPr="002223BA">
              <w:rPr>
                <w:rFonts w:eastAsia="Times New Roman"/>
                <w:lang w:eastAsia="ja-JP"/>
              </w:rPr>
              <w:t>;</w:t>
            </w:r>
          </w:p>
          <w:bookmarkEnd w:id="183"/>
          <w:p w14:paraId="01505B3E"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X1:</w:t>
            </w:r>
            <w:r w:rsidRPr="002223BA">
              <w:rPr>
                <w:rFonts w:eastAsia="Times New Roman"/>
                <w:lang w:eastAsia="ja-JP"/>
              </w:rPr>
              <w:tab/>
              <w:t>Seving L2 U2N Relay UE becomes worse than absolute threshold1 AND NR Cell becomes better than another absolute threshold2;</w:t>
            </w:r>
          </w:p>
          <w:p w14:paraId="02C900B7"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X2:</w:t>
            </w:r>
            <w:r w:rsidRPr="002223BA">
              <w:rPr>
                <w:rFonts w:eastAsia="Times New Roman"/>
                <w:lang w:eastAsia="ja-JP"/>
              </w:rPr>
              <w:tab/>
              <w:t>Serving L2 U2N Relay UE becomes worse than absolute threshold;</w:t>
            </w:r>
          </w:p>
          <w:p w14:paraId="742D1FE1" w14:textId="77777777" w:rsidR="00046888" w:rsidRPr="002223BA" w:rsidRDefault="00046888" w:rsidP="00046888">
            <w:pPr>
              <w:overflowPunct w:val="0"/>
              <w:autoSpaceDE w:val="0"/>
              <w:autoSpaceDN w:val="0"/>
              <w:adjustRightInd w:val="0"/>
              <w:textAlignment w:val="baseline"/>
              <w:rPr>
                <w:rFonts w:eastAsia="Times New Roman"/>
                <w:lang w:eastAsia="ja-JP"/>
              </w:rPr>
            </w:pPr>
            <w:r w:rsidRPr="002223BA">
              <w:rPr>
                <w:rFonts w:eastAsia="Times New Roman"/>
                <w:lang w:eastAsia="ja-JP"/>
              </w:rPr>
              <w:t>For event I1, measurement reporting event is based on CLI measurement results, which can either be derived based on SRS-RSRP or CLI-RSSI.</w:t>
            </w:r>
          </w:p>
          <w:p w14:paraId="022CF74F"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I1:</w:t>
            </w:r>
            <w:r w:rsidRPr="002223BA">
              <w:rPr>
                <w:rFonts w:eastAsia="Times New Roman"/>
                <w:lang w:eastAsia="ja-JP"/>
              </w:rPr>
              <w:tab/>
              <w:t>Interference becomes higher than absolute threshold.</w:t>
            </w:r>
          </w:p>
          <w:p w14:paraId="12184088" w14:textId="77777777" w:rsidR="00046888" w:rsidRPr="002223BA" w:rsidRDefault="00046888" w:rsidP="0004688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223BA">
              <w:rPr>
                <w:rFonts w:ascii="Arial" w:eastAsia="Times New Roman" w:hAnsi="Arial"/>
                <w:b/>
                <w:i/>
                <w:lang w:eastAsia="ja-JP"/>
              </w:rPr>
              <w:t>ReportConfigNR</w:t>
            </w:r>
            <w:r w:rsidRPr="002223BA">
              <w:rPr>
                <w:rFonts w:ascii="Arial" w:eastAsia="Times New Roman" w:hAnsi="Arial"/>
                <w:b/>
                <w:lang w:eastAsia="ja-JP"/>
              </w:rPr>
              <w:t xml:space="preserve"> information element</w:t>
            </w:r>
          </w:p>
          <w:p w14:paraId="4770690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ASN1START</w:t>
            </w:r>
          </w:p>
          <w:p w14:paraId="3E7A87F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TAG-REPORTCONFIGNR-START</w:t>
            </w:r>
          </w:p>
          <w:p w14:paraId="7DBFC93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96B6F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ReportConfigNR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DF705B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reportType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18A3165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periodical                                  PeriodicalReportConfig,</w:t>
            </w:r>
          </w:p>
          <w:p w14:paraId="439D182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eventTriggered                              EventTriggerConfig,</w:t>
            </w:r>
          </w:p>
          <w:p w14:paraId="7CB405A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14AAD9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reportCGI                                   ReportCGI,</w:t>
            </w:r>
          </w:p>
          <w:p w14:paraId="48F166E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reportSFTD                                  ReportSFTD-NR,</w:t>
            </w:r>
          </w:p>
          <w:p w14:paraId="70063E0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condTriggerConfig-r16                       CondTriggerConfig-r16,</w:t>
            </w:r>
          </w:p>
          <w:p w14:paraId="3A85972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cli-Periodical-r16                          CLI-PeriodicalReportConfig-r16,</w:t>
            </w:r>
          </w:p>
          <w:p w14:paraId="3203ED6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cli-EventTriggered-r16                      CLI-EventTriggerConfig-r16,</w:t>
            </w:r>
          </w:p>
          <w:p w14:paraId="5BB7AADC" w14:textId="77777777"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rxTxPeriodical-r17                          RxTxPeriodical-r17</w:t>
            </w:r>
            <w:r>
              <w:rPr>
                <w:rFonts w:ascii="Courier New" w:eastAsia="Times New Roman" w:hAnsi="Courier New"/>
                <w:noProof/>
                <w:sz w:val="16"/>
                <w:lang w:eastAsia="en-GB"/>
              </w:rPr>
              <w:t>,</w:t>
            </w:r>
          </w:p>
          <w:p w14:paraId="3022B255" w14:textId="7D56ABA6" w:rsidR="00046888" w:rsidRPr="002223BA" w:rsidRDefault="009D618F"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4" w:author="LGE (Han Cha)" w:date="2022-05-19T01:07:00Z">
              <w:r>
                <w:rPr>
                  <w:rFonts w:ascii="Courier New" w:eastAsia="Times New Roman" w:hAnsi="Courier New"/>
                  <w:noProof/>
                  <w:sz w:val="16"/>
                  <w:lang w:eastAsia="en-GB"/>
                </w:rPr>
                <w:t xml:space="preserve">        reportPropDelay-r17                         ReportPropDelay-r17</w:t>
              </w:r>
            </w:ins>
          </w:p>
          <w:p w14:paraId="3E203CB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5C74B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9A3492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9A47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ReportCGI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666967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cellForWhichToReportCGI          PhysCellId,</w:t>
            </w:r>
          </w:p>
          <w:p w14:paraId="48A6052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4217BE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39BC7C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useAutonomousGaps-r16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{setup}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7A4BFC3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50181C3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FD14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3C0CACC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DC85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ReportSFTD-NR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3C0B1D8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reportSFTD-Meas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117883C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reportRSRP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576565C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7FE6B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669DA7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reportSFTD-NeighMeas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45EE5DC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drx-SFTD-NeighMeas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649123C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cellsForWhichToReportSFTD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SIZE</w:t>
            </w:r>
            <w:r w:rsidRPr="002223BA">
              <w:rPr>
                <w:rFonts w:ascii="Courier New" w:eastAsia="Times New Roman" w:hAnsi="Courier New"/>
                <w:noProof/>
                <w:sz w:val="16"/>
                <w:lang w:eastAsia="en-GB"/>
              </w:rPr>
              <w:t xml:space="preserve"> (1..maxCellSFTD))</w:t>
            </w:r>
            <w:r w:rsidRPr="002223BA">
              <w:rPr>
                <w:rFonts w:ascii="Courier New" w:eastAsia="Times New Roman" w:hAnsi="Courier New"/>
                <w:noProof/>
                <w:color w:val="993366"/>
                <w:sz w:val="16"/>
                <w:lang w:eastAsia="en-GB"/>
              </w:rPr>
              <w:t xml:space="preserve"> OF</w:t>
            </w:r>
            <w:r w:rsidRPr="002223BA">
              <w:rPr>
                <w:rFonts w:ascii="Courier New" w:eastAsia="Times New Roman" w:hAnsi="Courier New"/>
                <w:noProof/>
                <w:sz w:val="16"/>
                <w:lang w:eastAsia="en-GB"/>
              </w:rPr>
              <w:t xml:space="preserve"> PhysCellId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2F16DD9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B3ECDB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53665DE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2DA69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CondTriggerConfig-r16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75C946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condEventId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05B5C09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condEventA3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8AAD2F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a3-Offset                        MeasTriggerQuantityOffset,</w:t>
            </w:r>
          </w:p>
          <w:p w14:paraId="3C6B898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04888E7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05CE0D1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CD955D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condEventA5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8BE15A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a5-Threshold1                    MeasTriggerQuantity,</w:t>
            </w:r>
          </w:p>
          <w:p w14:paraId="3F529D7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a5-Threshold2                    MeasTriggerQuantity,</w:t>
            </w:r>
          </w:p>
          <w:p w14:paraId="5F707FC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79E1E38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69E3B39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5F6ED07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940998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condEventA4-r17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E4DEB1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a4-Threshold-r17                 MeasTriggerQuantity,</w:t>
            </w:r>
          </w:p>
          <w:p w14:paraId="0E419E0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w:t>
            </w:r>
          </w:p>
          <w:p w14:paraId="0658AB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12BF78C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useAllowedCellList-r17           </w:t>
            </w:r>
            <w:r w:rsidRPr="002223BA">
              <w:rPr>
                <w:rFonts w:ascii="Courier New" w:eastAsia="Times New Roman" w:hAnsi="Courier New"/>
                <w:noProof/>
                <w:color w:val="993366"/>
                <w:sz w:val="16"/>
                <w:lang w:eastAsia="en-GB"/>
              </w:rPr>
              <w:t>BOOLEAN</w:t>
            </w:r>
          </w:p>
          <w:p w14:paraId="568904B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187CB6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condEventD1-r17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3194361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distanceThresFromReference1-r17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(0.. 65525),</w:t>
            </w:r>
          </w:p>
          <w:p w14:paraId="1DEB14B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distanceThresFromReference2-r17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(0.. 65525)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5E86E24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referenceLocation1-r17           ReferenceLocation-r17,</w:t>
            </w:r>
          </w:p>
          <w:p w14:paraId="77A3E5A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referenceLocation2-r17           ReferenceLocation-r17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65AD4CE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HysteresisLocation-r17,</w:t>
            </w:r>
          </w:p>
          <w:p w14:paraId="446BCD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76B0C4B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67778F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condEventT1-r17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6068AFD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t1-Threshold-r17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(0..549755813887),</w:t>
            </w:r>
          </w:p>
          <w:p w14:paraId="2B2F8F2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duration-r17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(1..6000)</w:t>
            </w:r>
          </w:p>
          <w:p w14:paraId="5A94555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0799BF1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044DE2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rsType-r16                       NR-RS-Type,</w:t>
            </w:r>
          </w:p>
          <w:p w14:paraId="5D0C31B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7DD5E9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428226B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13F0E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EventTriggerConfig::=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160CBCA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eventId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01AD64F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eventA1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407814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a1-Threshold                                MeasTriggerQuantity,</w:t>
            </w:r>
          </w:p>
          <w:p w14:paraId="5EF7F61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69A9753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2503F35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239C0BD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47EA41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eventA2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969417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a2-Threshold                                MeasTriggerQuantity,</w:t>
            </w:r>
          </w:p>
          <w:p w14:paraId="560281B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393869B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443C1F1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51829DF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AF3AF7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eventA3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119EC5F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a3-Offset                                   MeasTriggerQuantityOffset,</w:t>
            </w:r>
          </w:p>
          <w:p w14:paraId="131E546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D97BC1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1116C62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31BD525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470C8A9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72E1C3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eventA4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EFD8E3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a4-Threshold                                MeasTriggerQuantity,</w:t>
            </w:r>
          </w:p>
          <w:p w14:paraId="7046008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488F942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4734B83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4C8B504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1794504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FD9418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eventA5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3CB3FB0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a5-Threshold1                               MeasTriggerQuantity,</w:t>
            </w:r>
          </w:p>
          <w:p w14:paraId="5FB17E8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a5-Threshold2                               MeasTriggerQuantity,</w:t>
            </w:r>
          </w:p>
          <w:p w14:paraId="3750C69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30E00AE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1E0F8E5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55D4AFE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5B6D9E1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755C7E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eventA6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50E26E3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a6-Offset                                   MeasTriggerQuantityOffset,</w:t>
            </w:r>
          </w:p>
          <w:p w14:paraId="19ABF00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74241C8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286734A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1A5C64D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6595EC2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390FEF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C92141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B18647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eventX1-r17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1D3A52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x1-Threshold1-Relay-r17                     SL-MeasTriggerQuantity-r16,</w:t>
            </w:r>
          </w:p>
          <w:p w14:paraId="5F7323A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x1-Threshold2-r17                           MeasTriggerQuantity,</w:t>
            </w:r>
          </w:p>
          <w:p w14:paraId="5F2AB1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reportOnLeave-r17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3E1B53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w:t>
            </w:r>
          </w:p>
          <w:p w14:paraId="04F0CBD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24C8523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407E04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eventX2-r17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D33CFC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x2-Threshold-Relay-r17                      SL-MeasTriggerQuantity-r16,</w:t>
            </w:r>
          </w:p>
          <w:p w14:paraId="37B6997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reportOnLeave-r17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7329A54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w:t>
            </w:r>
          </w:p>
          <w:p w14:paraId="1FB72A4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50DCCAC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15BA22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eventD1-r17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368DA6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distanceThresFromReference1-r17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(1.. 65525),</w:t>
            </w:r>
          </w:p>
          <w:p w14:paraId="188EB32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distanceThresFromReference2-r17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(1.. 65525)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357A9E1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referenceLocation1-r17                      </w:t>
            </w:r>
            <w:r w:rsidRPr="002223BA">
              <w:rPr>
                <w:rFonts w:ascii="Courier New" w:eastAsia="Times New Roman" w:hAnsi="Courier New"/>
                <w:noProof/>
                <w:color w:val="993366"/>
                <w:sz w:val="16"/>
                <w:lang w:eastAsia="en-GB"/>
              </w:rPr>
              <w:t>OCTET</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STRING</w:t>
            </w:r>
            <w:r w:rsidRPr="002223BA">
              <w:rPr>
                <w:rFonts w:ascii="Courier New" w:eastAsia="Times New Roman" w:hAnsi="Courier New"/>
                <w:noProof/>
                <w:sz w:val="16"/>
                <w:lang w:eastAsia="en-GB"/>
              </w:rPr>
              <w:t>,</w:t>
            </w:r>
          </w:p>
          <w:p w14:paraId="3C0F3BB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referenceLocation2-r17                      </w:t>
            </w:r>
            <w:r w:rsidRPr="002223BA">
              <w:rPr>
                <w:rFonts w:ascii="Courier New" w:eastAsia="Times New Roman" w:hAnsi="Courier New"/>
                <w:noProof/>
                <w:color w:val="993366"/>
                <w:sz w:val="16"/>
                <w:lang w:eastAsia="en-GB"/>
              </w:rPr>
              <w:t>OCTET</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STRING</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2F73664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HysteresisLocation-r17,</w:t>
            </w:r>
          </w:p>
          <w:p w14:paraId="79286AF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1E9D760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w:t>
            </w:r>
          </w:p>
          <w:p w14:paraId="19C4D53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F34521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053DC4D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rsType                                      NR-RS-Type,</w:t>
            </w:r>
          </w:p>
          <w:p w14:paraId="2DB49A4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                              ReportInterval,</w:t>
            </w:r>
          </w:p>
          <w:p w14:paraId="048FAEE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17347E6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reportQuantityCell                          MeasReportQuantity,</w:t>
            </w:r>
          </w:p>
          <w:p w14:paraId="53E0E8C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maxReportCells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(1..maxCellReport),</w:t>
            </w:r>
          </w:p>
          <w:p w14:paraId="764F64E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reportQuantityRS-Indexes                     MeasReportQuantity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EDEAB6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maxNrofRS-IndexesToReport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(1..maxNrofIndexesToReport)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F61DB1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includeBeamMeasurements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81EF14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reportAddNeighMeas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{setup}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261BD8B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55496E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92CFF6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measRSSI-ReportConfig-r16                   MeasRSSI-ReportConfig-r16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7E4E8E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useT312-r16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26B8B3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includeCommonLocationInfo-r16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6D27DC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includeBT-Meas-r16                          SetupRelease {BT-NameList-r16}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242FBA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includeWLAN-Meas-r16                        SetupRelease {WLAN-NameList-r16}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561A071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includeSensor-Meas-r16                      SetupRelease {Sensor-NameList-r16}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3F8FFC8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1D8108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28FECF1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B096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PeriodicalReportConfig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984BE2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rsType                                      NR-RS-Type,</w:t>
            </w:r>
          </w:p>
          <w:p w14:paraId="447F190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                              ReportInterval,</w:t>
            </w:r>
          </w:p>
          <w:p w14:paraId="5AEF48D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28C9C47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reportQuantityCell                          MeasReportQuantity,</w:t>
            </w:r>
          </w:p>
          <w:p w14:paraId="5F8295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maxReportCells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(1..maxCellReport),</w:t>
            </w:r>
          </w:p>
          <w:p w14:paraId="2FA921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reportQuantityRS-Indexes                    MeasReportQuantity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06702F6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maxNrofRS-IndexesToReport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(1..maxNrofIndexesToReport)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8D6D8B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includeBeamMeasurements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54384C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A485EB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56574D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03FE29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measRSSI-ReportConfig-r16                   MeasRSSI-ReportConfig-r16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DE5E66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includeCommonLocationInfo-r16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7C49B9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includeBT-Meas-r16                          SetupRelease {BT-NameList-r16}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2C92B79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includeWLAN-Meas-r16                        SetupRelease {WLAN-NameList-r16}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139A08B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includeSensor-Meas-r16                      SetupRelease {Sensor-NameList-r16}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174D9E7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ul-DelayValueConfig-r16                     SetupRelease { UL-DelayValueConfig-r16 }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17C5EFD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reportAddNeighMeas-r16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{setup}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F8FAB9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5B632B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9C5850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ul-ExcessDelayConfig-r17                    SetupRelease { UL-ExcessDelayConfig-r17 }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498D4DD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CF0D57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4E3A7A0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67DD5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NR-RS-Type ::=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{ssb, csi-rs}</w:t>
            </w:r>
          </w:p>
          <w:p w14:paraId="0FA3566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69AA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MeasTriggerQuantity ::=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31D83F2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rsrp                                        RSRP-Range,</w:t>
            </w:r>
          </w:p>
          <w:p w14:paraId="4FFB9B6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rsrq                                        RSRQ-Range,</w:t>
            </w:r>
          </w:p>
          <w:p w14:paraId="0284946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sinr                                        SINR-Range</w:t>
            </w:r>
          </w:p>
          <w:p w14:paraId="333E2E2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37D55E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545CB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MeasTriggerQuantityOffset ::=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01750F4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rsrp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(-30..30),</w:t>
            </w:r>
          </w:p>
          <w:p w14:paraId="02D7DEE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rsrq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(-30..30),</w:t>
            </w:r>
          </w:p>
          <w:p w14:paraId="2E8E072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sinr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(-30..30)</w:t>
            </w:r>
          </w:p>
          <w:p w14:paraId="19B6197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9FC63D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F946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3DDCF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MeasReportQuantity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1552882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rsrp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1A3E489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rsrq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62747FF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sinr                                        </w:t>
            </w:r>
            <w:r w:rsidRPr="002223BA">
              <w:rPr>
                <w:rFonts w:ascii="Courier New" w:eastAsia="Times New Roman" w:hAnsi="Courier New"/>
                <w:noProof/>
                <w:color w:val="993366"/>
                <w:sz w:val="16"/>
                <w:lang w:eastAsia="en-GB"/>
              </w:rPr>
              <w:t>BOOLEAN</w:t>
            </w:r>
          </w:p>
          <w:p w14:paraId="2A5DBA7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68C62BC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99FD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MeasRSSI-ReportConfig-r16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5BC610A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channelOccupancyThreshold-r16               RSSI-Range-r16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87A128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5E2513B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7325E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CLI-EventTriggerConfig-r16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F83075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eventId-r16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30BE1D7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eventI1-r16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87DAEF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i1-Threshold-r16                            MeasTriggerQuantityCLI-r16,</w:t>
            </w:r>
          </w:p>
          <w:p w14:paraId="58AEAEF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reportOnLeave-r16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407B4D7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hysteresis-r16                              Hysteresis,</w:t>
            </w:r>
          </w:p>
          <w:p w14:paraId="555895B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timeToTrigger-r16                           TimeToTrigger</w:t>
            </w:r>
          </w:p>
          <w:p w14:paraId="427571F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EA2DA3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899572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DB051D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reportInterval-r16                          ReportInterval,</w:t>
            </w:r>
          </w:p>
          <w:p w14:paraId="2040C8E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7067FC1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maxReportCLI-r16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(1..maxCLI-Report-r16),</w:t>
            </w:r>
          </w:p>
          <w:p w14:paraId="603EE4B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7D8D26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040C099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D9AA3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CLI-PeriodicalReportConfig-r16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5640C8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reportInterval-r16                          ReportInterval,</w:t>
            </w:r>
          </w:p>
          <w:p w14:paraId="0A42276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26EEA4B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reportQuantityCLI-r16                       MeasReportQuantityCLI-r16,</w:t>
            </w:r>
          </w:p>
          <w:p w14:paraId="2C32A5F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maxReportCLI-r16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(1..maxCLI-Report-r16),</w:t>
            </w:r>
          </w:p>
          <w:p w14:paraId="2E162DF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3EDC41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388165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D269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RxTxPeriodical-r17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74DA6B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rxTxReportInterval-r17                      RxTxReportInterval-r17,</w:t>
            </w:r>
          </w:p>
          <w:p w14:paraId="0900FDF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reportAmount-r17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infinity, spare6, spare5, spare4, spare3, spare2, spare1},</w:t>
            </w:r>
          </w:p>
          <w:p w14:paraId="061AC30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BB860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B626A3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92EE1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RxTxReportInterval-r17 ::=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{ms80,ms120,ms160,ms240,ms320,ms480,ms640,ms1024,ms1280,ms2048,ms2560,ms5120,spare4,spare3,spare2,spare1}</w:t>
            </w:r>
          </w:p>
          <w:p w14:paraId="64C3F3B1" w14:textId="77777777"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09893" w14:textId="77777777" w:rsidR="009D618F"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LGE (Han Cha)" w:date="2022-05-19T01:07:00Z"/>
                <w:rFonts w:ascii="Courier New" w:eastAsia="Times New Roman" w:hAnsi="Courier New"/>
                <w:noProof/>
                <w:sz w:val="16"/>
                <w:lang w:eastAsia="en-GB"/>
              </w:rPr>
            </w:pPr>
            <w:ins w:id="186" w:author="LGE (Han Cha)" w:date="2022-05-19T01:07:00Z">
              <w:r>
                <w:rPr>
                  <w:rFonts w:ascii="Courier New" w:eastAsia="Times New Roman" w:hAnsi="Courier New"/>
                  <w:noProof/>
                  <w:sz w:val="16"/>
                  <w:lang w:eastAsia="en-GB"/>
                </w:rPr>
                <w:t>ReportPropDelay-r17</w:t>
              </w:r>
              <w:r w:rsidRPr="002223BA">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ins>
          </w:p>
          <w:p w14:paraId="3319E7F1" w14:textId="77777777" w:rsidR="009D618F" w:rsidRPr="00B56452"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LGE (Han Cha)" w:date="2022-05-19T01:07:00Z"/>
                <w:rFonts w:ascii="Courier New" w:eastAsia="Times New Roman" w:hAnsi="Courier New"/>
                <w:noProof/>
                <w:sz w:val="16"/>
                <w:lang w:eastAsia="en-GB"/>
              </w:rPr>
            </w:pPr>
            <w:ins w:id="188" w:author="LGE (Han Cha)" w:date="2022-05-19T01:07:00Z">
              <w:r w:rsidRPr="00337729">
                <w:rPr>
                  <w:rFonts w:ascii="Courier New" w:eastAsia="Malgun Gothic" w:hAnsi="Courier New" w:hint="eastAsia"/>
                  <w:noProof/>
                  <w:sz w:val="16"/>
                  <w:lang w:eastAsia="ko-KR"/>
                </w:rPr>
                <w:t xml:space="preserve"> </w:t>
              </w:r>
              <w:r w:rsidRPr="00337729">
                <w:rPr>
                  <w:rFonts w:ascii="Courier New" w:eastAsia="Malgun Gothic" w:hAnsi="Courier New"/>
                  <w:noProof/>
                  <w:sz w:val="16"/>
                  <w:lang w:eastAsia="ko-KR"/>
                </w:rPr>
                <w:t xml:space="preserve">   </w:t>
              </w:r>
              <w:r>
                <w:rPr>
                  <w:rFonts w:ascii="Courier New" w:eastAsia="Times New Roman" w:hAnsi="Courier New"/>
                  <w:noProof/>
                  <w:sz w:val="16"/>
                  <w:lang w:eastAsia="en-GB"/>
                </w:rPr>
                <w:t>reportInterval-r17</w:t>
              </w:r>
              <w:r w:rsidRPr="002223BA">
                <w:rPr>
                  <w:rFonts w:ascii="Courier New" w:eastAsia="Times New Roman" w:hAnsi="Courier New"/>
                  <w:noProof/>
                  <w:sz w:val="16"/>
                  <w:lang w:eastAsia="en-GB"/>
                </w:rPr>
                <w:t xml:space="preserve">                          ReportInterval,</w:t>
              </w:r>
            </w:ins>
          </w:p>
          <w:p w14:paraId="03E3C64C" w14:textId="77777777" w:rsidR="009D618F"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LGE (Han Cha)" w:date="2022-05-19T01:07:00Z"/>
                <w:rFonts w:ascii="Courier New" w:eastAsia="Times New Roman" w:hAnsi="Courier New"/>
                <w:noProof/>
                <w:sz w:val="16"/>
                <w:lang w:eastAsia="en-GB"/>
              </w:rPr>
            </w:pPr>
            <w:ins w:id="190" w:author="LGE (Han Cha)" w:date="2022-05-19T01:07:00Z">
              <w:r w:rsidRPr="00337729">
                <w:rPr>
                  <w:rFonts w:ascii="Courier New" w:eastAsia="Malgun Gothic" w:hAnsi="Courier New" w:hint="eastAsia"/>
                  <w:noProof/>
                  <w:sz w:val="16"/>
                  <w:lang w:eastAsia="ko-KR"/>
                </w:rPr>
                <w:t xml:space="preserve"> </w:t>
              </w:r>
              <w:r w:rsidRPr="00337729">
                <w:rPr>
                  <w:rFonts w:ascii="Courier New" w:eastAsia="Malgun Gothic" w:hAnsi="Courier New"/>
                  <w:noProof/>
                  <w:sz w:val="16"/>
                  <w:lang w:eastAsia="ko-KR"/>
                </w:rPr>
                <w:t xml:space="preserve">   </w:t>
              </w:r>
              <w:r>
                <w:rPr>
                  <w:rFonts w:ascii="Courier New" w:eastAsia="Times New Roman" w:hAnsi="Courier New"/>
                  <w:noProof/>
                  <w:sz w:val="16"/>
                  <w:lang w:eastAsia="en-GB"/>
                </w:rPr>
                <w:t>reportAmount-r17</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ins>
          </w:p>
          <w:p w14:paraId="543AF87F" w14:textId="77777777" w:rsidR="009D618F"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LGE (Han Cha)" w:date="2022-05-19T01:07:00Z"/>
                <w:rFonts w:ascii="Courier New" w:eastAsia="Times New Roman" w:hAnsi="Courier New"/>
                <w:noProof/>
                <w:sz w:val="16"/>
                <w:lang w:eastAsia="en-GB"/>
              </w:rPr>
            </w:pPr>
            <w:ins w:id="192" w:author="LGE (Han Cha)" w:date="2022-05-19T01:07:00Z">
              <w:r>
                <w:rPr>
                  <w:rFonts w:ascii="Courier New" w:eastAsia="Times New Roman" w:hAnsi="Courier New"/>
                  <w:noProof/>
                  <w:sz w:val="16"/>
                  <w:lang w:eastAsia="en-GB"/>
                </w:rPr>
                <w:t xml:space="preserve">    </w:t>
              </w:r>
              <w:r w:rsidRPr="002223BA">
                <w:rPr>
                  <w:rFonts w:ascii="Courier New" w:eastAsia="Times New Roman" w:hAnsi="Courier New"/>
                  <w:noProof/>
                  <w:sz w:val="16"/>
                  <w:lang w:eastAsia="en-GB"/>
                </w:rPr>
                <w:t>...</w:t>
              </w:r>
            </w:ins>
          </w:p>
          <w:p w14:paraId="69342B37" w14:textId="755C0463" w:rsidR="00046888"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3" w:author="LGE (Han Cha)" w:date="2022-05-19T01:07:00Z">
              <w:r>
                <w:rPr>
                  <w:rFonts w:ascii="Courier New" w:eastAsia="Times New Roman" w:hAnsi="Courier New"/>
                  <w:noProof/>
                  <w:sz w:val="16"/>
                  <w:lang w:eastAsia="en-GB"/>
                </w:rPr>
                <w:t>}</w:t>
              </w:r>
            </w:ins>
          </w:p>
          <w:p w14:paraId="66214B84" w14:textId="77777777" w:rsidR="009D618F" w:rsidRPr="002223BA"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6AD55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MeasTriggerQuantityCLI-r16 ::=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4A8653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srs-RSRP-r16                                SRS-RSRP-Range-r16,</w:t>
            </w:r>
          </w:p>
          <w:p w14:paraId="1E377B4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cli-RSSI-r16                                CLI-RSSI-Range-r16</w:t>
            </w:r>
          </w:p>
          <w:p w14:paraId="5180603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44F875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9CC5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MeasReportQuantityCLI-r16 ::=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{srs-rsrp, cli-rssi}</w:t>
            </w:r>
          </w:p>
          <w:p w14:paraId="14E1019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07E65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TAG-REPORTCONFIGNR-STOP</w:t>
            </w:r>
          </w:p>
          <w:p w14:paraId="251C463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ASN1STOP</w:t>
            </w:r>
          </w:p>
          <w:p w14:paraId="48BE5EB5" w14:textId="77777777" w:rsidR="00046888" w:rsidRDefault="00046888" w:rsidP="00046888">
            <w:pPr>
              <w:rPr>
                <w:rFonts w:eastAsia="Malgun Gothic"/>
                <w:color w:val="0000FF"/>
                <w:lang w:eastAsia="ko-KR"/>
              </w:rPr>
            </w:pPr>
          </w:p>
          <w:p w14:paraId="2A3365F6" w14:textId="4A441E78" w:rsidR="00046888" w:rsidRDefault="00046888" w:rsidP="00046888">
            <w:pPr>
              <w:rPr>
                <w:lang w:eastAsia="zh-CN"/>
              </w:rPr>
            </w:pPr>
            <w:r>
              <w:rPr>
                <w:rFonts w:eastAsia="Malgun Gothic"/>
                <w:color w:val="0000FF"/>
                <w:lang w:eastAsia="ko-KR"/>
              </w:rPr>
              <w:t>(End)</w:t>
            </w:r>
          </w:p>
        </w:tc>
      </w:tr>
      <w:tr w:rsidR="00046888" w14:paraId="328F11D1" w14:textId="77777777">
        <w:tc>
          <w:tcPr>
            <w:tcW w:w="1980" w:type="dxa"/>
          </w:tcPr>
          <w:p w14:paraId="4814DAA6" w14:textId="682CC5F8" w:rsidR="00046888" w:rsidRDefault="003D1B12" w:rsidP="00046888">
            <w:pPr>
              <w:rPr>
                <w:lang w:eastAsia="zh-CN"/>
              </w:rPr>
            </w:pPr>
            <w:r>
              <w:rPr>
                <w:lang w:eastAsia="zh-CN"/>
              </w:rPr>
              <w:lastRenderedPageBreak/>
              <w:t>Qualcomm</w:t>
            </w:r>
          </w:p>
        </w:tc>
        <w:tc>
          <w:tcPr>
            <w:tcW w:w="7651" w:type="dxa"/>
          </w:tcPr>
          <w:p w14:paraId="6314DDD5" w14:textId="2AA28CDE" w:rsidR="00046888" w:rsidRDefault="003D1B12" w:rsidP="00046888">
            <w:pPr>
              <w:rPr>
                <w:lang w:eastAsia="zh-CN"/>
              </w:rPr>
            </w:pPr>
            <w:r>
              <w:rPr>
                <w:lang w:eastAsia="zh-CN"/>
              </w:rPr>
              <w:t>We are ok to follow the measurement report procedure</w:t>
            </w:r>
            <w:r w:rsidR="00A91052">
              <w:rPr>
                <w:lang w:eastAsia="zh-CN"/>
              </w:rPr>
              <w:t xml:space="preserve"> based on event trigger</w:t>
            </w:r>
            <w:r w:rsidR="003225CD">
              <w:rPr>
                <w:lang w:eastAsia="zh-CN"/>
              </w:rPr>
              <w:t xml:space="preserve"> a</w:t>
            </w:r>
            <w:r w:rsidR="00AF3466">
              <w:rPr>
                <w:lang w:eastAsia="zh-CN"/>
              </w:rPr>
              <w:t>nd</w:t>
            </w:r>
            <w:r w:rsidR="00617839">
              <w:rPr>
                <w:lang w:eastAsia="zh-CN"/>
              </w:rPr>
              <w:t xml:space="preserve"> take the suggestion </w:t>
            </w:r>
            <w:r w:rsidR="003225CD">
              <w:rPr>
                <w:lang w:eastAsia="zh-CN"/>
              </w:rPr>
              <w:t>provided by Samsung</w:t>
            </w:r>
            <w:r w:rsidR="00617839">
              <w:rPr>
                <w:lang w:eastAsia="zh-CN"/>
              </w:rPr>
              <w:t xml:space="preserve"> as baseline.</w:t>
            </w:r>
          </w:p>
        </w:tc>
      </w:tr>
      <w:tr w:rsidR="00046888" w14:paraId="0C8B4C6E" w14:textId="77777777">
        <w:tc>
          <w:tcPr>
            <w:tcW w:w="1980" w:type="dxa"/>
          </w:tcPr>
          <w:p w14:paraId="35AB45CF" w14:textId="77777777" w:rsidR="00046888" w:rsidRDefault="00046888" w:rsidP="00046888">
            <w:pPr>
              <w:rPr>
                <w:lang w:eastAsia="zh-CN"/>
              </w:rPr>
            </w:pPr>
          </w:p>
        </w:tc>
        <w:tc>
          <w:tcPr>
            <w:tcW w:w="7651" w:type="dxa"/>
          </w:tcPr>
          <w:p w14:paraId="06A1E999" w14:textId="77777777" w:rsidR="00046888" w:rsidRDefault="00046888" w:rsidP="00046888">
            <w:pPr>
              <w:rPr>
                <w:lang w:eastAsia="zh-CN"/>
              </w:rPr>
            </w:pPr>
          </w:p>
        </w:tc>
      </w:tr>
      <w:tr w:rsidR="00046888" w14:paraId="6E54F320" w14:textId="77777777">
        <w:tc>
          <w:tcPr>
            <w:tcW w:w="1980" w:type="dxa"/>
          </w:tcPr>
          <w:p w14:paraId="56FFD421" w14:textId="77777777" w:rsidR="00046888" w:rsidRDefault="00046888" w:rsidP="00046888"/>
        </w:tc>
        <w:tc>
          <w:tcPr>
            <w:tcW w:w="7651" w:type="dxa"/>
          </w:tcPr>
          <w:p w14:paraId="2F79CA5C" w14:textId="77777777" w:rsidR="00046888" w:rsidRDefault="00046888" w:rsidP="00046888">
            <w:pPr>
              <w:rPr>
                <w:lang w:eastAsia="zh-CN"/>
              </w:rPr>
            </w:pPr>
          </w:p>
        </w:tc>
      </w:tr>
      <w:tr w:rsidR="00046888" w14:paraId="4607DCD7" w14:textId="77777777">
        <w:tc>
          <w:tcPr>
            <w:tcW w:w="1980" w:type="dxa"/>
          </w:tcPr>
          <w:p w14:paraId="4C000C4F" w14:textId="77777777" w:rsidR="00046888" w:rsidRDefault="00046888" w:rsidP="00046888">
            <w:pPr>
              <w:rPr>
                <w:lang w:eastAsia="zh-CN"/>
              </w:rPr>
            </w:pPr>
          </w:p>
        </w:tc>
        <w:tc>
          <w:tcPr>
            <w:tcW w:w="7651" w:type="dxa"/>
          </w:tcPr>
          <w:p w14:paraId="38E50BF1" w14:textId="77777777" w:rsidR="00046888" w:rsidRDefault="00046888" w:rsidP="00046888">
            <w:pPr>
              <w:rPr>
                <w:lang w:eastAsia="zh-CN"/>
              </w:rPr>
            </w:pPr>
          </w:p>
        </w:tc>
      </w:tr>
      <w:tr w:rsidR="00046888" w14:paraId="4C985669" w14:textId="77777777">
        <w:tc>
          <w:tcPr>
            <w:tcW w:w="1980" w:type="dxa"/>
          </w:tcPr>
          <w:p w14:paraId="36AFF81A" w14:textId="77777777" w:rsidR="00046888" w:rsidRDefault="00046888" w:rsidP="00046888">
            <w:pPr>
              <w:rPr>
                <w:lang w:eastAsia="zh-CN"/>
              </w:rPr>
            </w:pPr>
          </w:p>
        </w:tc>
        <w:tc>
          <w:tcPr>
            <w:tcW w:w="7651" w:type="dxa"/>
          </w:tcPr>
          <w:p w14:paraId="17CDC8AD" w14:textId="77777777" w:rsidR="00046888" w:rsidRDefault="00046888" w:rsidP="00046888">
            <w:pPr>
              <w:rPr>
                <w:lang w:eastAsia="zh-CN"/>
              </w:rPr>
            </w:pPr>
          </w:p>
        </w:tc>
      </w:tr>
      <w:tr w:rsidR="00046888" w14:paraId="3A1B6358" w14:textId="77777777">
        <w:tc>
          <w:tcPr>
            <w:tcW w:w="1980" w:type="dxa"/>
          </w:tcPr>
          <w:p w14:paraId="0B37D184" w14:textId="77777777" w:rsidR="00046888" w:rsidRDefault="00046888" w:rsidP="00046888">
            <w:pPr>
              <w:rPr>
                <w:rFonts w:eastAsia="Malgun Gothic"/>
                <w:lang w:eastAsia="ko-KR"/>
              </w:rPr>
            </w:pPr>
          </w:p>
        </w:tc>
        <w:tc>
          <w:tcPr>
            <w:tcW w:w="7651" w:type="dxa"/>
          </w:tcPr>
          <w:p w14:paraId="776D607C" w14:textId="77777777" w:rsidR="00046888" w:rsidRDefault="00046888" w:rsidP="00046888">
            <w:pPr>
              <w:rPr>
                <w:rFonts w:eastAsia="Malgun Gothic"/>
                <w:lang w:eastAsia="ko-KR"/>
              </w:rPr>
            </w:pPr>
          </w:p>
        </w:tc>
      </w:tr>
      <w:tr w:rsidR="00046888" w14:paraId="7BD1A563" w14:textId="77777777">
        <w:tc>
          <w:tcPr>
            <w:tcW w:w="1980" w:type="dxa"/>
          </w:tcPr>
          <w:p w14:paraId="47BEE8D5" w14:textId="77777777" w:rsidR="00046888" w:rsidRDefault="00046888" w:rsidP="00046888">
            <w:pPr>
              <w:rPr>
                <w:lang w:eastAsia="zh-CN"/>
              </w:rPr>
            </w:pPr>
          </w:p>
        </w:tc>
        <w:tc>
          <w:tcPr>
            <w:tcW w:w="7651" w:type="dxa"/>
          </w:tcPr>
          <w:p w14:paraId="01F70042" w14:textId="77777777" w:rsidR="00046888" w:rsidRDefault="00046888" w:rsidP="00046888">
            <w:pPr>
              <w:rPr>
                <w:lang w:eastAsia="zh-CN"/>
              </w:rPr>
            </w:pPr>
          </w:p>
        </w:tc>
      </w:tr>
      <w:tr w:rsidR="00046888" w14:paraId="2D1B6EC0" w14:textId="77777777">
        <w:tc>
          <w:tcPr>
            <w:tcW w:w="1980" w:type="dxa"/>
          </w:tcPr>
          <w:p w14:paraId="34C2B6C3" w14:textId="77777777" w:rsidR="00046888" w:rsidRDefault="00046888" w:rsidP="00046888">
            <w:pPr>
              <w:rPr>
                <w:lang w:eastAsia="zh-CN"/>
              </w:rPr>
            </w:pPr>
          </w:p>
        </w:tc>
        <w:tc>
          <w:tcPr>
            <w:tcW w:w="7651" w:type="dxa"/>
          </w:tcPr>
          <w:p w14:paraId="2CEA21B2" w14:textId="77777777" w:rsidR="00046888" w:rsidRDefault="00046888" w:rsidP="00046888">
            <w:pPr>
              <w:rPr>
                <w:lang w:eastAsia="zh-CN"/>
              </w:rPr>
            </w:pPr>
          </w:p>
        </w:tc>
      </w:tr>
      <w:tr w:rsidR="00046888" w14:paraId="1433CCF5" w14:textId="77777777">
        <w:tc>
          <w:tcPr>
            <w:tcW w:w="1980" w:type="dxa"/>
          </w:tcPr>
          <w:p w14:paraId="1074815D" w14:textId="77777777" w:rsidR="00046888" w:rsidRDefault="00046888" w:rsidP="00046888">
            <w:pPr>
              <w:rPr>
                <w:rFonts w:eastAsia="Malgun Gothic"/>
                <w:lang w:eastAsia="ko-KR"/>
              </w:rPr>
            </w:pPr>
          </w:p>
        </w:tc>
        <w:tc>
          <w:tcPr>
            <w:tcW w:w="7651" w:type="dxa"/>
          </w:tcPr>
          <w:p w14:paraId="60937672" w14:textId="77777777" w:rsidR="00046888" w:rsidRDefault="00046888" w:rsidP="00046888">
            <w:pPr>
              <w:rPr>
                <w:lang w:eastAsia="zh-CN"/>
              </w:rPr>
            </w:pPr>
          </w:p>
        </w:tc>
      </w:tr>
      <w:tr w:rsidR="00046888" w14:paraId="5EECC50F" w14:textId="77777777">
        <w:tc>
          <w:tcPr>
            <w:tcW w:w="1980" w:type="dxa"/>
          </w:tcPr>
          <w:p w14:paraId="224A88CE" w14:textId="77777777" w:rsidR="00046888" w:rsidRDefault="00046888" w:rsidP="00046888">
            <w:pPr>
              <w:rPr>
                <w:rFonts w:eastAsia="Malgun Gothic"/>
                <w:lang w:eastAsia="ko-KR"/>
              </w:rPr>
            </w:pPr>
          </w:p>
        </w:tc>
        <w:tc>
          <w:tcPr>
            <w:tcW w:w="7651" w:type="dxa"/>
          </w:tcPr>
          <w:p w14:paraId="206F0A59" w14:textId="77777777" w:rsidR="00046888" w:rsidRDefault="00046888" w:rsidP="00046888">
            <w:pPr>
              <w:rPr>
                <w:lang w:eastAsia="zh-CN"/>
              </w:rPr>
            </w:pPr>
          </w:p>
        </w:tc>
      </w:tr>
      <w:tr w:rsidR="00046888" w14:paraId="3E18E2FA" w14:textId="77777777">
        <w:tc>
          <w:tcPr>
            <w:tcW w:w="1980" w:type="dxa"/>
          </w:tcPr>
          <w:p w14:paraId="3C50AA4A" w14:textId="77777777" w:rsidR="00046888" w:rsidRDefault="00046888" w:rsidP="00046888">
            <w:pPr>
              <w:rPr>
                <w:rFonts w:eastAsia="Malgun Gothic"/>
                <w:lang w:eastAsia="ko-KR"/>
              </w:rPr>
            </w:pPr>
          </w:p>
        </w:tc>
        <w:tc>
          <w:tcPr>
            <w:tcW w:w="7651" w:type="dxa"/>
          </w:tcPr>
          <w:p w14:paraId="7DA1AA8D" w14:textId="77777777" w:rsidR="00046888" w:rsidRDefault="00046888" w:rsidP="00046888">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TableGrid"/>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r w:rsidRPr="00617792">
              <w:rPr>
                <w:i/>
                <w:lang w:eastAsia="zh-CN"/>
              </w:rPr>
              <w:t>timeToTrigger</w:t>
            </w:r>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r>
              <w:t xml:space="preserve">EventTriggerConfig::=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eventId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r w:rsidRPr="00617792">
              <w:t>-r17                                 SEQUENCE {</w:t>
            </w:r>
          </w:p>
          <w:p w14:paraId="3673F4AB" w14:textId="1630CEE1" w:rsidR="00617792" w:rsidRPr="00617792" w:rsidRDefault="00617792" w:rsidP="00617792">
            <w:pPr>
              <w:pStyle w:val="PL"/>
              <w:shd w:val="clear" w:color="auto" w:fill="D9D9D9" w:themeFill="background1" w:themeFillShade="D9"/>
            </w:pPr>
            <w:r w:rsidRPr="00617792">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TimeToTrigger</w:t>
            </w:r>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r w:rsidRPr="00617792">
              <w:rPr>
                <w:i/>
                <w:lang w:eastAsia="zh-CN"/>
              </w:rPr>
              <w:t>includeCommonLocationInfo</w:t>
            </w:r>
            <w:r>
              <w:rPr>
                <w:lang w:eastAsia="zh-CN"/>
              </w:rPr>
              <w:t xml:space="preserve"> in </w:t>
            </w:r>
            <w:r w:rsidRPr="00617792">
              <w:rPr>
                <w:i/>
                <w:lang w:eastAsia="zh-CN"/>
              </w:rPr>
              <w:t>ReportConfig</w:t>
            </w:r>
            <w:r>
              <w:rPr>
                <w:lang w:eastAsia="zh-CN"/>
              </w:rPr>
              <w:t xml:space="preserve"> for a </w:t>
            </w:r>
            <w:r w:rsidRPr="00617792">
              <w:rPr>
                <w:i/>
                <w:lang w:eastAsia="zh-CN"/>
              </w:rPr>
              <w:t>measID</w:t>
            </w:r>
            <w:r>
              <w:rPr>
                <w:lang w:eastAsia="zh-CN"/>
              </w:rPr>
              <w:t xml:space="preserve"> for event-triggered reporting, and UE uses </w:t>
            </w:r>
            <w:r w:rsidRPr="00617792">
              <w:rPr>
                <w:i/>
                <w:lang w:eastAsia="zh-CN"/>
              </w:rPr>
              <w:t>LocationInfo</w:t>
            </w:r>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13137B" w14:paraId="2D3137CF" w14:textId="77777777">
        <w:tc>
          <w:tcPr>
            <w:tcW w:w="1980" w:type="dxa"/>
          </w:tcPr>
          <w:p w14:paraId="2118C00F" w14:textId="519A0B63" w:rsidR="0013137B" w:rsidRDefault="0013137B" w:rsidP="0013137B">
            <w:pPr>
              <w:rPr>
                <w:lang w:eastAsia="zh-CN"/>
              </w:rPr>
            </w:pPr>
            <w:r>
              <w:rPr>
                <w:lang w:eastAsia="zh-CN"/>
              </w:rPr>
              <w:lastRenderedPageBreak/>
              <w:t>Nokia</w:t>
            </w:r>
          </w:p>
        </w:tc>
        <w:tc>
          <w:tcPr>
            <w:tcW w:w="7651" w:type="dxa"/>
          </w:tcPr>
          <w:p w14:paraId="1DB3C4D6" w14:textId="77777777" w:rsidR="0013137B" w:rsidRDefault="0013137B" w:rsidP="0013137B">
            <w:pPr>
              <w:rPr>
                <w:lang w:eastAsia="zh-CN"/>
              </w:rPr>
            </w:pPr>
            <w:r>
              <w:rPr>
                <w:lang w:eastAsia="zh-CN"/>
              </w:rPr>
              <w:t xml:space="preserve">We would like a similar/the same event as D1 to be used. The implementation can be similar to what Samsung has proposed above: new event (let’s say </w:t>
            </w:r>
            <w:r w:rsidRPr="00AE2611">
              <w:rPr>
                <w:i/>
                <w:iCs/>
                <w:lang w:eastAsia="zh-CN"/>
              </w:rPr>
              <w:t>eventD1bis</w:t>
            </w:r>
            <w:r>
              <w:rPr>
                <w:lang w:eastAsia="zh-CN"/>
              </w:rPr>
              <w:t xml:space="preserve">), with a single distance threshold. And the report which is configured may also contain the </w:t>
            </w:r>
            <w:r w:rsidRPr="00AE2611">
              <w:rPr>
                <w:i/>
                <w:iCs/>
                <w:lang w:eastAsia="zh-CN"/>
              </w:rPr>
              <w:t>includeCommonLocationInfo</w:t>
            </w:r>
            <w:r>
              <w:rPr>
                <w:lang w:eastAsia="zh-CN"/>
              </w:rPr>
              <w:t xml:space="preserve">, in addition to radio measurements (up to legacy configuration). </w:t>
            </w:r>
          </w:p>
          <w:p w14:paraId="4D8CCA14" w14:textId="1493007D" w:rsidR="0013137B" w:rsidRDefault="0013137B" w:rsidP="0013137B">
            <w:pPr>
              <w:rPr>
                <w:lang w:eastAsia="zh-CN"/>
              </w:rPr>
            </w:pPr>
            <w:r>
              <w:rPr>
                <w:lang w:eastAsia="zh-CN"/>
              </w:rPr>
              <w:t xml:space="preserve">Honestly speaking, it would be strange if SA3 does not allow the coarse location reporting for a UE in CONNECTED mode, after AS security is established. </w:t>
            </w:r>
          </w:p>
        </w:tc>
      </w:tr>
      <w:tr w:rsidR="0013137B" w14:paraId="1873B235" w14:textId="77777777">
        <w:tc>
          <w:tcPr>
            <w:tcW w:w="1980" w:type="dxa"/>
          </w:tcPr>
          <w:p w14:paraId="5436D22B" w14:textId="77777777" w:rsidR="0013137B" w:rsidRDefault="0013137B" w:rsidP="0013137B">
            <w:pPr>
              <w:rPr>
                <w:lang w:eastAsia="zh-CN"/>
              </w:rPr>
            </w:pPr>
          </w:p>
        </w:tc>
        <w:tc>
          <w:tcPr>
            <w:tcW w:w="7651" w:type="dxa"/>
          </w:tcPr>
          <w:p w14:paraId="5629B0E2" w14:textId="77777777" w:rsidR="0013137B" w:rsidRDefault="0013137B" w:rsidP="0013137B">
            <w:pPr>
              <w:rPr>
                <w:lang w:eastAsia="zh-CN"/>
              </w:rPr>
            </w:pPr>
          </w:p>
        </w:tc>
      </w:tr>
      <w:tr w:rsidR="0013137B" w14:paraId="271DB717" w14:textId="77777777">
        <w:tc>
          <w:tcPr>
            <w:tcW w:w="1980" w:type="dxa"/>
          </w:tcPr>
          <w:p w14:paraId="29886882" w14:textId="77777777" w:rsidR="0013137B" w:rsidRDefault="0013137B" w:rsidP="0013137B">
            <w:pPr>
              <w:rPr>
                <w:lang w:eastAsia="zh-CN"/>
              </w:rPr>
            </w:pPr>
          </w:p>
        </w:tc>
        <w:tc>
          <w:tcPr>
            <w:tcW w:w="7651" w:type="dxa"/>
          </w:tcPr>
          <w:p w14:paraId="711E011D" w14:textId="77777777" w:rsidR="0013137B" w:rsidRDefault="0013137B" w:rsidP="0013137B">
            <w:pPr>
              <w:rPr>
                <w:lang w:eastAsia="zh-CN"/>
              </w:rPr>
            </w:pPr>
          </w:p>
        </w:tc>
      </w:tr>
      <w:tr w:rsidR="0013137B" w14:paraId="20287DD6" w14:textId="77777777">
        <w:tc>
          <w:tcPr>
            <w:tcW w:w="1980" w:type="dxa"/>
          </w:tcPr>
          <w:p w14:paraId="3A05A314" w14:textId="77777777" w:rsidR="0013137B" w:rsidRDefault="0013137B" w:rsidP="0013137B">
            <w:pPr>
              <w:rPr>
                <w:lang w:eastAsia="zh-CN"/>
              </w:rPr>
            </w:pPr>
          </w:p>
        </w:tc>
        <w:tc>
          <w:tcPr>
            <w:tcW w:w="7651" w:type="dxa"/>
          </w:tcPr>
          <w:p w14:paraId="054E192D" w14:textId="77777777" w:rsidR="0013137B" w:rsidRDefault="0013137B" w:rsidP="0013137B">
            <w:pPr>
              <w:rPr>
                <w:lang w:eastAsia="zh-CN"/>
              </w:rPr>
            </w:pPr>
          </w:p>
        </w:tc>
      </w:tr>
      <w:tr w:rsidR="0013137B" w14:paraId="18701D64" w14:textId="77777777">
        <w:tc>
          <w:tcPr>
            <w:tcW w:w="1980" w:type="dxa"/>
          </w:tcPr>
          <w:p w14:paraId="4C702DD8" w14:textId="77777777" w:rsidR="0013137B" w:rsidRDefault="0013137B" w:rsidP="0013137B">
            <w:pPr>
              <w:rPr>
                <w:lang w:eastAsia="zh-CN"/>
              </w:rPr>
            </w:pPr>
          </w:p>
        </w:tc>
        <w:tc>
          <w:tcPr>
            <w:tcW w:w="7651" w:type="dxa"/>
          </w:tcPr>
          <w:p w14:paraId="069B8CAB" w14:textId="77777777" w:rsidR="0013137B" w:rsidRDefault="0013137B" w:rsidP="0013137B">
            <w:pPr>
              <w:rPr>
                <w:lang w:eastAsia="zh-CN"/>
              </w:rPr>
            </w:pPr>
          </w:p>
        </w:tc>
      </w:tr>
      <w:tr w:rsidR="0013137B" w14:paraId="3B389051" w14:textId="77777777">
        <w:tc>
          <w:tcPr>
            <w:tcW w:w="1980" w:type="dxa"/>
          </w:tcPr>
          <w:p w14:paraId="202451AF" w14:textId="77777777" w:rsidR="0013137B" w:rsidRDefault="0013137B" w:rsidP="0013137B">
            <w:pPr>
              <w:rPr>
                <w:lang w:eastAsia="zh-CN"/>
              </w:rPr>
            </w:pPr>
          </w:p>
        </w:tc>
        <w:tc>
          <w:tcPr>
            <w:tcW w:w="7651" w:type="dxa"/>
          </w:tcPr>
          <w:p w14:paraId="2C5E5D93" w14:textId="77777777" w:rsidR="0013137B" w:rsidRDefault="0013137B" w:rsidP="0013137B">
            <w:pPr>
              <w:rPr>
                <w:lang w:eastAsia="zh-CN"/>
              </w:rPr>
            </w:pPr>
          </w:p>
        </w:tc>
      </w:tr>
      <w:tr w:rsidR="0013137B" w14:paraId="073E98A8" w14:textId="77777777">
        <w:tc>
          <w:tcPr>
            <w:tcW w:w="1980" w:type="dxa"/>
          </w:tcPr>
          <w:p w14:paraId="04054AF2" w14:textId="77777777" w:rsidR="0013137B" w:rsidRDefault="0013137B" w:rsidP="0013137B">
            <w:pPr>
              <w:rPr>
                <w:lang w:eastAsia="zh-CN"/>
              </w:rPr>
            </w:pPr>
          </w:p>
        </w:tc>
        <w:tc>
          <w:tcPr>
            <w:tcW w:w="7651" w:type="dxa"/>
          </w:tcPr>
          <w:p w14:paraId="5A18DF62" w14:textId="77777777" w:rsidR="0013137B" w:rsidRDefault="0013137B" w:rsidP="0013137B">
            <w:pPr>
              <w:rPr>
                <w:lang w:eastAsia="zh-CN"/>
              </w:rPr>
            </w:pPr>
          </w:p>
        </w:tc>
      </w:tr>
      <w:tr w:rsidR="0013137B" w14:paraId="7ED852DB" w14:textId="77777777">
        <w:tc>
          <w:tcPr>
            <w:tcW w:w="1980" w:type="dxa"/>
          </w:tcPr>
          <w:p w14:paraId="077327A5" w14:textId="77777777" w:rsidR="0013137B" w:rsidRDefault="0013137B" w:rsidP="0013137B">
            <w:pPr>
              <w:rPr>
                <w:lang w:eastAsia="zh-CN"/>
              </w:rPr>
            </w:pPr>
          </w:p>
        </w:tc>
        <w:tc>
          <w:tcPr>
            <w:tcW w:w="7651" w:type="dxa"/>
          </w:tcPr>
          <w:p w14:paraId="67C4AAC6" w14:textId="77777777" w:rsidR="0013137B" w:rsidRDefault="0013137B" w:rsidP="0013137B">
            <w:pPr>
              <w:rPr>
                <w:lang w:eastAsia="zh-CN"/>
              </w:rPr>
            </w:pPr>
          </w:p>
        </w:tc>
      </w:tr>
      <w:tr w:rsidR="0013137B" w14:paraId="13FBA834" w14:textId="77777777">
        <w:tc>
          <w:tcPr>
            <w:tcW w:w="1980" w:type="dxa"/>
          </w:tcPr>
          <w:p w14:paraId="4BEF8F19" w14:textId="77777777" w:rsidR="0013137B" w:rsidRDefault="0013137B" w:rsidP="0013137B">
            <w:pPr>
              <w:rPr>
                <w:lang w:eastAsia="zh-CN"/>
              </w:rPr>
            </w:pPr>
          </w:p>
        </w:tc>
        <w:tc>
          <w:tcPr>
            <w:tcW w:w="7651" w:type="dxa"/>
          </w:tcPr>
          <w:p w14:paraId="40518F85" w14:textId="77777777" w:rsidR="0013137B" w:rsidRDefault="0013137B" w:rsidP="0013137B">
            <w:pPr>
              <w:rPr>
                <w:lang w:eastAsia="zh-CN"/>
              </w:rPr>
            </w:pPr>
          </w:p>
        </w:tc>
      </w:tr>
      <w:tr w:rsidR="0013137B" w14:paraId="43DBE015" w14:textId="77777777">
        <w:tc>
          <w:tcPr>
            <w:tcW w:w="1980" w:type="dxa"/>
          </w:tcPr>
          <w:p w14:paraId="38707FEC" w14:textId="77777777" w:rsidR="0013137B" w:rsidRDefault="0013137B" w:rsidP="0013137B"/>
        </w:tc>
        <w:tc>
          <w:tcPr>
            <w:tcW w:w="7651" w:type="dxa"/>
          </w:tcPr>
          <w:p w14:paraId="4EE860F1" w14:textId="77777777" w:rsidR="0013137B" w:rsidRDefault="0013137B" w:rsidP="0013137B">
            <w:pPr>
              <w:rPr>
                <w:lang w:eastAsia="zh-CN"/>
              </w:rPr>
            </w:pPr>
          </w:p>
        </w:tc>
      </w:tr>
      <w:tr w:rsidR="0013137B" w14:paraId="1FBEE814" w14:textId="77777777">
        <w:tc>
          <w:tcPr>
            <w:tcW w:w="1980" w:type="dxa"/>
          </w:tcPr>
          <w:p w14:paraId="653059FF" w14:textId="77777777" w:rsidR="0013137B" w:rsidRDefault="0013137B" w:rsidP="0013137B">
            <w:pPr>
              <w:rPr>
                <w:lang w:eastAsia="zh-CN"/>
              </w:rPr>
            </w:pPr>
          </w:p>
        </w:tc>
        <w:tc>
          <w:tcPr>
            <w:tcW w:w="7651" w:type="dxa"/>
          </w:tcPr>
          <w:p w14:paraId="0AF979B6" w14:textId="77777777" w:rsidR="0013137B" w:rsidRDefault="0013137B" w:rsidP="0013137B">
            <w:pPr>
              <w:rPr>
                <w:lang w:eastAsia="zh-CN"/>
              </w:rPr>
            </w:pPr>
          </w:p>
        </w:tc>
      </w:tr>
      <w:tr w:rsidR="0013137B" w14:paraId="47A76314" w14:textId="77777777">
        <w:tc>
          <w:tcPr>
            <w:tcW w:w="1980" w:type="dxa"/>
          </w:tcPr>
          <w:p w14:paraId="79D9FA24" w14:textId="77777777" w:rsidR="0013137B" w:rsidRDefault="0013137B" w:rsidP="0013137B">
            <w:pPr>
              <w:rPr>
                <w:lang w:eastAsia="zh-CN"/>
              </w:rPr>
            </w:pPr>
          </w:p>
        </w:tc>
        <w:tc>
          <w:tcPr>
            <w:tcW w:w="7651" w:type="dxa"/>
          </w:tcPr>
          <w:p w14:paraId="3A5E1DBB" w14:textId="77777777" w:rsidR="0013137B" w:rsidRDefault="0013137B" w:rsidP="0013137B">
            <w:pPr>
              <w:rPr>
                <w:lang w:eastAsia="zh-CN"/>
              </w:rPr>
            </w:pPr>
          </w:p>
        </w:tc>
      </w:tr>
      <w:tr w:rsidR="0013137B" w14:paraId="2ED72822" w14:textId="77777777">
        <w:tc>
          <w:tcPr>
            <w:tcW w:w="1980" w:type="dxa"/>
          </w:tcPr>
          <w:p w14:paraId="7B90CF6D" w14:textId="77777777" w:rsidR="0013137B" w:rsidRDefault="0013137B" w:rsidP="0013137B">
            <w:pPr>
              <w:rPr>
                <w:rFonts w:eastAsia="Malgun Gothic"/>
                <w:lang w:eastAsia="ko-KR"/>
              </w:rPr>
            </w:pPr>
          </w:p>
        </w:tc>
        <w:tc>
          <w:tcPr>
            <w:tcW w:w="7651" w:type="dxa"/>
          </w:tcPr>
          <w:p w14:paraId="7D728EA4" w14:textId="77777777" w:rsidR="0013137B" w:rsidRDefault="0013137B" w:rsidP="0013137B">
            <w:pPr>
              <w:rPr>
                <w:rFonts w:eastAsia="Malgun Gothic"/>
                <w:lang w:eastAsia="ko-KR"/>
              </w:rPr>
            </w:pPr>
          </w:p>
        </w:tc>
      </w:tr>
      <w:tr w:rsidR="0013137B" w14:paraId="4E94D1F0" w14:textId="77777777">
        <w:tc>
          <w:tcPr>
            <w:tcW w:w="1980" w:type="dxa"/>
          </w:tcPr>
          <w:p w14:paraId="0F2B7240" w14:textId="77777777" w:rsidR="0013137B" w:rsidRDefault="0013137B" w:rsidP="0013137B">
            <w:pPr>
              <w:rPr>
                <w:lang w:eastAsia="zh-CN"/>
              </w:rPr>
            </w:pPr>
          </w:p>
        </w:tc>
        <w:tc>
          <w:tcPr>
            <w:tcW w:w="7651" w:type="dxa"/>
          </w:tcPr>
          <w:p w14:paraId="10CAC92F" w14:textId="77777777" w:rsidR="0013137B" w:rsidRDefault="0013137B" w:rsidP="0013137B">
            <w:pPr>
              <w:rPr>
                <w:lang w:eastAsia="zh-CN"/>
              </w:rPr>
            </w:pPr>
          </w:p>
        </w:tc>
      </w:tr>
      <w:tr w:rsidR="0013137B" w14:paraId="5A4E5C49" w14:textId="77777777">
        <w:tc>
          <w:tcPr>
            <w:tcW w:w="1980" w:type="dxa"/>
          </w:tcPr>
          <w:p w14:paraId="3E46B110" w14:textId="77777777" w:rsidR="0013137B" w:rsidRDefault="0013137B" w:rsidP="0013137B">
            <w:pPr>
              <w:rPr>
                <w:lang w:eastAsia="zh-CN"/>
              </w:rPr>
            </w:pPr>
          </w:p>
        </w:tc>
        <w:tc>
          <w:tcPr>
            <w:tcW w:w="7651" w:type="dxa"/>
          </w:tcPr>
          <w:p w14:paraId="39039A97" w14:textId="77777777" w:rsidR="0013137B" w:rsidRDefault="0013137B" w:rsidP="0013137B">
            <w:pPr>
              <w:rPr>
                <w:lang w:eastAsia="zh-CN"/>
              </w:rPr>
            </w:pPr>
          </w:p>
        </w:tc>
      </w:tr>
      <w:tr w:rsidR="0013137B" w14:paraId="7B0DCEAB" w14:textId="77777777">
        <w:tc>
          <w:tcPr>
            <w:tcW w:w="1980" w:type="dxa"/>
          </w:tcPr>
          <w:p w14:paraId="0B3736A9" w14:textId="77777777" w:rsidR="0013137B" w:rsidRDefault="0013137B" w:rsidP="0013137B">
            <w:pPr>
              <w:rPr>
                <w:rFonts w:eastAsia="Malgun Gothic"/>
                <w:lang w:eastAsia="ko-KR"/>
              </w:rPr>
            </w:pPr>
          </w:p>
        </w:tc>
        <w:tc>
          <w:tcPr>
            <w:tcW w:w="7651" w:type="dxa"/>
          </w:tcPr>
          <w:p w14:paraId="6038B893" w14:textId="77777777" w:rsidR="0013137B" w:rsidRDefault="0013137B" w:rsidP="0013137B">
            <w:pPr>
              <w:rPr>
                <w:lang w:eastAsia="zh-CN"/>
              </w:rPr>
            </w:pPr>
          </w:p>
        </w:tc>
      </w:tr>
      <w:tr w:rsidR="0013137B" w14:paraId="3B85E3CE" w14:textId="77777777">
        <w:tc>
          <w:tcPr>
            <w:tcW w:w="1980" w:type="dxa"/>
          </w:tcPr>
          <w:p w14:paraId="5BBE6C35" w14:textId="77777777" w:rsidR="0013137B" w:rsidRDefault="0013137B" w:rsidP="0013137B">
            <w:pPr>
              <w:rPr>
                <w:rFonts w:eastAsia="Malgun Gothic"/>
                <w:lang w:eastAsia="ko-KR"/>
              </w:rPr>
            </w:pPr>
          </w:p>
        </w:tc>
        <w:tc>
          <w:tcPr>
            <w:tcW w:w="7651" w:type="dxa"/>
          </w:tcPr>
          <w:p w14:paraId="334A1149" w14:textId="77777777" w:rsidR="0013137B" w:rsidRDefault="0013137B" w:rsidP="0013137B">
            <w:pPr>
              <w:rPr>
                <w:lang w:eastAsia="zh-CN"/>
              </w:rPr>
            </w:pPr>
          </w:p>
        </w:tc>
      </w:tr>
      <w:tr w:rsidR="0013137B" w14:paraId="7D112B79" w14:textId="77777777">
        <w:tc>
          <w:tcPr>
            <w:tcW w:w="1980" w:type="dxa"/>
          </w:tcPr>
          <w:p w14:paraId="1A8117DA" w14:textId="77777777" w:rsidR="0013137B" w:rsidRDefault="0013137B" w:rsidP="0013137B">
            <w:pPr>
              <w:rPr>
                <w:rFonts w:eastAsia="Malgun Gothic"/>
                <w:lang w:eastAsia="ko-KR"/>
              </w:rPr>
            </w:pPr>
          </w:p>
        </w:tc>
        <w:tc>
          <w:tcPr>
            <w:tcW w:w="7651" w:type="dxa"/>
          </w:tcPr>
          <w:p w14:paraId="657CBAA5" w14:textId="77777777" w:rsidR="0013137B" w:rsidRDefault="0013137B" w:rsidP="0013137B">
            <w:pPr>
              <w:rPr>
                <w:lang w:eastAsia="zh-CN"/>
              </w:rPr>
            </w:pPr>
          </w:p>
        </w:tc>
      </w:tr>
    </w:tbl>
    <w:p w14:paraId="16BDB181" w14:textId="77777777" w:rsidR="00FB33A6" w:rsidRDefault="00FB33A6"/>
    <w:p w14:paraId="064F4EC0" w14:textId="77777777" w:rsidR="00FB33A6" w:rsidRDefault="005470FA">
      <w:pPr>
        <w:pStyle w:val="Heading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94"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lastRenderedPageBreak/>
        <w:t>Proposals for discussion:</w:t>
      </w:r>
    </w:p>
    <w:bookmarkEnd w:id="194"/>
    <w:p w14:paraId="6984F340" w14:textId="77777777" w:rsidR="00FB33A6" w:rsidRDefault="005470FA">
      <w:pPr>
        <w:pStyle w:val="Heading1"/>
        <w:jc w:val="both"/>
      </w:pPr>
      <w:r>
        <w:t>References</w:t>
      </w:r>
    </w:p>
    <w:p w14:paraId="2C74DAC8" w14:textId="77777777" w:rsidR="00FB33A6" w:rsidRDefault="005470FA">
      <w:pPr>
        <w:pStyle w:val="Doc-title"/>
        <w:numPr>
          <w:ilvl w:val="0"/>
          <w:numId w:val="23"/>
        </w:numPr>
        <w:rPr>
          <w:rFonts w:ascii="Times New Roman" w:hAnsi="Times New Roman"/>
        </w:rPr>
      </w:pPr>
      <w:bookmarkStart w:id="195"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95"/>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96"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96"/>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97" w:name="_Ref102579462"/>
      <w:r>
        <w:rPr>
          <w:rFonts w:ascii="Times New Roman" w:hAnsi="Times New Roman"/>
        </w:rPr>
        <w:t>R2-2204715</w:t>
      </w:r>
      <w:r>
        <w:rPr>
          <w:rFonts w:ascii="Times New Roman" w:hAnsi="Times New Roman"/>
        </w:rPr>
        <w:tab/>
        <w:t>Discussion on assistance information for IDLE mode and CONNECTED mode measurement</w:t>
      </w:r>
      <w:bookmarkEnd w:id="197"/>
    </w:p>
    <w:p w14:paraId="14F55E53" w14:textId="77777777" w:rsidR="00FB33A6" w:rsidRDefault="005470FA">
      <w:pPr>
        <w:pStyle w:val="Doc-title"/>
        <w:numPr>
          <w:ilvl w:val="0"/>
          <w:numId w:val="23"/>
        </w:numPr>
        <w:rPr>
          <w:rFonts w:ascii="Times New Roman" w:hAnsi="Times New Roman"/>
        </w:rPr>
      </w:pPr>
      <w:bookmarkStart w:id="198"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98"/>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99"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199"/>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200"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200"/>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201"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201"/>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202"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202"/>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203" w:name="_Ref102646734"/>
      <w:r>
        <w:rPr>
          <w:rFonts w:ascii="Times New Roman" w:hAnsi="Times New Roman"/>
        </w:rPr>
        <w:t>R2-2205372</w:t>
      </w:r>
      <w:r>
        <w:rPr>
          <w:rFonts w:ascii="Times New Roman" w:hAnsi="Times New Roman"/>
        </w:rPr>
        <w:tab/>
        <w:t>Assistance information for neighbour cell measurement</w:t>
      </w:r>
      <w:bookmarkEnd w:id="203"/>
    </w:p>
    <w:p w14:paraId="760D1363" w14:textId="77777777" w:rsidR="00FB33A6" w:rsidRDefault="005470FA">
      <w:pPr>
        <w:pStyle w:val="Doc-title"/>
        <w:numPr>
          <w:ilvl w:val="0"/>
          <w:numId w:val="23"/>
        </w:numPr>
        <w:rPr>
          <w:rFonts w:ascii="Times New Roman" w:hAnsi="Times New Roman"/>
        </w:rPr>
      </w:pPr>
      <w:bookmarkStart w:id="204" w:name="_Ref102573892"/>
      <w:r>
        <w:rPr>
          <w:rFonts w:ascii="Times New Roman" w:hAnsi="Times New Roman"/>
        </w:rPr>
        <w:t>R2-2205436</w:t>
      </w:r>
      <w:r>
        <w:rPr>
          <w:rFonts w:ascii="Times New Roman" w:hAnsi="Times New Roman"/>
        </w:rPr>
        <w:tab/>
        <w:t>RIL: M404, V318, Z550 CHO configuration discarded or retained after T2</w:t>
      </w:r>
      <w:bookmarkEnd w:id="204"/>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205"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205"/>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206"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206"/>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207"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207"/>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208"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208"/>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209"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209"/>
    </w:p>
    <w:p w14:paraId="74119073" w14:textId="77777777" w:rsidR="00FB33A6" w:rsidRDefault="005470FA">
      <w:pPr>
        <w:pStyle w:val="Doc-text2"/>
        <w:numPr>
          <w:ilvl w:val="0"/>
          <w:numId w:val="23"/>
        </w:numPr>
        <w:rPr>
          <w:rFonts w:ascii="Times New Roman" w:hAnsi="Times New Roman"/>
        </w:rPr>
      </w:pPr>
      <w:bookmarkStart w:id="210"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210"/>
    </w:p>
    <w:p w14:paraId="60DF6F6E" w14:textId="77777777" w:rsidR="00FB33A6" w:rsidRDefault="005470FA">
      <w:pPr>
        <w:pStyle w:val="Doc-text2"/>
        <w:numPr>
          <w:ilvl w:val="0"/>
          <w:numId w:val="23"/>
        </w:numPr>
        <w:rPr>
          <w:rFonts w:ascii="Times New Roman" w:hAnsi="Times New Roman"/>
        </w:rPr>
      </w:pPr>
      <w:bookmarkStart w:id="211"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211"/>
    </w:p>
    <w:p w14:paraId="76C2BF47" w14:textId="77777777" w:rsidR="00FB33A6" w:rsidRDefault="005470FA">
      <w:pPr>
        <w:pStyle w:val="Doc-text2"/>
        <w:numPr>
          <w:ilvl w:val="0"/>
          <w:numId w:val="23"/>
        </w:numPr>
        <w:rPr>
          <w:rFonts w:ascii="Times New Roman" w:hAnsi="Times New Roman"/>
        </w:rPr>
      </w:pPr>
      <w:bookmarkStart w:id="212" w:name="_Ref102743006"/>
      <w:r>
        <w:rPr>
          <w:rFonts w:ascii="Times New Roman" w:hAnsi="Times New Roman"/>
        </w:rPr>
        <w:t>R2-2204470</w:t>
      </w:r>
      <w:r>
        <w:rPr>
          <w:rFonts w:ascii="Times New Roman" w:hAnsi="Times New Roman"/>
        </w:rPr>
        <w:tab/>
        <w:t>Reply LS to RAN2 on NR NTN Neighbour Cell and Satellite Information</w:t>
      </w:r>
      <w:bookmarkEnd w:id="212"/>
    </w:p>
    <w:p w14:paraId="2830EB59" w14:textId="77777777" w:rsidR="00FB33A6" w:rsidRDefault="005470FA">
      <w:pPr>
        <w:pStyle w:val="Doc-text2"/>
        <w:numPr>
          <w:ilvl w:val="0"/>
          <w:numId w:val="23"/>
        </w:numPr>
        <w:rPr>
          <w:rFonts w:ascii="Times New Roman" w:hAnsi="Times New Roman"/>
        </w:rPr>
      </w:pPr>
      <w:bookmarkStart w:id="213"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213"/>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ED7D" w14:textId="77777777" w:rsidR="00B06D88" w:rsidRDefault="00B06D88">
      <w:pPr>
        <w:spacing w:line="240" w:lineRule="auto"/>
      </w:pPr>
      <w:r>
        <w:separator/>
      </w:r>
    </w:p>
  </w:endnote>
  <w:endnote w:type="continuationSeparator" w:id="0">
    <w:p w14:paraId="44A05223" w14:textId="77777777" w:rsidR="00B06D88" w:rsidRDefault="00B06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70B4" w14:textId="77777777" w:rsidR="00B06D88" w:rsidRDefault="00B06D88">
      <w:pPr>
        <w:spacing w:after="0"/>
      </w:pPr>
      <w:r>
        <w:separator/>
      </w:r>
    </w:p>
  </w:footnote>
  <w:footnote w:type="continuationSeparator" w:id="0">
    <w:p w14:paraId="515639E6" w14:textId="77777777" w:rsidR="00B06D88" w:rsidRDefault="00B06D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cmcc">
    <w15:presenceInfo w15:providerId="None" w15:userId="cmcc"/>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46888"/>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137B"/>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57EFC"/>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373B"/>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25CD"/>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1B12"/>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17839"/>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1373"/>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1598"/>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618F"/>
    <w:rsid w:val="009D74A6"/>
    <w:rsid w:val="009D74B3"/>
    <w:rsid w:val="009E00DE"/>
    <w:rsid w:val="009E0E87"/>
    <w:rsid w:val="009E1ABA"/>
    <w:rsid w:val="009E25F6"/>
    <w:rsid w:val="009E282C"/>
    <w:rsid w:val="009E4208"/>
    <w:rsid w:val="009E4362"/>
    <w:rsid w:val="009E6F92"/>
    <w:rsid w:val="009E706C"/>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5BED"/>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1052"/>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14B"/>
    <w:rsid w:val="00AC1741"/>
    <w:rsid w:val="00AC4D1A"/>
    <w:rsid w:val="00AC516D"/>
    <w:rsid w:val="00AC5A1D"/>
    <w:rsid w:val="00AC6927"/>
    <w:rsid w:val="00AC7270"/>
    <w:rsid w:val="00AD1D5C"/>
    <w:rsid w:val="00AD25FE"/>
    <w:rsid w:val="00AD2991"/>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466"/>
    <w:rsid w:val="00AF3681"/>
    <w:rsid w:val="00AF474B"/>
    <w:rsid w:val="00AF566D"/>
    <w:rsid w:val="00AF656D"/>
    <w:rsid w:val="00AF7366"/>
    <w:rsid w:val="00B01067"/>
    <w:rsid w:val="00B03635"/>
    <w:rsid w:val="00B04C94"/>
    <w:rsid w:val="00B05380"/>
    <w:rsid w:val="00B05962"/>
    <w:rsid w:val="00B06D88"/>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6DC"/>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A5B98D"/>
  <w15:docId w15:val="{A8BA070D-748C-4B87-9C8F-70115CC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
    <w:name w:val="修订1"/>
    <w:hidden/>
    <w:uiPriority w:val="99"/>
    <w:semiHidden/>
    <w:qFormat/>
    <w:pPr>
      <w:spacing w:after="160" w:line="259" w:lineRule="auto"/>
    </w:pPr>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3B8AD-C221-4E8A-A71F-84BB19C20D2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61</Pages>
  <Words>19257</Words>
  <Characters>123835</Characters>
  <Application>Microsoft Office Word</Application>
  <DocSecurity>0</DocSecurity>
  <Lines>1031</Lines>
  <Paragraphs>285</Paragraphs>
  <ScaleCrop>false</ScaleCrop>
  <Company>Nokia</Company>
  <LinksUpToDate>false</LinksUpToDate>
  <CharactersWithSpaces>142807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Qualcomm-Bharat</cp:lastModifiedBy>
  <cp:revision>11</cp:revision>
  <dcterms:created xsi:type="dcterms:W3CDTF">2022-05-18T15:58:00Z</dcterms:created>
  <dcterms:modified xsi:type="dcterms:W3CDTF">2022-05-18T23:33:00Z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