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7777777" w:rsidR="000D5EC2" w:rsidRDefault="002E7D45">
      <w:pPr>
        <w:pStyle w:val="ad"/>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ad"/>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ad"/>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ad"/>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ad"/>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[AT118-e][071][ePowSav] RRC (CATT)</w:t>
      </w:r>
    </w:p>
    <w:p w14:paraId="4E0BDBAC" w14:textId="77777777" w:rsidR="000D5EC2" w:rsidRDefault="002E7D45">
      <w:pPr>
        <w:pStyle w:val="ad"/>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ad"/>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a0"/>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af3"/>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等线"/>
                <w:sz w:val="20"/>
              </w:rPr>
            </w:pPr>
            <w:r>
              <w:rPr>
                <w:rFonts w:eastAsia="等线" w:hint="eastAsia"/>
                <w:sz w:val="20"/>
              </w:rPr>
              <w:t>X</w:t>
            </w:r>
            <w:r>
              <w:rPr>
                <w:rFonts w:eastAsia="等线"/>
                <w:sz w:val="20"/>
              </w:rPr>
              <w:t>iaomi</w:t>
            </w:r>
          </w:p>
        </w:tc>
        <w:tc>
          <w:tcPr>
            <w:tcW w:w="2790" w:type="dxa"/>
          </w:tcPr>
          <w:p w14:paraId="3C75BC2D" w14:textId="77777777" w:rsidR="000D5EC2" w:rsidRDefault="002E7D45">
            <w:pPr>
              <w:rPr>
                <w:rFonts w:eastAsia="等线"/>
                <w:sz w:val="20"/>
              </w:rPr>
            </w:pPr>
            <w:r>
              <w:rPr>
                <w:rFonts w:eastAsia="等线"/>
                <w:sz w:val="20"/>
              </w:rPr>
              <w:t>Yanhua Li</w:t>
            </w:r>
          </w:p>
        </w:tc>
        <w:tc>
          <w:tcPr>
            <w:tcW w:w="4431" w:type="dxa"/>
          </w:tcPr>
          <w:p w14:paraId="0BC0E850" w14:textId="77777777" w:rsidR="000D5EC2" w:rsidRDefault="002E7D45">
            <w:pPr>
              <w:rPr>
                <w:rFonts w:eastAsia="等线"/>
                <w:sz w:val="20"/>
              </w:rPr>
            </w:pPr>
            <w:r>
              <w:rPr>
                <w:rFonts w:eastAsia="等线"/>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宋体"/>
                <w:sz w:val="20"/>
              </w:rPr>
            </w:pPr>
            <w:r>
              <w:rPr>
                <w:rFonts w:eastAsia="宋体"/>
                <w:sz w:val="20"/>
              </w:rPr>
              <w:t>Sequans</w:t>
            </w:r>
          </w:p>
        </w:tc>
        <w:tc>
          <w:tcPr>
            <w:tcW w:w="2790" w:type="dxa"/>
          </w:tcPr>
          <w:p w14:paraId="34100A5D" w14:textId="1799676F" w:rsidR="000D5EC2" w:rsidRDefault="00BB1500">
            <w:pPr>
              <w:rPr>
                <w:rFonts w:eastAsia="宋体"/>
                <w:sz w:val="20"/>
              </w:rPr>
            </w:pPr>
            <w:r>
              <w:rPr>
                <w:rFonts w:eastAsia="宋体"/>
                <w:sz w:val="20"/>
              </w:rPr>
              <w:t>Noam Cayron</w:t>
            </w:r>
          </w:p>
        </w:tc>
        <w:tc>
          <w:tcPr>
            <w:tcW w:w="4431" w:type="dxa"/>
          </w:tcPr>
          <w:p w14:paraId="666A6BC6" w14:textId="74ABA842" w:rsidR="000D5EC2" w:rsidRDefault="00BB1500">
            <w:pPr>
              <w:rPr>
                <w:rFonts w:eastAsia="宋体"/>
                <w:sz w:val="20"/>
              </w:rPr>
            </w:pPr>
            <w:r>
              <w:rPr>
                <w:rFonts w:eastAsia="宋体"/>
                <w:sz w:val="20"/>
              </w:rPr>
              <w:t>noam.cayron@sequans.com</w:t>
            </w:r>
          </w:p>
        </w:tc>
      </w:tr>
      <w:tr w:rsidR="000D5EC2" w14:paraId="2C779DF2" w14:textId="77777777">
        <w:tc>
          <w:tcPr>
            <w:tcW w:w="1795" w:type="dxa"/>
          </w:tcPr>
          <w:p w14:paraId="19C50148" w14:textId="0D10CDE1" w:rsidR="000D5EC2" w:rsidRDefault="00407F88">
            <w:pPr>
              <w:rPr>
                <w:rFonts w:eastAsia="宋体"/>
                <w:sz w:val="20"/>
              </w:rPr>
            </w:pPr>
            <w:r>
              <w:rPr>
                <w:rFonts w:eastAsia="宋体"/>
                <w:sz w:val="20"/>
              </w:rPr>
              <w:t>Intel Corporation</w:t>
            </w:r>
          </w:p>
        </w:tc>
        <w:tc>
          <w:tcPr>
            <w:tcW w:w="2790" w:type="dxa"/>
          </w:tcPr>
          <w:p w14:paraId="35CEF622" w14:textId="00DA8E7D" w:rsidR="000D5EC2" w:rsidRDefault="00407F88">
            <w:pPr>
              <w:rPr>
                <w:rFonts w:eastAsia="宋体"/>
                <w:sz w:val="20"/>
              </w:rPr>
            </w:pPr>
            <w:r>
              <w:rPr>
                <w:rFonts w:eastAsia="宋体"/>
                <w:sz w:val="20"/>
              </w:rPr>
              <w:t>Seau Sian Lim</w:t>
            </w:r>
          </w:p>
        </w:tc>
        <w:tc>
          <w:tcPr>
            <w:tcW w:w="4431" w:type="dxa"/>
          </w:tcPr>
          <w:p w14:paraId="5FC53B0F" w14:textId="7218D93A" w:rsidR="000D5EC2" w:rsidRDefault="00407F88">
            <w:pPr>
              <w:rPr>
                <w:rFonts w:eastAsia="宋体"/>
                <w:sz w:val="20"/>
              </w:rPr>
            </w:pPr>
            <w:r>
              <w:rPr>
                <w:rFonts w:eastAsia="宋体"/>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宋体"/>
                <w:sz w:val="20"/>
              </w:rPr>
            </w:pPr>
            <w:r>
              <w:rPr>
                <w:rFonts w:eastAsia="等线" w:hint="eastAsia"/>
                <w:sz w:val="20"/>
              </w:rPr>
              <w:t>S</w:t>
            </w:r>
            <w:r>
              <w:rPr>
                <w:rFonts w:eastAsia="等线"/>
                <w:sz w:val="20"/>
              </w:rPr>
              <w:t>harp</w:t>
            </w:r>
          </w:p>
        </w:tc>
        <w:tc>
          <w:tcPr>
            <w:tcW w:w="2790" w:type="dxa"/>
          </w:tcPr>
          <w:p w14:paraId="5D01BDF6" w14:textId="77777777" w:rsidR="000C24CA" w:rsidRDefault="000C24CA" w:rsidP="00DD4F03">
            <w:pPr>
              <w:rPr>
                <w:sz w:val="20"/>
                <w:lang w:eastAsia="ko-KR"/>
              </w:rPr>
            </w:pPr>
            <w:r>
              <w:rPr>
                <w:rFonts w:eastAsia="等线" w:hint="eastAsia"/>
                <w:sz w:val="20"/>
              </w:rPr>
              <w:t>L</w:t>
            </w:r>
            <w:r>
              <w:rPr>
                <w:rFonts w:eastAsia="等线"/>
                <w:sz w:val="20"/>
              </w:rPr>
              <w:t>IU Lei</w:t>
            </w:r>
          </w:p>
        </w:tc>
        <w:tc>
          <w:tcPr>
            <w:tcW w:w="4431" w:type="dxa"/>
          </w:tcPr>
          <w:p w14:paraId="26E16095" w14:textId="77777777" w:rsidR="000C24CA" w:rsidRDefault="000C24CA" w:rsidP="00DD4F03">
            <w:pPr>
              <w:rPr>
                <w:sz w:val="20"/>
                <w:lang w:eastAsia="ko-KR"/>
              </w:rPr>
            </w:pPr>
            <w:r>
              <w:rPr>
                <w:rFonts w:eastAsia="等线"/>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r>
              <w:rPr>
                <w:rFonts w:eastAsiaTheme="minorEastAsia"/>
                <w:sz w:val="20"/>
                <w:lang w:eastAsia="ko-KR"/>
              </w:rPr>
              <w:t>Jussi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8A5D4B" w:rsidP="002D7468">
            <w:pPr>
              <w:rPr>
                <w:sz w:val="20"/>
                <w:lang w:eastAsia="ko-KR"/>
              </w:rPr>
            </w:pPr>
            <w:hyperlink r:id="rId9" w:history="1">
              <w:r w:rsidR="00837C47" w:rsidRPr="0069008E">
                <w:rPr>
                  <w:rStyle w:val="af7"/>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lastRenderedPageBreak/>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FA59E8" w14:paraId="32619776" w14:textId="77777777">
        <w:tc>
          <w:tcPr>
            <w:tcW w:w="1795" w:type="dxa"/>
          </w:tcPr>
          <w:p w14:paraId="1E6D2FE8" w14:textId="7273B650" w:rsidR="00FA59E8" w:rsidRPr="00FA59E8" w:rsidRDefault="00FA59E8" w:rsidP="002D7468">
            <w:pPr>
              <w:rPr>
                <w:rFonts w:eastAsiaTheme="minorEastAsia" w:hint="eastAsia"/>
                <w:sz w:val="20"/>
              </w:rPr>
            </w:pPr>
            <w:r>
              <w:rPr>
                <w:rFonts w:eastAsiaTheme="minorEastAsia" w:hint="eastAsia"/>
                <w:sz w:val="20"/>
              </w:rPr>
              <w:t>C</w:t>
            </w:r>
            <w:r>
              <w:rPr>
                <w:rFonts w:eastAsiaTheme="minorEastAsia"/>
                <w:sz w:val="20"/>
              </w:rPr>
              <w:t>MCC</w:t>
            </w:r>
          </w:p>
        </w:tc>
        <w:tc>
          <w:tcPr>
            <w:tcW w:w="2790" w:type="dxa"/>
          </w:tcPr>
          <w:p w14:paraId="5DD387D5" w14:textId="1AFC4207" w:rsidR="00FA59E8" w:rsidRPr="00FA59E8" w:rsidRDefault="00FA59E8" w:rsidP="002D7468">
            <w:pPr>
              <w:rPr>
                <w:rFonts w:eastAsiaTheme="minorEastAsia" w:hint="eastAsia"/>
                <w:sz w:val="20"/>
              </w:rPr>
            </w:pPr>
            <w:r>
              <w:rPr>
                <w:rFonts w:eastAsiaTheme="minorEastAsia" w:hint="eastAsia"/>
                <w:sz w:val="20"/>
              </w:rPr>
              <w:t>X</w:t>
            </w:r>
            <w:r>
              <w:rPr>
                <w:rFonts w:eastAsiaTheme="minorEastAsia"/>
                <w:sz w:val="20"/>
              </w:rPr>
              <w:t>iaoxuan Tang</w:t>
            </w:r>
          </w:p>
        </w:tc>
        <w:tc>
          <w:tcPr>
            <w:tcW w:w="4431" w:type="dxa"/>
          </w:tcPr>
          <w:p w14:paraId="170EEB32" w14:textId="095F687B" w:rsidR="00FA59E8" w:rsidRPr="00FA59E8" w:rsidRDefault="00FA59E8" w:rsidP="002D7468">
            <w:pPr>
              <w:rPr>
                <w:rFonts w:eastAsiaTheme="minorEastAsia" w:hint="eastAsia"/>
                <w:sz w:val="20"/>
              </w:rPr>
            </w:pPr>
            <w:r>
              <w:rPr>
                <w:rFonts w:eastAsiaTheme="minorEastAsia" w:hint="eastAsia"/>
                <w:sz w:val="20"/>
              </w:rPr>
              <w:t>t</w:t>
            </w:r>
            <w:r>
              <w:rPr>
                <w:rFonts w:eastAsiaTheme="minorEastAsia"/>
                <w:sz w:val="20"/>
              </w:rPr>
              <w:t>angxiaoxuan@chinamobile.com</w:t>
            </w:r>
          </w:p>
        </w:tc>
      </w:tr>
    </w:tbl>
    <w:p w14:paraId="6CE6C92D" w14:textId="77777777" w:rsidR="000D5EC2" w:rsidRDefault="000D5EC2"/>
    <w:p w14:paraId="6CC0BED4" w14:textId="77777777" w:rsidR="000D5EC2" w:rsidRDefault="002E7D45">
      <w:pPr>
        <w:pStyle w:val="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Default="002E7D45">
      <w:pPr>
        <w:pStyle w:val="20"/>
        <w:ind w:left="562" w:hanging="562"/>
        <w:rPr>
          <w:sz w:val="22"/>
        </w:rPr>
      </w:pPr>
      <w:r>
        <w:rPr>
          <w:sz w:val="22"/>
        </w:rPr>
        <w:t>TRS availability when SI change</w:t>
      </w:r>
    </w:p>
    <w:p w14:paraId="0D6C208C" w14:textId="77777777" w:rsidR="000D5EC2" w:rsidRDefault="002E7D45">
      <w:pPr>
        <w:pStyle w:val="a0"/>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4B3073">
      <w:pPr>
        <w:pStyle w:val="a0"/>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6pt;height:85.2pt;mso-width-percent:0;mso-height-percent:0;mso-width-percent:0;mso-height-percent:0" o:ole="">
            <v:imagedata r:id="rId10" o:title=""/>
          </v:shape>
          <o:OLEObject Type="Embed" ProgID="Visio.Drawing.15" ShapeID="_x0000_i1025" DrawAspect="Content" ObjectID="_1714247180" r:id="rId11"/>
        </w:object>
      </w:r>
    </w:p>
    <w:p w14:paraId="35331975" w14:textId="77777777" w:rsidR="000D5EC2" w:rsidRDefault="002E7D45">
      <w:pPr>
        <w:pStyle w:val="a0"/>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a0"/>
        <w:jc w:val="left"/>
        <w:rPr>
          <w:sz w:val="20"/>
        </w:rPr>
      </w:pPr>
    </w:p>
    <w:p w14:paraId="1A4F3EA8" w14:textId="77777777" w:rsidR="000D5EC2" w:rsidRDefault="004B3073">
      <w:pPr>
        <w:pStyle w:val="a0"/>
        <w:jc w:val="left"/>
        <w:rPr>
          <w:sz w:val="20"/>
        </w:rPr>
      </w:pPr>
      <w:r>
        <w:rPr>
          <w:noProof/>
          <w:sz w:val="20"/>
        </w:rPr>
        <w:object w:dxaOrig="9068" w:dyaOrig="1789" w14:anchorId="36F9868C">
          <v:shape id="_x0000_i1026" type="#_x0000_t75" alt="" style="width:453.6pt;height:88.8pt;mso-width-percent:0;mso-height-percent:0;mso-width-percent:0;mso-height-percent:0" o:ole="">
            <v:imagedata r:id="rId12" o:title=""/>
          </v:shape>
          <o:OLEObject Type="Embed" ProgID="Visio.Drawing.15" ShapeID="_x0000_i1026" DrawAspect="Content" ObjectID="_1714247181" r:id="rId13"/>
        </w:object>
      </w:r>
    </w:p>
    <w:p w14:paraId="6D236FB9" w14:textId="77777777" w:rsidR="000D5EC2" w:rsidRDefault="002E7D45">
      <w:pPr>
        <w:pStyle w:val="a0"/>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a0"/>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a0"/>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a0"/>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a0"/>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I</w:t>
            </w:r>
            <w:r>
              <w:rPr>
                <w:rFonts w:eastAsia="等线"/>
                <w:sz w:val="20"/>
                <w:szCs w:val="20"/>
              </w:rPr>
              <w:t xml:space="preserve"> think we are meaning here is:</w:t>
            </w:r>
          </w:p>
          <w:p w14:paraId="0B454992" w14:textId="77777777" w:rsidR="000D5EC2" w:rsidRDefault="002E7D45">
            <w:pPr>
              <w:pStyle w:val="a0"/>
              <w:spacing w:before="120" w:line="252" w:lineRule="auto"/>
              <w:rPr>
                <w:rFonts w:eastAsia="等线"/>
                <w:sz w:val="20"/>
                <w:szCs w:val="20"/>
              </w:rPr>
            </w:pPr>
            <w:r>
              <w:rPr>
                <w:rFonts w:eastAsia="等线"/>
                <w:sz w:val="20"/>
                <w:szCs w:val="20"/>
              </w:rPr>
              <w:t xml:space="preserve">The TRS/CSI-RS availability is assumed to be ‘unavailable’ for all the TRS resource set group(s) upon getting the TRS/CSI-RS configuration </w:t>
            </w:r>
            <w:r>
              <w:rPr>
                <w:rFonts w:eastAsia="等线"/>
                <w:sz w:val="20"/>
                <w:szCs w:val="20"/>
              </w:rPr>
              <w:lastRenderedPageBreak/>
              <w:t>modification.</w:t>
            </w:r>
          </w:p>
          <w:p w14:paraId="7C240B6D" w14:textId="77777777" w:rsidR="000D5EC2" w:rsidRDefault="002E7D45">
            <w:pPr>
              <w:pStyle w:val="a0"/>
              <w:spacing w:before="120" w:line="252" w:lineRule="auto"/>
              <w:rPr>
                <w:rFonts w:eastAsia="等线"/>
                <w:sz w:val="20"/>
                <w:szCs w:val="20"/>
              </w:rPr>
            </w:pPr>
            <w:r>
              <w:rPr>
                <w:rFonts w:eastAsia="等线"/>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等线"/>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宋体"/>
                <w:sz w:val="20"/>
                <w:szCs w:val="20"/>
              </w:rPr>
            </w:pPr>
            <w:r>
              <w:rPr>
                <w:rFonts w:eastAsia="宋体"/>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宋体"/>
                <w:sz w:val="20"/>
                <w:szCs w:val="20"/>
                <w:lang w:val="en-GB" w:eastAsia="en-US"/>
              </w:rPr>
            </w:pPr>
            <w:r w:rsidRPr="00407F88">
              <w:rPr>
                <w:rFonts w:eastAsia="宋体"/>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宋体"/>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等线"/>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Therefore, if an SI update procedure is performed</w:t>
            </w:r>
            <w:r>
              <w:rPr>
                <w:sz w:val="20"/>
                <w:szCs w:val="20"/>
                <w:lang w:eastAsia="ko-KR"/>
              </w:rPr>
              <w:t>(</w:t>
            </w:r>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宋体"/>
                <w:sz w:val="20"/>
                <w:szCs w:val="20"/>
              </w:rPr>
              <w:t>Agree with Ericsson</w:t>
            </w:r>
          </w:p>
        </w:tc>
      </w:tr>
      <w:tr w:rsidR="002D7468" w14:paraId="16B56619" w14:textId="77777777">
        <w:tc>
          <w:tcPr>
            <w:tcW w:w="1423" w:type="dxa"/>
          </w:tcPr>
          <w:p w14:paraId="008BE4A8" w14:textId="34D4F22E" w:rsidR="002D7468" w:rsidRDefault="002D7468" w:rsidP="002D7468">
            <w:pPr>
              <w:overflowPunct w:val="0"/>
              <w:autoSpaceDE w:val="0"/>
              <w:autoSpaceDN w:val="0"/>
              <w:adjustRightInd w:val="0"/>
              <w:textAlignment w:val="baseline"/>
              <w:rPr>
                <w:sz w:val="20"/>
                <w:szCs w:val="20"/>
                <w:lang w:val="en-GB" w:eastAsia="ko-KR"/>
              </w:rPr>
            </w:pPr>
            <w:r w:rsidRPr="00E83F97">
              <w:rPr>
                <w:rFonts w:eastAsia="等线"/>
                <w:sz w:val="20"/>
                <w:szCs w:val="20"/>
                <w:lang w:val="en-GB"/>
              </w:rPr>
              <w:t>v</w:t>
            </w:r>
            <w:r w:rsidRPr="00E83F97">
              <w:rPr>
                <w:rFonts w:eastAsia="等线" w:hint="eastAsia"/>
                <w:sz w:val="20"/>
                <w:szCs w:val="20"/>
                <w:lang w:val="en-GB"/>
              </w:rPr>
              <w:t>ivo</w:t>
            </w:r>
          </w:p>
        </w:tc>
        <w:tc>
          <w:tcPr>
            <w:tcW w:w="1232" w:type="dxa"/>
          </w:tcPr>
          <w:p w14:paraId="3941E982" w14:textId="77777777"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11CFA5AD" w14:textId="30A7EA1B" w:rsidR="002D7468" w:rsidRDefault="002D7468" w:rsidP="002D7468">
            <w:pPr>
              <w:overflowPunct w:val="0"/>
              <w:autoSpaceDE w:val="0"/>
              <w:autoSpaceDN w:val="0"/>
              <w:adjustRightInd w:val="0"/>
              <w:textAlignment w:val="baseline"/>
              <w:rPr>
                <w:sz w:val="20"/>
                <w:szCs w:val="20"/>
                <w:lang w:val="en-GB" w:eastAsia="ko-KR"/>
              </w:rPr>
            </w:pPr>
            <w:r>
              <w:rPr>
                <w:rFonts w:eastAsia="等线"/>
                <w:sz w:val="20"/>
                <w:szCs w:val="20"/>
                <w:lang w:val="en-GB"/>
              </w:rPr>
              <w:t>(proponent)</w:t>
            </w:r>
          </w:p>
        </w:tc>
        <w:tc>
          <w:tcPr>
            <w:tcW w:w="6361" w:type="dxa"/>
          </w:tcPr>
          <w:p w14:paraId="34CCEB65"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2E56AABF" w14:textId="77777777" w:rsidR="002D7468" w:rsidRPr="00E83F97" w:rsidRDefault="002D7468" w:rsidP="002D7468">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L1 based signaling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signaling for </w:t>
            </w:r>
            <w:r w:rsidRPr="00E83F97">
              <w:rPr>
                <w:rFonts w:ascii="Times New Roman" w:eastAsia="Batang" w:hAnsi="Times New Roman"/>
                <w:i/>
                <w:iCs/>
                <w:sz w:val="20"/>
                <w:szCs w:val="20"/>
                <w:lang w:val="en-GB" w:eastAsia="en-US"/>
              </w:rPr>
              <w:t xml:space="preserve">TRS availability indication </w:t>
            </w:r>
          </w:p>
          <w:p w14:paraId="4DE11BFB" w14:textId="77777777" w:rsidR="002D7468" w:rsidRPr="00E83F97" w:rsidRDefault="002D7468" w:rsidP="002D7468">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 xml:space="preserve">For each bit indicated as ‘1’ in the availability indication field of the current </w:t>
            </w:r>
            <w:r w:rsidRPr="00E83F97">
              <w:rPr>
                <w:rFonts w:ascii="Times New Roman" w:eastAsia="等线" w:hAnsi="Times New Roman"/>
                <w:i/>
                <w:iCs/>
                <w:color w:val="FF0000"/>
                <w:sz w:val="20"/>
                <w:szCs w:val="20"/>
                <w:u w:val="single"/>
                <w:lang w:val="en-GB" w:eastAsia="en-US"/>
              </w:rPr>
              <w:t xml:space="preserve">L1 based signaling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signaling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4FFB47AC" w14:textId="77777777" w:rsidR="002D7468" w:rsidRDefault="002D7468" w:rsidP="002D7468">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等线" w:hAnsi="Times New Roman"/>
                <w:i/>
                <w:iCs/>
                <w:color w:val="FF0000"/>
                <w:sz w:val="20"/>
                <w:szCs w:val="20"/>
                <w:u w:val="single"/>
                <w:lang w:val="en-GB" w:eastAsia="en-US"/>
              </w:rPr>
              <w:t>L1 based signaling</w:t>
            </w:r>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75F96301" w14:textId="77777777" w:rsidR="002D7468" w:rsidRDefault="002D7468" w:rsidP="002D7468">
            <w:pPr>
              <w:widowControl w:val="0"/>
              <w:jc w:val="both"/>
              <w:rPr>
                <w:rFonts w:ascii="Times New Roman" w:eastAsia="Batang" w:hAnsi="Times New Roman"/>
                <w:sz w:val="20"/>
                <w:szCs w:val="20"/>
                <w:lang w:val="en-GB" w:eastAsia="en-US"/>
              </w:rPr>
            </w:pPr>
          </w:p>
          <w:p w14:paraId="7B580F2D" w14:textId="77777777" w:rsidR="002D7468" w:rsidRDefault="002D7468" w:rsidP="002D7468">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 xml:space="preserve">It can be observed that the indication of L1 based availability indication in and out of the validity duration is different. And in the above case, the new received L1 based signaling obviously should be considered as which is </w:t>
            </w:r>
            <w:r>
              <w:rPr>
                <w:rFonts w:ascii="Times New Roman" w:eastAsia="Batang" w:hAnsi="Times New Roman"/>
                <w:sz w:val="20"/>
                <w:szCs w:val="20"/>
                <w:lang w:val="en-GB" w:eastAsia="en-US"/>
              </w:rPr>
              <w:lastRenderedPageBreak/>
              <w:t>received out of the validity duration, which is not aligned with RAN1’s agreement.</w:t>
            </w:r>
          </w:p>
          <w:p w14:paraId="66138A81" w14:textId="7C4B2E40"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t xml:space="preserve">Hence the case that TRS/CSI-RS configuration is changed within the </w:t>
            </w:r>
            <w:r w:rsidRPr="00E83F97">
              <w:rPr>
                <w:rFonts w:ascii="Times New Roman" w:eastAsia="Batang" w:hAnsi="Times New Roman"/>
                <w:sz w:val="20"/>
                <w:szCs w:val="20"/>
                <w:lang w:val="en-GB" w:eastAsia="en-US"/>
              </w:rPr>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646948" w14:paraId="1459F59B" w14:textId="77777777">
        <w:tc>
          <w:tcPr>
            <w:tcW w:w="1423" w:type="dxa"/>
          </w:tcPr>
          <w:p w14:paraId="481A862D" w14:textId="7768B4B6"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lastRenderedPageBreak/>
              <w:t>CATT</w:t>
            </w:r>
          </w:p>
        </w:tc>
        <w:tc>
          <w:tcPr>
            <w:tcW w:w="1232" w:type="dxa"/>
          </w:tcPr>
          <w:p w14:paraId="3C9A55EC" w14:textId="06E9921F"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07DF15F4" w14:textId="4997673C"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Our understanding is that the L1 indication is associated with a TRS configuration (via the parameter </w:t>
            </w:r>
            <w:r w:rsidRPr="00CC08B3">
              <w:rPr>
                <w:rFonts w:eastAsia="Malgun Gothic"/>
                <w:i/>
                <w:sz w:val="20"/>
                <w:szCs w:val="20"/>
                <w:lang w:val="en-GB" w:eastAsia="ko-KR"/>
              </w:rPr>
              <w:t>indBitID</w:t>
            </w:r>
            <w:r>
              <w:rPr>
                <w:rFonts w:eastAsia="Malgun Gothic"/>
                <w:sz w:val="20"/>
                <w:szCs w:val="20"/>
                <w:lang w:val="en-GB" w:eastAsia="ko-KR"/>
              </w:rPr>
              <w:t>), hence upon a new configuration it makes sense that the L1 indication associated with the old TRS configuration is no longer valid.</w:t>
            </w:r>
          </w:p>
        </w:tc>
      </w:tr>
      <w:tr w:rsidR="005E4722" w14:paraId="38B1C515" w14:textId="77777777">
        <w:tc>
          <w:tcPr>
            <w:tcW w:w="1423" w:type="dxa"/>
          </w:tcPr>
          <w:p w14:paraId="61DE91B7" w14:textId="3CA8238F"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32890CCC" w14:textId="7434BB14"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4EBCB67D" w14:textId="7EBE92F1"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3243A9" w14:paraId="7789F966" w14:textId="77777777">
        <w:tc>
          <w:tcPr>
            <w:tcW w:w="1423" w:type="dxa"/>
          </w:tcPr>
          <w:p w14:paraId="017A5329" w14:textId="221D4350" w:rsidR="003243A9" w:rsidRDefault="003243A9" w:rsidP="002D7468">
            <w:pPr>
              <w:overflowPunct w:val="0"/>
              <w:autoSpaceDE w:val="0"/>
              <w:autoSpaceDN w:val="0"/>
              <w:adjustRightInd w:val="0"/>
              <w:textAlignment w:val="baseline"/>
              <w:rPr>
                <w:rFonts w:eastAsia="PMingLiU"/>
                <w:sz w:val="20"/>
                <w:szCs w:val="20"/>
                <w:lang w:val="en-GB" w:eastAsia="zh-TW"/>
              </w:rPr>
            </w:pPr>
            <w:r w:rsidRPr="003243A9">
              <w:rPr>
                <w:rFonts w:eastAsia="PMingLiU"/>
                <w:sz w:val="20"/>
                <w:szCs w:val="20"/>
                <w:lang w:val="en-GB" w:eastAsia="zh-TW"/>
              </w:rPr>
              <w:t>Huawei, HiSilicon</w:t>
            </w:r>
          </w:p>
        </w:tc>
        <w:tc>
          <w:tcPr>
            <w:tcW w:w="1232" w:type="dxa"/>
          </w:tcPr>
          <w:p w14:paraId="4CD50A02" w14:textId="7C7D5C09"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23EDDED3" w14:textId="34075DCA"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837C47" w14:paraId="18BE6BE8" w14:textId="77777777">
        <w:tc>
          <w:tcPr>
            <w:tcW w:w="1423" w:type="dxa"/>
          </w:tcPr>
          <w:p w14:paraId="0C10AE31" w14:textId="64D44ABE" w:rsidR="00837C47" w:rsidRPr="003243A9"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76F7550E" w14:textId="0710B0CA"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Option 2</w:t>
            </w:r>
          </w:p>
        </w:tc>
        <w:tc>
          <w:tcPr>
            <w:tcW w:w="6361" w:type="dxa"/>
          </w:tcPr>
          <w:p w14:paraId="0986F054" w14:textId="20294926"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A47FA3" w14:paraId="298E1D48" w14:textId="77777777">
        <w:tc>
          <w:tcPr>
            <w:tcW w:w="1423" w:type="dxa"/>
          </w:tcPr>
          <w:p w14:paraId="0D3F9B70" w14:textId="06F75B00" w:rsidR="00A47FA3" w:rsidRPr="00A47FA3" w:rsidRDefault="00A47FA3"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C</w:t>
            </w:r>
            <w:r>
              <w:rPr>
                <w:rFonts w:eastAsiaTheme="minorEastAsia"/>
                <w:sz w:val="20"/>
                <w:szCs w:val="20"/>
                <w:lang w:val="en-GB"/>
              </w:rPr>
              <w:t>MCC</w:t>
            </w:r>
          </w:p>
        </w:tc>
        <w:tc>
          <w:tcPr>
            <w:tcW w:w="1232" w:type="dxa"/>
          </w:tcPr>
          <w:p w14:paraId="5C3AD893" w14:textId="5492B234" w:rsidR="00A47FA3" w:rsidRPr="00A47FA3" w:rsidRDefault="00A47FA3"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589364C7" w14:textId="77777777" w:rsidR="00A47FA3" w:rsidRDefault="00A47FA3" w:rsidP="002D7468">
            <w:pPr>
              <w:overflowPunct w:val="0"/>
              <w:autoSpaceDE w:val="0"/>
              <w:autoSpaceDN w:val="0"/>
              <w:adjustRightInd w:val="0"/>
              <w:textAlignment w:val="baseline"/>
              <w:rPr>
                <w:rFonts w:eastAsia="PMingLiU"/>
                <w:sz w:val="20"/>
                <w:szCs w:val="20"/>
                <w:lang w:val="en-GB" w:eastAsia="zh-TW"/>
              </w:rPr>
            </w:pP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a0"/>
      </w:pPr>
    </w:p>
    <w:p w14:paraId="0C3D11CC" w14:textId="77777777" w:rsidR="000D5EC2" w:rsidRDefault="000D5EC2">
      <w:pPr>
        <w:pStyle w:val="a0"/>
      </w:pPr>
    </w:p>
    <w:p w14:paraId="1DE0835F" w14:textId="77777777" w:rsidR="000D5EC2" w:rsidRDefault="002E7D45">
      <w:pPr>
        <w:pStyle w:val="20"/>
        <w:ind w:left="562" w:hanging="562"/>
        <w:rPr>
          <w:sz w:val="22"/>
        </w:rPr>
      </w:pPr>
      <w:r>
        <w:rPr>
          <w:sz w:val="22"/>
        </w:rPr>
        <w:t>TRS resource configuration conflict between Idle/Inactive and Connected</w:t>
      </w:r>
    </w:p>
    <w:p w14:paraId="491C9932" w14:textId="77777777" w:rsidR="000D5EC2" w:rsidRDefault="002E7D45">
      <w:pPr>
        <w:pStyle w:val="a0"/>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a0"/>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a0"/>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a0"/>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af3"/>
        <w:tblW w:w="0" w:type="auto"/>
        <w:tblLook w:val="04A0" w:firstRow="1" w:lastRow="0" w:firstColumn="1" w:lastColumn="0" w:noHBand="0" w:noVBand="1"/>
      </w:tblPr>
      <w:tblGrid>
        <w:gridCol w:w="9286"/>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等线" w:hAnsi="Arial"/>
                <w:szCs w:val="20"/>
                <w:lang w:val="en-GB"/>
              </w:rPr>
            </w:pPr>
            <w:bookmarkStart w:id="9" w:name="_Toc100930034"/>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等线"/>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a0"/>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等线"/>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a0"/>
              <w:rPr>
                <w:sz w:val="20"/>
              </w:rPr>
            </w:pPr>
          </w:p>
          <w:p w14:paraId="1613025D" w14:textId="77777777" w:rsidR="000D5EC2" w:rsidRDefault="000D5EC2">
            <w:pPr>
              <w:pStyle w:val="a0"/>
              <w:rPr>
                <w:sz w:val="20"/>
              </w:rPr>
            </w:pPr>
          </w:p>
        </w:tc>
      </w:tr>
    </w:tbl>
    <w:p w14:paraId="47AF5339" w14:textId="77777777" w:rsidR="000D5EC2" w:rsidRDefault="000D5EC2">
      <w:pPr>
        <w:pStyle w:val="a0"/>
        <w:rPr>
          <w:sz w:val="20"/>
        </w:rPr>
      </w:pPr>
    </w:p>
    <w:p w14:paraId="2C187D76" w14:textId="77777777" w:rsidR="000D5EC2" w:rsidRDefault="002E7D45">
      <w:pPr>
        <w:pStyle w:val="a0"/>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Furthermore PEI is not used in  connected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T</w:t>
            </w:r>
            <w:r>
              <w:rPr>
                <w:rFonts w:eastAsia="等线"/>
                <w:sz w:val="20"/>
                <w:szCs w:val="20"/>
              </w:rPr>
              <w:t>he spec has put it clear that SIB-</w:t>
            </w:r>
            <w:r>
              <w:rPr>
                <w:rFonts w:eastAsia="等线" w:hint="eastAsia"/>
                <w:sz w:val="20"/>
                <w:szCs w:val="20"/>
              </w:rPr>
              <w:t>17</w:t>
            </w:r>
            <w:r>
              <w:rPr>
                <w:rFonts w:eastAsia="等线"/>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宋体"/>
                <w:sz w:val="20"/>
                <w:szCs w:val="20"/>
              </w:rPr>
            </w:pPr>
            <w:r>
              <w:rPr>
                <w:rFonts w:eastAsia="宋体"/>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宋体"/>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等线"/>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2D7468" w14:paraId="0FB78D21" w14:textId="77777777">
        <w:tc>
          <w:tcPr>
            <w:tcW w:w="1423" w:type="dxa"/>
          </w:tcPr>
          <w:p w14:paraId="2078FAE9" w14:textId="4E5D751F"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5C3E7A75" w14:textId="3105EBB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63ECD516" w14:textId="4B302B56"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等线" w:hAnsi="Times New Roman"/>
                <w:sz w:val="20"/>
                <w:szCs w:val="20"/>
              </w:rPr>
              <w:t xml:space="preserve">Similar view as Ericsson. </w:t>
            </w:r>
          </w:p>
        </w:tc>
      </w:tr>
      <w:tr w:rsidR="008A10B9" w14:paraId="364FC097" w14:textId="77777777">
        <w:tc>
          <w:tcPr>
            <w:tcW w:w="1423" w:type="dxa"/>
          </w:tcPr>
          <w:p w14:paraId="0FADE031" w14:textId="6AC07340"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1C7E69EE" w14:textId="74125515"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38B296CB" w14:textId="77777777" w:rsidR="008A10B9" w:rsidRDefault="008A10B9" w:rsidP="002D7468">
            <w:pPr>
              <w:overflowPunct w:val="0"/>
              <w:autoSpaceDE w:val="0"/>
              <w:autoSpaceDN w:val="0"/>
              <w:adjustRightInd w:val="0"/>
              <w:textAlignment w:val="baseline"/>
              <w:rPr>
                <w:sz w:val="20"/>
                <w:szCs w:val="20"/>
                <w:lang w:val="en-GB" w:eastAsia="ko-KR"/>
              </w:rPr>
            </w:pPr>
          </w:p>
        </w:tc>
      </w:tr>
      <w:tr w:rsidR="00CE33AB" w14:paraId="2C0B1239" w14:textId="77777777">
        <w:tc>
          <w:tcPr>
            <w:tcW w:w="1423" w:type="dxa"/>
          </w:tcPr>
          <w:p w14:paraId="64A92885" w14:textId="7CA4981A"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4884570C" w14:textId="3AB1D27D"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N</w:t>
            </w:r>
            <w:r>
              <w:rPr>
                <w:rFonts w:eastAsia="PMingLiU"/>
                <w:sz w:val="20"/>
                <w:szCs w:val="20"/>
                <w:lang w:val="en-GB" w:eastAsia="zh-TW"/>
              </w:rPr>
              <w:t>o</w:t>
            </w:r>
          </w:p>
        </w:tc>
        <w:tc>
          <w:tcPr>
            <w:tcW w:w="6361" w:type="dxa"/>
          </w:tcPr>
          <w:p w14:paraId="180C544F" w14:textId="77777777" w:rsidR="00CE33AB" w:rsidRDefault="00CE33AB" w:rsidP="002D7468">
            <w:pPr>
              <w:overflowPunct w:val="0"/>
              <w:autoSpaceDE w:val="0"/>
              <w:autoSpaceDN w:val="0"/>
              <w:adjustRightInd w:val="0"/>
              <w:textAlignment w:val="baseline"/>
              <w:rPr>
                <w:sz w:val="20"/>
                <w:szCs w:val="20"/>
                <w:lang w:val="en-GB" w:eastAsia="ko-KR"/>
              </w:rPr>
            </w:pPr>
          </w:p>
        </w:tc>
      </w:tr>
      <w:tr w:rsidR="00FE072D" w14:paraId="10360C0B" w14:textId="77777777">
        <w:tc>
          <w:tcPr>
            <w:tcW w:w="1423" w:type="dxa"/>
          </w:tcPr>
          <w:p w14:paraId="0CD5EA29" w14:textId="6FABE204" w:rsidR="00FE072D" w:rsidRDefault="00FE072D" w:rsidP="002D7468">
            <w:pPr>
              <w:overflowPunct w:val="0"/>
              <w:autoSpaceDE w:val="0"/>
              <w:autoSpaceDN w:val="0"/>
              <w:adjustRightInd w:val="0"/>
              <w:textAlignment w:val="baseline"/>
              <w:rPr>
                <w:rFonts w:eastAsia="PMingLiU"/>
                <w:sz w:val="20"/>
                <w:szCs w:val="20"/>
                <w:lang w:val="en-GB" w:eastAsia="zh-TW"/>
              </w:rPr>
            </w:pPr>
            <w:r w:rsidRPr="00FE072D">
              <w:rPr>
                <w:rFonts w:eastAsia="PMingLiU"/>
                <w:sz w:val="20"/>
                <w:szCs w:val="20"/>
                <w:lang w:val="en-GB" w:eastAsia="zh-TW"/>
              </w:rPr>
              <w:t xml:space="preserve">Huawei, </w:t>
            </w:r>
            <w:r w:rsidRPr="00FE072D">
              <w:rPr>
                <w:rFonts w:eastAsia="PMingLiU"/>
                <w:sz w:val="20"/>
                <w:szCs w:val="20"/>
                <w:lang w:val="en-GB" w:eastAsia="zh-TW"/>
              </w:rPr>
              <w:lastRenderedPageBreak/>
              <w:t>HiSilicon</w:t>
            </w:r>
          </w:p>
        </w:tc>
        <w:tc>
          <w:tcPr>
            <w:tcW w:w="1232" w:type="dxa"/>
          </w:tcPr>
          <w:p w14:paraId="0584D68E" w14:textId="3EC65ACB" w:rsidR="00FE072D" w:rsidRDefault="00FE072D"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lastRenderedPageBreak/>
              <w:t xml:space="preserve">No </w:t>
            </w:r>
          </w:p>
        </w:tc>
        <w:tc>
          <w:tcPr>
            <w:tcW w:w="6361" w:type="dxa"/>
          </w:tcPr>
          <w:p w14:paraId="5427A6C7" w14:textId="7C0D7BBC" w:rsidR="00FE072D" w:rsidRDefault="00FE072D" w:rsidP="002D7468">
            <w:pPr>
              <w:overflowPunct w:val="0"/>
              <w:autoSpaceDE w:val="0"/>
              <w:autoSpaceDN w:val="0"/>
              <w:adjustRightInd w:val="0"/>
              <w:textAlignment w:val="baseline"/>
              <w:rPr>
                <w:sz w:val="20"/>
                <w:szCs w:val="20"/>
                <w:lang w:val="en-GB" w:eastAsia="ko-KR"/>
              </w:rPr>
            </w:pPr>
            <w:r w:rsidRPr="00FE072D">
              <w:rPr>
                <w:sz w:val="20"/>
                <w:szCs w:val="20"/>
                <w:lang w:val="en-GB" w:eastAsia="ko-KR"/>
              </w:rPr>
              <w:t>Agree with Ericsson.</w:t>
            </w:r>
          </w:p>
        </w:tc>
      </w:tr>
      <w:tr w:rsidR="00837C47" w14:paraId="7BA2069F" w14:textId="77777777">
        <w:tc>
          <w:tcPr>
            <w:tcW w:w="1423" w:type="dxa"/>
          </w:tcPr>
          <w:p w14:paraId="07B89589" w14:textId="33D90272" w:rsidR="00837C47" w:rsidRPr="00FE072D"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4F4D6396" w14:textId="4F47600E"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No</w:t>
            </w:r>
          </w:p>
        </w:tc>
        <w:tc>
          <w:tcPr>
            <w:tcW w:w="6361" w:type="dxa"/>
          </w:tcPr>
          <w:p w14:paraId="66F261E2" w14:textId="77777777" w:rsidR="00837C47" w:rsidRPr="00FE072D" w:rsidRDefault="00837C47" w:rsidP="002D7468">
            <w:pPr>
              <w:overflowPunct w:val="0"/>
              <w:autoSpaceDE w:val="0"/>
              <w:autoSpaceDN w:val="0"/>
              <w:adjustRightInd w:val="0"/>
              <w:textAlignment w:val="baseline"/>
              <w:rPr>
                <w:sz w:val="20"/>
                <w:szCs w:val="20"/>
                <w:lang w:val="en-GB" w:eastAsia="ko-KR"/>
              </w:rPr>
            </w:pPr>
          </w:p>
        </w:tc>
      </w:tr>
      <w:tr w:rsidR="009148E6" w14:paraId="27952CE3" w14:textId="77777777">
        <w:tc>
          <w:tcPr>
            <w:tcW w:w="1423" w:type="dxa"/>
          </w:tcPr>
          <w:p w14:paraId="164FDC94" w14:textId="290646AF" w:rsidR="009148E6" w:rsidRPr="009148E6" w:rsidRDefault="009148E6"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C</w:t>
            </w:r>
            <w:r>
              <w:rPr>
                <w:rFonts w:eastAsiaTheme="minorEastAsia"/>
                <w:sz w:val="20"/>
                <w:szCs w:val="20"/>
                <w:lang w:val="en-GB"/>
              </w:rPr>
              <w:t>MCC</w:t>
            </w:r>
          </w:p>
        </w:tc>
        <w:tc>
          <w:tcPr>
            <w:tcW w:w="1232" w:type="dxa"/>
          </w:tcPr>
          <w:p w14:paraId="10CDD69C" w14:textId="54D5C709" w:rsidR="009148E6" w:rsidRPr="009148E6" w:rsidRDefault="009148E6"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43AEE508" w14:textId="77777777" w:rsidR="009148E6" w:rsidRPr="00FE072D" w:rsidRDefault="009148E6" w:rsidP="002D7468">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20"/>
        <w:ind w:left="562" w:hanging="562"/>
        <w:rPr>
          <w:sz w:val="22"/>
        </w:rPr>
      </w:pPr>
      <w:r>
        <w:rPr>
          <w:sz w:val="22"/>
        </w:rPr>
        <w:t xml:space="preserve">Adding an “infinite” value to the field </w:t>
      </w:r>
      <w:r>
        <w:rPr>
          <w:i/>
          <w:sz w:val="22"/>
        </w:rPr>
        <w:t>validityDuration</w:t>
      </w:r>
    </w:p>
    <w:p w14:paraId="6F3EB56B" w14:textId="77777777" w:rsidR="000D5EC2" w:rsidRDefault="002E7D45">
      <w:pPr>
        <w:pStyle w:val="a0"/>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The finite values defined for 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Pr>
          <w:i/>
          <w:sz w:val="20"/>
        </w:rPr>
        <w:t>validityDuration</w:t>
      </w:r>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r>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H</w:t>
            </w:r>
            <w:r>
              <w:rPr>
                <w:rFonts w:eastAsia="等线"/>
                <w:sz w:val="20"/>
                <w:szCs w:val="20"/>
              </w:rPr>
              <w:t>ave sympathy on this.</w:t>
            </w:r>
          </w:p>
          <w:p w14:paraId="3F1CD35E" w14:textId="77777777" w:rsidR="000D5EC2" w:rsidRDefault="002E7D45">
            <w:pPr>
              <w:overflowPunct w:val="0"/>
              <w:autoSpaceDE w:val="0"/>
              <w:autoSpaceDN w:val="0"/>
              <w:adjustRightInd w:val="0"/>
              <w:textAlignment w:val="baseline"/>
              <w:rPr>
                <w:rFonts w:eastAsia="等线"/>
                <w:sz w:val="20"/>
                <w:szCs w:val="20"/>
              </w:rPr>
            </w:pPr>
            <w:r>
              <w:rPr>
                <w:rFonts w:eastAsia="等线"/>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Qualcomm</w:t>
            </w:r>
            <w:r>
              <w:rPr>
                <w:rFonts w:eastAsia="宋体"/>
                <w:sz w:val="20"/>
                <w:szCs w:val="20"/>
              </w:rPr>
              <w:t>’</w:t>
            </w:r>
            <w:r>
              <w:rPr>
                <w:rFonts w:eastAsia="宋体"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宋体"/>
                <w:sz w:val="20"/>
                <w:szCs w:val="20"/>
              </w:rPr>
            </w:pPr>
            <w:r>
              <w:rPr>
                <w:rFonts w:eastAsia="宋体"/>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宋体"/>
                <w:sz w:val="20"/>
                <w:szCs w:val="20"/>
              </w:rPr>
            </w:pPr>
            <w:r>
              <w:rPr>
                <w:rFonts w:eastAsia="宋体"/>
                <w:sz w:val="20"/>
                <w:szCs w:val="20"/>
              </w:rPr>
              <w:t xml:space="preserve">It seems like a good solution to minimize needless signalling. </w:t>
            </w:r>
            <w:r>
              <w:rPr>
                <w:rFonts w:eastAsia="宋体"/>
                <w:sz w:val="20"/>
                <w:szCs w:val="20"/>
              </w:rPr>
              <w:br/>
              <w:t xml:space="preserve">SIB validity time can be used instead of infinity, but that is semantics which can be solved in the field description. </w:t>
            </w:r>
            <w:r w:rsidR="00016424">
              <w:rPr>
                <w:rFonts w:eastAsia="宋体"/>
                <w:sz w:val="20"/>
                <w:szCs w:val="20"/>
              </w:rPr>
              <w:t>Anyway some additional description will be needed, e.g., not mandating any L1 indication.</w:t>
            </w:r>
            <w:r>
              <w:rPr>
                <w:rFonts w:eastAsia="宋体"/>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signaling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宋体"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having  </w:t>
            </w:r>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r w:rsidRPr="00204DBD">
              <w:rPr>
                <w:rFonts w:eastAsia="Malgun Gothic"/>
                <w:i/>
                <w:iCs/>
                <w:sz w:val="20"/>
                <w:szCs w:val="20"/>
                <w:lang w:val="en-GB" w:eastAsia="ko-KR"/>
              </w:rPr>
              <w:t>validityDuration</w:t>
            </w:r>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2D7468" w14:paraId="72EE832C" w14:textId="77777777">
        <w:tc>
          <w:tcPr>
            <w:tcW w:w="1423" w:type="dxa"/>
          </w:tcPr>
          <w:p w14:paraId="1A143FC4" w14:textId="0D5E3B1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15DF0DE2" w14:textId="11EBF3B0" w:rsidR="002D7468" w:rsidRDefault="002D7468" w:rsidP="002D7468">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9245C1D" w14:textId="23F05E50" w:rsidR="002D7468" w:rsidRDefault="002D7468" w:rsidP="002D7468">
            <w:pPr>
              <w:overflowPunct w:val="0"/>
              <w:autoSpaceDE w:val="0"/>
              <w:autoSpaceDN w:val="0"/>
              <w:adjustRightInd w:val="0"/>
              <w:textAlignment w:val="baseline"/>
              <w:rPr>
                <w:sz w:val="20"/>
                <w:szCs w:val="20"/>
                <w:lang w:val="en-GB" w:eastAsia="ko-KR"/>
              </w:rPr>
            </w:pPr>
            <w:r>
              <w:rPr>
                <w:rFonts w:eastAsia="等线"/>
                <w:sz w:val="20"/>
                <w:szCs w:val="20"/>
              </w:rPr>
              <w:t>If the TRS/CSI-RS configuration doesn’t change, it may be efficient.</w:t>
            </w:r>
          </w:p>
        </w:tc>
      </w:tr>
      <w:tr w:rsidR="00B67361" w14:paraId="7B114204" w14:textId="77777777">
        <w:tc>
          <w:tcPr>
            <w:tcW w:w="1423" w:type="dxa"/>
          </w:tcPr>
          <w:p w14:paraId="432B297E" w14:textId="155D016B"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69E3A003" w14:textId="2C0C2F87"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6A8816B9" w14:textId="77777777" w:rsidR="00B67361" w:rsidRDefault="00B67361" w:rsidP="00D419C0">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 xml:space="preserve">We have some sympathy on this. It provides the flexibility to configure </w:t>
            </w:r>
            <w:r>
              <w:rPr>
                <w:rFonts w:eastAsiaTheme="minorEastAsia"/>
                <w:sz w:val="20"/>
                <w:szCs w:val="20"/>
                <w:lang w:val="en-GB"/>
              </w:rPr>
              <w:t xml:space="preserve">a </w:t>
            </w:r>
            <w:r>
              <w:rPr>
                <w:rFonts w:eastAsiaTheme="minorEastAsia" w:hint="eastAsia"/>
                <w:sz w:val="20"/>
                <w:szCs w:val="20"/>
                <w:lang w:val="en-GB"/>
              </w:rPr>
              <w:t>steady TRS configuration for idle/inactive UEs.</w:t>
            </w:r>
            <w:r>
              <w:rPr>
                <w:rFonts w:eastAsiaTheme="minorEastAsia"/>
                <w:sz w:val="20"/>
                <w:szCs w:val="20"/>
                <w:lang w:val="en-GB"/>
              </w:rPr>
              <w:t xml:space="preserve"> Specifically:</w:t>
            </w:r>
          </w:p>
          <w:p w14:paraId="01DC9865" w14:textId="31718569"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lastRenderedPageBreak/>
              <w:t xml:space="preserve">On one hand we acknowledge that </w:t>
            </w:r>
            <w:r w:rsidRPr="006578E3">
              <w:rPr>
                <w:rFonts w:eastAsia="Malgun Gothic"/>
                <w:sz w:val="20"/>
                <w:szCs w:val="20"/>
                <w:lang w:val="en-GB" w:eastAsia="ko-KR"/>
              </w:rPr>
              <w:t xml:space="preserve">if we go with above </w:t>
            </w:r>
            <w:r>
              <w:rPr>
                <w:rFonts w:eastAsia="Malgun Gothic"/>
                <w:sz w:val="20"/>
                <w:szCs w:val="20"/>
                <w:lang w:val="en-GB" w:eastAsia="ko-KR"/>
              </w:rPr>
              <w:t xml:space="preserve">Option 2 </w:t>
            </w:r>
            <w:r w:rsidRPr="006578E3">
              <w:rPr>
                <w:rFonts w:eastAsia="Malgun Gothic"/>
                <w:sz w:val="20"/>
                <w:szCs w:val="20"/>
                <w:lang w:val="en-GB" w:eastAsia="ko-KR"/>
              </w:rPr>
              <w:t>behaviour</w:t>
            </w:r>
            <w:r>
              <w:rPr>
                <w:rFonts w:eastAsia="Malgun Gothic"/>
                <w:sz w:val="20"/>
                <w:szCs w:val="20"/>
                <w:lang w:val="en-GB" w:eastAsia="ko-KR"/>
              </w:rPr>
              <w:t xml:space="preserve"> of Q1, </w:t>
            </w:r>
            <w:r w:rsidRPr="006578E3">
              <w:rPr>
                <w:rFonts w:eastAsia="Malgun Gothic"/>
                <w:sz w:val="20"/>
                <w:szCs w:val="20"/>
                <w:lang w:val="en-GB" w:eastAsia="ko-KR"/>
              </w:rPr>
              <w:t xml:space="preserve">and considering the SIB17 (and hence the TRS config therein) expires every 3 hours, then the associated TRS/CSI-RS configuration will also become unavailable and so will the related L1 based availability indication. So the value </w:t>
            </w:r>
            <w:r>
              <w:rPr>
                <w:rFonts w:eastAsia="Malgun Gothic"/>
                <w:sz w:val="20"/>
                <w:szCs w:val="20"/>
                <w:lang w:val="en-GB" w:eastAsia="ko-KR"/>
              </w:rPr>
              <w:t>“</w:t>
            </w:r>
            <w:r w:rsidRPr="006578E3">
              <w:rPr>
                <w:rFonts w:eastAsia="Malgun Gothic"/>
                <w:sz w:val="20"/>
                <w:szCs w:val="20"/>
                <w:lang w:val="en-GB" w:eastAsia="ko-KR"/>
              </w:rPr>
              <w:t>infinite</w:t>
            </w:r>
            <w:r>
              <w:rPr>
                <w:rFonts w:eastAsia="Malgun Gothic"/>
                <w:sz w:val="20"/>
                <w:szCs w:val="20"/>
                <w:lang w:val="en-GB" w:eastAsia="ko-KR"/>
              </w:rPr>
              <w:t>”</w:t>
            </w:r>
            <w:r w:rsidRPr="006578E3">
              <w:rPr>
                <w:rFonts w:eastAsia="Malgun Gothic"/>
                <w:sz w:val="20"/>
                <w:szCs w:val="20"/>
                <w:lang w:val="en-GB" w:eastAsia="ko-KR"/>
              </w:rPr>
              <w:t xml:space="preserve"> somehow never happens.</w:t>
            </w:r>
          </w:p>
          <w:p w14:paraId="06CEFE5C" w14:textId="77777777"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sidRPr="006578E3">
              <w:rPr>
                <w:rFonts w:eastAsia="Malgun Gothic"/>
                <w:sz w:val="20"/>
                <w:szCs w:val="20"/>
                <w:lang w:val="en-GB" w:eastAsia="ko-KR"/>
              </w:rPr>
              <w:t xml:space="preserve">On the other hand, the maximum value for the </w:t>
            </w:r>
            <w:r w:rsidRPr="006578E3">
              <w:rPr>
                <w:rFonts w:eastAsia="Malgun Gothic"/>
                <w:i/>
                <w:sz w:val="20"/>
                <w:szCs w:val="20"/>
                <w:lang w:val="en-GB" w:eastAsia="ko-KR"/>
              </w:rPr>
              <w:t>validityTimer</w:t>
            </w:r>
            <w:r w:rsidRPr="006578E3">
              <w:rPr>
                <w:rFonts w:eastAsia="Malgun Gothic"/>
                <w:sz w:val="20"/>
                <w:szCs w:val="20"/>
                <w:lang w:val="en-GB" w:eastAsia="ko-KR"/>
              </w:rPr>
              <w:t xml:space="preserve"> is 512 x default paging cycle. Assuming a typical default paging cycle of 64 radio frames (= 640ms) then the maximum value for the </w:t>
            </w:r>
            <w:r w:rsidRPr="006578E3">
              <w:rPr>
                <w:rFonts w:eastAsia="Malgun Gothic"/>
                <w:i/>
                <w:sz w:val="20"/>
                <w:szCs w:val="20"/>
                <w:lang w:val="en-GB" w:eastAsia="ko-KR"/>
              </w:rPr>
              <w:t>validity timer</w:t>
            </w:r>
            <w:r w:rsidRPr="006578E3">
              <w:rPr>
                <w:rFonts w:eastAsia="Malgun Gothic"/>
                <w:sz w:val="20"/>
                <w:szCs w:val="20"/>
                <w:lang w:val="en-GB" w:eastAsia="ko-KR"/>
              </w:rPr>
              <w:t xml:space="preserve"> is 512 x 640ms = 512 x 0.64s ~ 5min30s so we are still far from the above 3 hours. And the network is still required to send a new L1-based validity indication every 5m30s. </w:t>
            </w:r>
          </w:p>
          <w:p w14:paraId="5C7E79BD" w14:textId="4E00D495" w:rsidR="00B67361" w:rsidRDefault="00B67361" w:rsidP="002D7468">
            <w:pPr>
              <w:overflowPunct w:val="0"/>
              <w:autoSpaceDE w:val="0"/>
              <w:autoSpaceDN w:val="0"/>
              <w:adjustRightInd w:val="0"/>
              <w:textAlignment w:val="baseline"/>
              <w:rPr>
                <w:sz w:val="20"/>
                <w:szCs w:val="20"/>
                <w:lang w:val="en-GB" w:eastAsia="ko-KR"/>
              </w:rPr>
            </w:pPr>
            <w:r w:rsidRPr="006578E3">
              <w:rPr>
                <w:rFonts w:eastAsia="Malgun Gothic"/>
                <w:sz w:val="20"/>
                <w:szCs w:val="20"/>
                <w:lang w:val="en-GB" w:eastAsia="ko-KR"/>
              </w:rPr>
              <w:t xml:space="preserve">So </w:t>
            </w:r>
            <w:r>
              <w:rPr>
                <w:rFonts w:eastAsia="Malgun Gothic"/>
                <w:sz w:val="20"/>
                <w:szCs w:val="20"/>
                <w:lang w:val="en-GB" w:eastAsia="ko-KR"/>
              </w:rPr>
              <w:t>we</w:t>
            </w:r>
            <w:r w:rsidRPr="006578E3">
              <w:rPr>
                <w:rFonts w:eastAsia="Malgun Gothic"/>
                <w:sz w:val="20"/>
                <w:szCs w:val="20"/>
                <w:lang w:val="en-GB" w:eastAsia="ko-KR"/>
              </w:rPr>
              <w:t xml:space="preserve"> still see a benefit in supporting the infinite value because, even if the “infinite” will never happen in practice, it still bounds the upper limit of the </w:t>
            </w:r>
            <w:r w:rsidRPr="006578E3">
              <w:rPr>
                <w:rFonts w:eastAsia="Malgun Gothic"/>
                <w:i/>
                <w:sz w:val="20"/>
                <w:szCs w:val="20"/>
                <w:lang w:val="en-GB" w:eastAsia="ko-KR"/>
              </w:rPr>
              <w:t>validityTimer</w:t>
            </w:r>
            <w:r w:rsidRPr="006578E3">
              <w:rPr>
                <w:rFonts w:eastAsia="Malgun Gothic"/>
                <w:sz w:val="20"/>
                <w:szCs w:val="20"/>
                <w:lang w:val="en-GB" w:eastAsia="ko-KR"/>
              </w:rPr>
              <w:t xml:space="preserve"> to the SIB expiration delay of 3 hours</w:t>
            </w:r>
            <w:r>
              <w:rPr>
                <w:rFonts w:eastAsia="Malgun Gothic"/>
                <w:sz w:val="20"/>
                <w:szCs w:val="20"/>
                <w:lang w:val="en-GB" w:eastAsia="ko-KR"/>
              </w:rPr>
              <w:t>.</w:t>
            </w:r>
          </w:p>
        </w:tc>
      </w:tr>
      <w:tr w:rsidR="00771145" w14:paraId="17F0D247" w14:textId="77777777">
        <w:tc>
          <w:tcPr>
            <w:tcW w:w="1423" w:type="dxa"/>
          </w:tcPr>
          <w:p w14:paraId="186345CC" w14:textId="3BCAFCC3"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lastRenderedPageBreak/>
              <w:t>M</w:t>
            </w:r>
            <w:r>
              <w:rPr>
                <w:rFonts w:eastAsia="PMingLiU"/>
                <w:sz w:val="20"/>
                <w:szCs w:val="20"/>
                <w:lang w:val="en-GB" w:eastAsia="zh-TW"/>
              </w:rPr>
              <w:t>ediaTek</w:t>
            </w:r>
          </w:p>
        </w:tc>
        <w:tc>
          <w:tcPr>
            <w:tcW w:w="1232" w:type="dxa"/>
          </w:tcPr>
          <w:p w14:paraId="33795995" w14:textId="7FA1EE8B"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Y</w:t>
            </w:r>
            <w:r>
              <w:rPr>
                <w:rFonts w:eastAsia="PMingLiU"/>
                <w:sz w:val="20"/>
                <w:szCs w:val="20"/>
                <w:lang w:val="en-GB" w:eastAsia="zh-TW"/>
              </w:rPr>
              <w:t>es</w:t>
            </w:r>
          </w:p>
        </w:tc>
        <w:tc>
          <w:tcPr>
            <w:tcW w:w="6361" w:type="dxa"/>
          </w:tcPr>
          <w:p w14:paraId="516E84FE" w14:textId="157C2456" w:rsidR="00771145" w:rsidRPr="00771145" w:rsidRDefault="00771145" w:rsidP="00D419C0">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T</w:t>
            </w:r>
            <w:r>
              <w:rPr>
                <w:rFonts w:eastAsia="PMingLiU"/>
                <w:sz w:val="20"/>
                <w:szCs w:val="20"/>
                <w:lang w:val="en-GB" w:eastAsia="zh-TW"/>
              </w:rPr>
              <w:t xml:space="preserve">his makes sense when TRS/CSI-RS configuration doesn’t change, at least with a modification period (if Option 2 in Q1 is agreed). </w:t>
            </w:r>
            <w:r w:rsidR="00E3091C">
              <w:rPr>
                <w:rFonts w:eastAsia="PMingLiU"/>
                <w:sz w:val="20"/>
                <w:szCs w:val="20"/>
                <w:lang w:val="en-GB" w:eastAsia="zh-TW"/>
              </w:rPr>
              <w:t>We may also check with RAN1.</w:t>
            </w:r>
          </w:p>
        </w:tc>
      </w:tr>
      <w:tr w:rsidR="004277DA" w14:paraId="211D8FF9" w14:textId="77777777">
        <w:tc>
          <w:tcPr>
            <w:tcW w:w="1423" w:type="dxa"/>
          </w:tcPr>
          <w:p w14:paraId="3A7EDB45" w14:textId="7492FC45" w:rsidR="004277DA" w:rsidRDefault="004277DA" w:rsidP="004277DA">
            <w:pPr>
              <w:overflowPunct w:val="0"/>
              <w:autoSpaceDE w:val="0"/>
              <w:autoSpaceDN w:val="0"/>
              <w:adjustRightInd w:val="0"/>
              <w:textAlignment w:val="baseline"/>
              <w:rPr>
                <w:rFonts w:eastAsia="PMingLiU"/>
                <w:sz w:val="20"/>
                <w:szCs w:val="20"/>
                <w:lang w:val="en-GB" w:eastAsia="zh-TW"/>
              </w:rPr>
            </w:pPr>
            <w:r w:rsidRPr="00FE072D">
              <w:rPr>
                <w:rFonts w:eastAsia="PMingLiU"/>
                <w:sz w:val="20"/>
                <w:szCs w:val="20"/>
                <w:lang w:val="en-GB" w:eastAsia="zh-TW"/>
              </w:rPr>
              <w:t>Huawei, HiSilicon</w:t>
            </w:r>
          </w:p>
        </w:tc>
        <w:tc>
          <w:tcPr>
            <w:tcW w:w="1232" w:type="dxa"/>
          </w:tcPr>
          <w:p w14:paraId="2FAEC6CD" w14:textId="45E4DBDA" w:rsidR="004277DA" w:rsidRDefault="004277DA"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 xml:space="preserve">No </w:t>
            </w:r>
          </w:p>
        </w:tc>
        <w:tc>
          <w:tcPr>
            <w:tcW w:w="6361" w:type="dxa"/>
          </w:tcPr>
          <w:p w14:paraId="5F0D6D0E" w14:textId="36DA34EE" w:rsidR="004277DA" w:rsidRDefault="004277DA" w:rsidP="004277DA">
            <w:pPr>
              <w:overflowPunct w:val="0"/>
              <w:autoSpaceDE w:val="0"/>
              <w:autoSpaceDN w:val="0"/>
              <w:adjustRightInd w:val="0"/>
              <w:textAlignment w:val="baseline"/>
              <w:rPr>
                <w:rFonts w:eastAsia="PMingLiU"/>
                <w:sz w:val="20"/>
                <w:szCs w:val="20"/>
                <w:lang w:val="en-GB" w:eastAsia="zh-TW"/>
              </w:rPr>
            </w:pPr>
            <w:r w:rsidRPr="004277DA">
              <w:rPr>
                <w:rFonts w:eastAsia="PMingLiU"/>
                <w:sz w:val="20"/>
                <w:szCs w:val="20"/>
                <w:lang w:val="en-GB" w:eastAsia="zh-TW"/>
              </w:rPr>
              <w:t>We think the current value range is large enough, so there is no need to enhance it further.</w:t>
            </w:r>
          </w:p>
        </w:tc>
      </w:tr>
      <w:tr w:rsidR="00B779EC" w14:paraId="78354F9E" w14:textId="77777777">
        <w:tc>
          <w:tcPr>
            <w:tcW w:w="1423" w:type="dxa"/>
          </w:tcPr>
          <w:p w14:paraId="3FA9DCFC" w14:textId="46D6D20C" w:rsidR="00B779EC" w:rsidRPr="00FE072D"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728F759A" w14:textId="4F04EEB3" w:rsidR="00B779EC"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No</w:t>
            </w:r>
          </w:p>
        </w:tc>
        <w:tc>
          <w:tcPr>
            <w:tcW w:w="6361" w:type="dxa"/>
          </w:tcPr>
          <w:p w14:paraId="049F8EC8" w14:textId="4900F84E" w:rsidR="00B779EC" w:rsidRPr="004277DA"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QC and Xiaomi.</w:t>
            </w:r>
          </w:p>
        </w:tc>
      </w:tr>
      <w:tr w:rsidR="00567BBF" w14:paraId="548B0F7E" w14:textId="77777777">
        <w:tc>
          <w:tcPr>
            <w:tcW w:w="1423" w:type="dxa"/>
          </w:tcPr>
          <w:p w14:paraId="145228C1" w14:textId="2BA467A7" w:rsidR="00567BBF" w:rsidRPr="00567BBF" w:rsidRDefault="00567BBF" w:rsidP="004277DA">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C</w:t>
            </w:r>
            <w:r>
              <w:rPr>
                <w:rFonts w:eastAsiaTheme="minorEastAsia"/>
                <w:sz w:val="20"/>
                <w:szCs w:val="20"/>
                <w:lang w:val="en-GB"/>
              </w:rPr>
              <w:t>MCC</w:t>
            </w:r>
          </w:p>
        </w:tc>
        <w:tc>
          <w:tcPr>
            <w:tcW w:w="1232" w:type="dxa"/>
          </w:tcPr>
          <w:p w14:paraId="2EF220B2" w14:textId="1425CD32" w:rsidR="00567BBF" w:rsidRPr="00567BBF" w:rsidRDefault="00567BBF" w:rsidP="004277DA">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9DD296E" w14:textId="2C0901B2" w:rsidR="00567BBF" w:rsidRPr="00567BBF" w:rsidRDefault="00567BBF" w:rsidP="004277DA">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S</w:t>
            </w:r>
            <w:r>
              <w:rPr>
                <w:rFonts w:eastAsiaTheme="minorEastAsia"/>
                <w:sz w:val="20"/>
                <w:szCs w:val="20"/>
                <w:lang w:val="en-GB"/>
              </w:rPr>
              <w:t>hare the same view with Xiaomi.</w:t>
            </w: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a0"/>
        <w:rPr>
          <w:sz w:val="20"/>
        </w:rPr>
      </w:pPr>
    </w:p>
    <w:p w14:paraId="538EDB1A" w14:textId="77777777" w:rsidR="000D5EC2" w:rsidRDefault="000D5EC2">
      <w:pPr>
        <w:pStyle w:val="a0"/>
      </w:pPr>
    </w:p>
    <w:p w14:paraId="2A78465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a0"/>
        <w:spacing w:beforeLines="50" w:before="120"/>
        <w:rPr>
          <w:rFonts w:eastAsia="Arial Unicode MS"/>
          <w:sz w:val="20"/>
          <w:lang w:val="en-GB"/>
        </w:rPr>
      </w:pPr>
      <w:bookmarkStart w:id="10" w:name="OLE_LINK60"/>
      <w:bookmarkStart w:id="11" w:name="OLE_LINK59"/>
      <w:bookmarkStart w:id="12" w:name="OLE_LINK58"/>
      <w:bookmarkEnd w:id="5"/>
      <w:bookmarkEnd w:id="6"/>
      <w:bookmarkEnd w:id="7"/>
      <w:bookmarkEnd w:id="8"/>
      <w:r>
        <w:rPr>
          <w:rFonts w:eastAsia="Arial Unicode MS"/>
          <w:sz w:val="20"/>
          <w:lang w:val="en-GB"/>
        </w:rPr>
        <w:t>TBD</w:t>
      </w:r>
    </w:p>
    <w:p w14:paraId="2C6510C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8"/>
      <w:bookmarkStart w:id="14" w:name="OLE_LINK47"/>
      <w:r>
        <w:rPr>
          <w:rFonts w:ascii="Times New Roman" w:eastAsia="Arial Unicode MS" w:hAnsi="Times New Roman" w:cs="Times New Roman"/>
        </w:rPr>
        <w:t>Reference</w:t>
      </w:r>
    </w:p>
    <w:p w14:paraId="3C419589" w14:textId="77777777" w:rsidR="000D5EC2" w:rsidRDefault="002E7D45">
      <w:pPr>
        <w:pStyle w:val="a0"/>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a0"/>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a0"/>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109B" w14:textId="77777777" w:rsidR="008A5D4B" w:rsidRDefault="008A5D4B">
      <w:pPr>
        <w:spacing w:after="0" w:line="240" w:lineRule="auto"/>
      </w:pPr>
      <w:r>
        <w:separator/>
      </w:r>
    </w:p>
  </w:endnote>
  <w:endnote w:type="continuationSeparator" w:id="0">
    <w:p w14:paraId="39E93A57" w14:textId="77777777" w:rsidR="008A5D4B" w:rsidRDefault="008A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C63A927" w14:textId="77777777" w:rsidR="000D5EC2" w:rsidRDefault="000D5E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67361">
      <w:rPr>
        <w:rStyle w:val="af5"/>
        <w:noProof/>
      </w:rPr>
      <w:t>6</w:t>
    </w:r>
    <w:r>
      <w:rPr>
        <w:rStyle w:val="af5"/>
      </w:rPr>
      <w:fldChar w:fldCharType="end"/>
    </w:r>
  </w:p>
  <w:p w14:paraId="2AB53CA4" w14:textId="77777777" w:rsidR="000D5EC2" w:rsidRDefault="002E7D45">
    <w:pPr>
      <w:pStyle w:val="ac"/>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5EC2" w14:textId="77777777" w:rsidR="008A5D4B" w:rsidRDefault="008A5D4B">
      <w:pPr>
        <w:spacing w:after="0" w:line="240" w:lineRule="auto"/>
      </w:pPr>
      <w:r>
        <w:separator/>
      </w:r>
    </w:p>
  </w:footnote>
  <w:footnote w:type="continuationSeparator" w:id="0">
    <w:p w14:paraId="55DE9E31" w14:textId="77777777" w:rsidR="008A5D4B" w:rsidRDefault="008A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71198744">
    <w:abstractNumId w:val="11"/>
  </w:num>
  <w:num w:numId="2" w16cid:durableId="93483567">
    <w:abstractNumId w:val="10"/>
  </w:num>
  <w:num w:numId="3" w16cid:durableId="1596404574">
    <w:abstractNumId w:val="9"/>
  </w:num>
  <w:num w:numId="4" w16cid:durableId="763454199">
    <w:abstractNumId w:val="4"/>
  </w:num>
  <w:num w:numId="5" w16cid:durableId="1442142044">
    <w:abstractNumId w:val="5"/>
  </w:num>
  <w:num w:numId="6" w16cid:durableId="2091150741">
    <w:abstractNumId w:val="12"/>
  </w:num>
  <w:num w:numId="7" w16cid:durableId="1953126508">
    <w:abstractNumId w:val="2"/>
  </w:num>
  <w:num w:numId="8" w16cid:durableId="366494441">
    <w:abstractNumId w:val="3"/>
  </w:num>
  <w:num w:numId="9" w16cid:durableId="308441310">
    <w:abstractNumId w:val="0"/>
  </w:num>
  <w:num w:numId="10" w16cid:durableId="1180973111">
    <w:abstractNumId w:val="7"/>
  </w:num>
  <w:num w:numId="11" w16cid:durableId="1945108831">
    <w:abstractNumId w:val="8"/>
  </w:num>
  <w:num w:numId="12" w16cid:durableId="1400134986">
    <w:abstractNumId w:val="1"/>
  </w:num>
  <w:num w:numId="13" w16cid:durableId="2072077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67BBF"/>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764"/>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5D4B"/>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48E6"/>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47FA3"/>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59E8"/>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表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 w:type="character" w:styleId="afd">
    <w:name w:val="Unresolved Mention"/>
    <w:basedOn w:val="a1"/>
    <w:uiPriority w:val="99"/>
    <w:semiHidden/>
    <w:unhideWhenUsed/>
    <w:rsid w:val="0083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10EC-A7D8-4B4F-B7A0-554F6D83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CMCC-Xiaoxuan</cp:lastModifiedBy>
  <cp:revision>18</cp:revision>
  <cp:lastPrinted>2007-08-29T03:45:00Z</cp:lastPrinted>
  <dcterms:created xsi:type="dcterms:W3CDTF">2022-05-16T08:42:00Z</dcterms:created>
  <dcterms:modified xsi:type="dcterms:W3CDTF">2022-05-16T14:58:00Z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