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7777777" w:rsidR="000D5EC2" w:rsidRDefault="002E7D45">
      <w:pPr>
        <w:pStyle w:val="ad"/>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ad"/>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ad"/>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ad"/>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ad"/>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[AT118-e][071][ePowSav] RRC (CATT)</w:t>
      </w:r>
    </w:p>
    <w:p w14:paraId="4E0BDBAC" w14:textId="77777777" w:rsidR="000D5EC2" w:rsidRDefault="002E7D45">
      <w:pPr>
        <w:pStyle w:val="ad"/>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ad"/>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a0"/>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[AT118-e][071][ePowSav] RRC (CATT)</w:t>
      </w:r>
    </w:p>
    <w:p w14:paraId="614D15B1" w14:textId="77777777" w:rsidR="000D5EC2" w:rsidRDefault="002E7D45">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af3"/>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r>
              <w:rPr>
                <w:rFonts w:eastAsia="DengXian"/>
                <w:sz w:val="20"/>
              </w:rPr>
              <w:t>Yanhua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宋体"/>
                <w:sz w:val="20"/>
              </w:rPr>
            </w:pPr>
            <w:r>
              <w:rPr>
                <w:rFonts w:eastAsia="宋体"/>
                <w:sz w:val="20"/>
              </w:rPr>
              <w:t>Sequans</w:t>
            </w:r>
          </w:p>
        </w:tc>
        <w:tc>
          <w:tcPr>
            <w:tcW w:w="2790" w:type="dxa"/>
          </w:tcPr>
          <w:p w14:paraId="34100A5D" w14:textId="1799676F" w:rsidR="000D5EC2" w:rsidRDefault="00BB1500">
            <w:pPr>
              <w:rPr>
                <w:rFonts w:eastAsia="宋体"/>
                <w:sz w:val="20"/>
              </w:rPr>
            </w:pPr>
            <w:r>
              <w:rPr>
                <w:rFonts w:eastAsia="宋体"/>
                <w:sz w:val="20"/>
              </w:rPr>
              <w:t>Noam Cayron</w:t>
            </w:r>
          </w:p>
        </w:tc>
        <w:tc>
          <w:tcPr>
            <w:tcW w:w="4431" w:type="dxa"/>
          </w:tcPr>
          <w:p w14:paraId="666A6BC6" w14:textId="74ABA842" w:rsidR="000D5EC2" w:rsidRDefault="00BB1500">
            <w:pPr>
              <w:rPr>
                <w:rFonts w:eastAsia="宋体"/>
                <w:sz w:val="20"/>
              </w:rPr>
            </w:pPr>
            <w:r>
              <w:rPr>
                <w:rFonts w:eastAsia="宋体"/>
                <w:sz w:val="20"/>
              </w:rPr>
              <w:t>noam.cayron@sequans.com</w:t>
            </w:r>
          </w:p>
        </w:tc>
      </w:tr>
      <w:tr w:rsidR="000D5EC2" w14:paraId="2C779DF2" w14:textId="77777777">
        <w:tc>
          <w:tcPr>
            <w:tcW w:w="1795" w:type="dxa"/>
          </w:tcPr>
          <w:p w14:paraId="19C50148" w14:textId="0D10CDE1" w:rsidR="000D5EC2" w:rsidRDefault="00407F88">
            <w:pPr>
              <w:rPr>
                <w:rFonts w:eastAsia="宋体"/>
                <w:sz w:val="20"/>
              </w:rPr>
            </w:pPr>
            <w:r>
              <w:rPr>
                <w:rFonts w:eastAsia="宋体"/>
                <w:sz w:val="20"/>
              </w:rPr>
              <w:t>Intel Corporation</w:t>
            </w:r>
          </w:p>
        </w:tc>
        <w:tc>
          <w:tcPr>
            <w:tcW w:w="2790" w:type="dxa"/>
          </w:tcPr>
          <w:p w14:paraId="35CEF622" w14:textId="00DA8E7D" w:rsidR="000D5EC2" w:rsidRDefault="00407F88">
            <w:pPr>
              <w:rPr>
                <w:rFonts w:eastAsia="宋体"/>
                <w:sz w:val="20"/>
              </w:rPr>
            </w:pPr>
            <w:r>
              <w:rPr>
                <w:rFonts w:eastAsia="宋体"/>
                <w:sz w:val="20"/>
              </w:rPr>
              <w:t>Seau Sian Lim</w:t>
            </w:r>
          </w:p>
        </w:tc>
        <w:tc>
          <w:tcPr>
            <w:tcW w:w="4431" w:type="dxa"/>
          </w:tcPr>
          <w:p w14:paraId="5FC53B0F" w14:textId="7218D93A" w:rsidR="000D5EC2" w:rsidRDefault="00407F88">
            <w:pPr>
              <w:rPr>
                <w:rFonts w:eastAsia="宋体"/>
                <w:sz w:val="20"/>
              </w:rPr>
            </w:pPr>
            <w:r>
              <w:rPr>
                <w:rFonts w:eastAsia="宋体"/>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宋体"/>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97388A" w14:paraId="5591514D" w14:textId="77777777">
        <w:tc>
          <w:tcPr>
            <w:tcW w:w="1795" w:type="dxa"/>
          </w:tcPr>
          <w:p w14:paraId="41C479FC" w14:textId="590D15F5" w:rsidR="0097388A" w:rsidRPr="000C24CA" w:rsidRDefault="0097388A" w:rsidP="0097388A">
            <w:pPr>
              <w:rPr>
                <w:sz w:val="20"/>
                <w:lang w:eastAsia="ko-KR"/>
              </w:rPr>
            </w:pPr>
            <w:r>
              <w:rPr>
                <w:sz w:val="20"/>
              </w:rPr>
              <w:t>V</w:t>
            </w:r>
            <w:r>
              <w:rPr>
                <w:rFonts w:hint="eastAsia"/>
                <w:sz w:val="20"/>
              </w:rPr>
              <w:t>ivo</w:t>
            </w:r>
          </w:p>
        </w:tc>
        <w:tc>
          <w:tcPr>
            <w:tcW w:w="2790" w:type="dxa"/>
          </w:tcPr>
          <w:p w14:paraId="29888A5F" w14:textId="78DAA09D" w:rsidR="0097388A" w:rsidRDefault="0097388A" w:rsidP="0097388A">
            <w:pPr>
              <w:rPr>
                <w:sz w:val="20"/>
                <w:lang w:eastAsia="ko-KR"/>
              </w:rPr>
            </w:pPr>
            <w:r>
              <w:rPr>
                <w:rFonts w:hint="eastAsia"/>
                <w:sz w:val="20"/>
              </w:rPr>
              <w:t>C</w:t>
            </w:r>
            <w:r>
              <w:rPr>
                <w:sz w:val="20"/>
              </w:rPr>
              <w:t>henli</w:t>
            </w:r>
          </w:p>
        </w:tc>
        <w:tc>
          <w:tcPr>
            <w:tcW w:w="4431" w:type="dxa"/>
          </w:tcPr>
          <w:p w14:paraId="76311F79" w14:textId="76509FBE" w:rsidR="0097388A" w:rsidRDefault="0097388A" w:rsidP="0097388A">
            <w:pPr>
              <w:rPr>
                <w:sz w:val="20"/>
                <w:lang w:eastAsia="ko-KR"/>
              </w:rPr>
            </w:pPr>
            <w:r>
              <w:rPr>
                <w:sz w:val="20"/>
              </w:rPr>
              <w:t>Chenli5g@vivo.com</w:t>
            </w:r>
          </w:p>
        </w:tc>
      </w:tr>
      <w:tr w:rsidR="0097388A" w14:paraId="377513DE" w14:textId="77777777">
        <w:tc>
          <w:tcPr>
            <w:tcW w:w="1795" w:type="dxa"/>
          </w:tcPr>
          <w:p w14:paraId="42E8E9FD" w14:textId="77777777" w:rsidR="0097388A" w:rsidRDefault="0097388A" w:rsidP="0097388A">
            <w:pPr>
              <w:rPr>
                <w:sz w:val="20"/>
                <w:lang w:eastAsia="ko-KR"/>
              </w:rPr>
            </w:pPr>
          </w:p>
        </w:tc>
        <w:tc>
          <w:tcPr>
            <w:tcW w:w="2790" w:type="dxa"/>
          </w:tcPr>
          <w:p w14:paraId="7C6561C7" w14:textId="77777777" w:rsidR="0097388A" w:rsidRDefault="0097388A" w:rsidP="0097388A">
            <w:pPr>
              <w:rPr>
                <w:sz w:val="20"/>
                <w:lang w:eastAsia="ko-KR"/>
              </w:rPr>
            </w:pPr>
          </w:p>
        </w:tc>
        <w:tc>
          <w:tcPr>
            <w:tcW w:w="4431" w:type="dxa"/>
          </w:tcPr>
          <w:p w14:paraId="58650B73" w14:textId="77777777" w:rsidR="0097388A" w:rsidRDefault="0097388A" w:rsidP="0097388A">
            <w:pPr>
              <w:rPr>
                <w:sz w:val="20"/>
                <w:lang w:eastAsia="ko-KR"/>
              </w:rPr>
            </w:pPr>
          </w:p>
        </w:tc>
      </w:tr>
      <w:tr w:rsidR="0097388A" w14:paraId="72AD4C26" w14:textId="77777777">
        <w:tc>
          <w:tcPr>
            <w:tcW w:w="1795" w:type="dxa"/>
          </w:tcPr>
          <w:p w14:paraId="2188045E" w14:textId="77777777" w:rsidR="0097388A" w:rsidRDefault="0097388A" w:rsidP="0097388A">
            <w:pPr>
              <w:rPr>
                <w:sz w:val="20"/>
                <w:lang w:eastAsia="ko-KR"/>
              </w:rPr>
            </w:pPr>
          </w:p>
        </w:tc>
        <w:tc>
          <w:tcPr>
            <w:tcW w:w="2790" w:type="dxa"/>
          </w:tcPr>
          <w:p w14:paraId="7A1C4005" w14:textId="77777777" w:rsidR="0097388A" w:rsidRDefault="0097388A" w:rsidP="0097388A">
            <w:pPr>
              <w:rPr>
                <w:sz w:val="20"/>
                <w:lang w:eastAsia="ko-KR"/>
              </w:rPr>
            </w:pPr>
          </w:p>
        </w:tc>
        <w:tc>
          <w:tcPr>
            <w:tcW w:w="4431" w:type="dxa"/>
          </w:tcPr>
          <w:p w14:paraId="28D0F0A9" w14:textId="77777777" w:rsidR="0097388A" w:rsidRDefault="0097388A" w:rsidP="0097388A">
            <w:pPr>
              <w:rPr>
                <w:sz w:val="20"/>
                <w:lang w:eastAsia="ko-KR"/>
              </w:rPr>
            </w:pPr>
          </w:p>
        </w:tc>
      </w:tr>
      <w:tr w:rsidR="0097388A" w14:paraId="5B307434" w14:textId="77777777">
        <w:tc>
          <w:tcPr>
            <w:tcW w:w="1795" w:type="dxa"/>
          </w:tcPr>
          <w:p w14:paraId="7D4F35F4" w14:textId="77777777" w:rsidR="0097388A" w:rsidRDefault="0097388A" w:rsidP="0097388A">
            <w:pPr>
              <w:rPr>
                <w:sz w:val="20"/>
                <w:lang w:eastAsia="ko-KR"/>
              </w:rPr>
            </w:pPr>
          </w:p>
        </w:tc>
        <w:tc>
          <w:tcPr>
            <w:tcW w:w="2790" w:type="dxa"/>
          </w:tcPr>
          <w:p w14:paraId="62D5BE0F" w14:textId="77777777" w:rsidR="0097388A" w:rsidRDefault="0097388A" w:rsidP="0097388A">
            <w:pPr>
              <w:rPr>
                <w:sz w:val="20"/>
                <w:lang w:eastAsia="ko-KR"/>
              </w:rPr>
            </w:pPr>
          </w:p>
        </w:tc>
        <w:tc>
          <w:tcPr>
            <w:tcW w:w="4431" w:type="dxa"/>
          </w:tcPr>
          <w:p w14:paraId="3CE93F5C" w14:textId="77777777" w:rsidR="0097388A" w:rsidRDefault="0097388A" w:rsidP="0097388A">
            <w:pPr>
              <w:rPr>
                <w:sz w:val="20"/>
                <w:lang w:eastAsia="ko-KR"/>
              </w:rPr>
            </w:pPr>
          </w:p>
        </w:tc>
      </w:tr>
    </w:tbl>
    <w:p w14:paraId="6CE6C92D" w14:textId="77777777" w:rsidR="000D5EC2" w:rsidRDefault="000D5EC2"/>
    <w:p w14:paraId="6CC0BED4" w14:textId="77777777" w:rsidR="000D5EC2" w:rsidRDefault="002E7D45">
      <w:pPr>
        <w:pStyle w:val="1"/>
        <w:keepLines/>
        <w:pBdr>
          <w:top w:val="single" w:sz="12" w:space="3" w:color="auto"/>
        </w:pBdr>
        <w:spacing w:before="240" w:after="180"/>
        <w:ind w:left="425" w:hanging="425"/>
        <w:jc w:val="both"/>
        <w:rPr>
          <w:rFonts w:eastAsia="Arial Unicode MS"/>
        </w:rPr>
      </w:pPr>
      <w:r>
        <w:rPr>
          <w:rFonts w:eastAsia="Arial Unicode MS"/>
        </w:rPr>
        <w:lastRenderedPageBreak/>
        <w:t>TRS/CSR-RS remaining issues</w:t>
      </w:r>
    </w:p>
    <w:p w14:paraId="3965B20B" w14:textId="77777777" w:rsidR="000D5EC2" w:rsidRDefault="002E7D45">
      <w:pPr>
        <w:pStyle w:val="20"/>
        <w:ind w:left="562" w:hanging="562"/>
        <w:rPr>
          <w:sz w:val="22"/>
        </w:rPr>
      </w:pPr>
      <w:r>
        <w:rPr>
          <w:sz w:val="22"/>
        </w:rPr>
        <w:t>TRS availability when SI change</w:t>
      </w:r>
    </w:p>
    <w:p w14:paraId="0D6C208C" w14:textId="77777777" w:rsidR="000D5EC2" w:rsidRDefault="002E7D45">
      <w:pPr>
        <w:pStyle w:val="a0"/>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CD72C9">
      <w:pPr>
        <w:pStyle w:val="a0"/>
        <w:jc w:val="left"/>
        <w:rPr>
          <w:sz w:val="20"/>
        </w:rPr>
      </w:pPr>
      <w:r>
        <w:rPr>
          <w:noProof/>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4.05pt;height:85.2pt;mso-width-percent:0;mso-height-percent:0;mso-width-percent:0;mso-height-percent:0" o:ole="">
            <v:imagedata r:id="rId9" o:title=""/>
          </v:shape>
          <o:OLEObject Type="Embed" ProgID="Visio.Drawing.15" ShapeID="_x0000_i1026" DrawAspect="Content" ObjectID="_1714223040" r:id="rId10"/>
        </w:object>
      </w:r>
    </w:p>
    <w:p w14:paraId="35331975" w14:textId="77777777" w:rsidR="000D5EC2" w:rsidRDefault="002E7D45">
      <w:pPr>
        <w:pStyle w:val="a0"/>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a0"/>
        <w:jc w:val="left"/>
        <w:rPr>
          <w:sz w:val="20"/>
        </w:rPr>
      </w:pPr>
    </w:p>
    <w:p w14:paraId="1A4F3EA8" w14:textId="77777777" w:rsidR="000D5EC2" w:rsidRDefault="00CD72C9">
      <w:pPr>
        <w:pStyle w:val="a0"/>
        <w:jc w:val="left"/>
        <w:rPr>
          <w:sz w:val="20"/>
        </w:rPr>
      </w:pPr>
      <w:r>
        <w:rPr>
          <w:noProof/>
          <w:sz w:val="20"/>
        </w:rPr>
        <w:object w:dxaOrig="9068" w:dyaOrig="1789" w14:anchorId="36F9868C">
          <v:shape id="_x0000_i1025" type="#_x0000_t75" alt="" style="width:454.05pt;height:89.65pt;mso-width-percent:0;mso-height-percent:0;mso-width-percent:0;mso-height-percent:0" o:ole="">
            <v:imagedata r:id="rId11" o:title=""/>
          </v:shape>
          <o:OLEObject Type="Embed" ProgID="Visio.Drawing.15" ShapeID="_x0000_i1025" DrawAspect="Content" ObjectID="_1714223041" r:id="rId12"/>
        </w:object>
      </w:r>
    </w:p>
    <w:p w14:paraId="6D236FB9" w14:textId="77777777" w:rsidR="000D5EC2" w:rsidRDefault="002E7D45">
      <w:pPr>
        <w:pStyle w:val="a0"/>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a0"/>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a0"/>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a0"/>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a0"/>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a0"/>
              <w:spacing w:before="120" w:line="252" w:lineRule="auto"/>
              <w:rPr>
                <w:rFonts w:eastAsia="DengXian"/>
                <w:sz w:val="20"/>
                <w:szCs w:val="20"/>
              </w:rPr>
            </w:pPr>
            <w:r>
              <w:rPr>
                <w:rFonts w:eastAsia="DengXian"/>
                <w:sz w:val="20"/>
                <w:szCs w:val="20"/>
              </w:rPr>
              <w:t>The TRS/CSI-RS availability is assumed to be ‘unavailable’ for all the TRS resource set group(s) upon getting the TRS/CSI-RS configuration modification.</w:t>
            </w:r>
          </w:p>
          <w:p w14:paraId="7C240B6D" w14:textId="77777777" w:rsidR="000D5EC2" w:rsidRDefault="002E7D45">
            <w:pPr>
              <w:pStyle w:val="a0"/>
              <w:spacing w:before="120" w:line="252" w:lineRule="auto"/>
              <w:rPr>
                <w:rFonts w:eastAsia="DengXian"/>
                <w:sz w:val="20"/>
                <w:szCs w:val="20"/>
              </w:rPr>
            </w:pPr>
            <w:r>
              <w:rPr>
                <w:rFonts w:eastAsia="DengXian"/>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宋体"/>
                <w:sz w:val="20"/>
                <w:szCs w:val="20"/>
              </w:rPr>
            </w:pPr>
            <w:r>
              <w:rPr>
                <w:rFonts w:eastAsia="宋体"/>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宋体"/>
                <w:sz w:val="20"/>
                <w:szCs w:val="20"/>
                <w:lang w:val="en-GB" w:eastAsia="en-US"/>
              </w:rPr>
            </w:pPr>
            <w:r w:rsidRPr="00407F88">
              <w:rPr>
                <w:rFonts w:eastAsia="宋体"/>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宋体"/>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Therefore, if an SI update procedure is performed</w:t>
            </w:r>
            <w:r>
              <w:rPr>
                <w:sz w:val="20"/>
                <w:szCs w:val="20"/>
                <w:lang w:eastAsia="ko-KR"/>
              </w:rPr>
              <w:t>(</w:t>
            </w:r>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97388A" w14:paraId="062625FC" w14:textId="77777777">
        <w:tc>
          <w:tcPr>
            <w:tcW w:w="1423" w:type="dxa"/>
          </w:tcPr>
          <w:p w14:paraId="1C07C4AE" w14:textId="08D00E01" w:rsidR="0097388A" w:rsidRDefault="0097388A" w:rsidP="0097388A">
            <w:pPr>
              <w:overflowPunct w:val="0"/>
              <w:autoSpaceDE w:val="0"/>
              <w:autoSpaceDN w:val="0"/>
              <w:adjustRightInd w:val="0"/>
              <w:textAlignment w:val="baseline"/>
              <w:rPr>
                <w:sz w:val="20"/>
                <w:szCs w:val="20"/>
                <w:lang w:val="en-GB" w:eastAsia="ko-KR"/>
              </w:rPr>
            </w:pPr>
            <w:r w:rsidRPr="00E83F97">
              <w:rPr>
                <w:rFonts w:eastAsia="DengXian"/>
                <w:sz w:val="20"/>
                <w:szCs w:val="20"/>
                <w:lang w:val="en-GB"/>
              </w:rPr>
              <w:t>v</w:t>
            </w:r>
            <w:r w:rsidRPr="00E83F97">
              <w:rPr>
                <w:rFonts w:eastAsia="DengXian" w:hint="eastAsia"/>
                <w:sz w:val="20"/>
                <w:szCs w:val="20"/>
                <w:lang w:val="en-GB"/>
              </w:rPr>
              <w:t>ivo</w:t>
            </w:r>
          </w:p>
        </w:tc>
        <w:tc>
          <w:tcPr>
            <w:tcW w:w="1232" w:type="dxa"/>
          </w:tcPr>
          <w:p w14:paraId="769E5771" w14:textId="77777777" w:rsidR="0097388A" w:rsidRDefault="0097388A" w:rsidP="0097388A">
            <w:pPr>
              <w:overflowPunct w:val="0"/>
              <w:autoSpaceDE w:val="0"/>
              <w:autoSpaceDN w:val="0"/>
              <w:adjustRightInd w:val="0"/>
              <w:textAlignment w:val="baseline"/>
              <w:rPr>
                <w:sz w:val="20"/>
                <w:szCs w:val="20"/>
                <w:lang w:val="en-GB" w:eastAsia="ko-KR"/>
              </w:rPr>
            </w:pPr>
            <w:r>
              <w:rPr>
                <w:sz w:val="20"/>
                <w:szCs w:val="20"/>
                <w:lang w:val="en-GB" w:eastAsia="ko-KR"/>
              </w:rPr>
              <w:t>Option 2</w:t>
            </w:r>
          </w:p>
          <w:p w14:paraId="711119A1" w14:textId="338D8190" w:rsidR="0097388A" w:rsidRDefault="0097388A" w:rsidP="0097388A">
            <w:pPr>
              <w:overflowPunct w:val="0"/>
              <w:autoSpaceDE w:val="0"/>
              <w:autoSpaceDN w:val="0"/>
              <w:adjustRightInd w:val="0"/>
              <w:textAlignment w:val="baseline"/>
              <w:rPr>
                <w:sz w:val="20"/>
                <w:szCs w:val="20"/>
                <w:lang w:val="en-GB" w:eastAsia="ko-KR"/>
              </w:rPr>
            </w:pPr>
            <w:r>
              <w:rPr>
                <w:rFonts w:eastAsia="DengXian"/>
                <w:sz w:val="20"/>
                <w:szCs w:val="20"/>
                <w:lang w:val="en-GB"/>
              </w:rPr>
              <w:t>(proponent)</w:t>
            </w:r>
          </w:p>
        </w:tc>
        <w:tc>
          <w:tcPr>
            <w:tcW w:w="6361" w:type="dxa"/>
          </w:tcPr>
          <w:p w14:paraId="56B0405C" w14:textId="77777777" w:rsidR="0097388A" w:rsidRDefault="0097388A" w:rsidP="0097388A">
            <w:pPr>
              <w:rPr>
                <w:rFonts w:ascii="Times" w:eastAsia="Batang" w:hAnsi="Times"/>
                <w:sz w:val="20"/>
                <w:szCs w:val="20"/>
                <w:lang w:val="en-GB" w:eastAsia="en-US"/>
              </w:rPr>
            </w:pPr>
            <w:r>
              <w:rPr>
                <w:rFonts w:ascii="Times" w:eastAsia="Batang" w:hAnsi="Times"/>
                <w:sz w:val="20"/>
                <w:szCs w:val="20"/>
                <w:lang w:val="en-GB" w:eastAsia="en-US"/>
              </w:rPr>
              <w:t>As we have agreed, when UE acquires SIB-X with a TRS/CSI-RS configuration, it may receive the associated L1-based availability indication soon. Then if this SIB-X is changed</w:t>
            </w:r>
            <w:r>
              <w:t xml:space="preserve"> </w:t>
            </w:r>
            <w:r w:rsidRPr="00E83F97">
              <w:rPr>
                <w:rFonts w:ascii="Times" w:eastAsia="Batang" w:hAnsi="Times"/>
                <w:sz w:val="20"/>
                <w:szCs w:val="20"/>
                <w:lang w:val="en-GB" w:eastAsia="en-US"/>
              </w:rPr>
              <w:t xml:space="preserve">within the </w:t>
            </w:r>
            <w:r>
              <w:rPr>
                <w:rFonts w:ascii="Times" w:eastAsia="Batang" w:hAnsi="Times"/>
                <w:sz w:val="20"/>
                <w:szCs w:val="20"/>
                <w:lang w:val="en-GB" w:eastAsia="en-US"/>
              </w:rPr>
              <w:t>previous</w:t>
            </w:r>
            <w:r w:rsidRPr="00E83F97">
              <w:rPr>
                <w:rFonts w:ascii="Times" w:eastAsia="Batang" w:hAnsi="Times"/>
                <w:sz w:val="20"/>
                <w:szCs w:val="20"/>
                <w:lang w:val="en-GB" w:eastAsia="en-US"/>
              </w:rPr>
              <w:t xml:space="preserve"> valid duration time</w:t>
            </w:r>
            <w:r>
              <w:rPr>
                <w:rFonts w:ascii="Times" w:eastAsia="Batang" w:hAnsi="Times"/>
                <w:sz w:val="20"/>
                <w:szCs w:val="20"/>
                <w:lang w:val="en-GB" w:eastAsia="en-US"/>
              </w:rPr>
              <w:t>, UE may receive the changed TRS/CSI-RS configuration and new L1 based signaling within the valid duration time.   And UE may be confused about how to deal with the new availability indication and the previous availability indication.</w:t>
            </w:r>
          </w:p>
          <w:p w14:paraId="42A1FB77" w14:textId="77777777" w:rsidR="0097388A" w:rsidRDefault="0097388A" w:rsidP="0097388A">
            <w:pPr>
              <w:rPr>
                <w:rFonts w:ascii="Times" w:eastAsia="Batang" w:hAnsi="Times"/>
                <w:sz w:val="20"/>
                <w:szCs w:val="20"/>
                <w:lang w:val="en-GB" w:eastAsia="en-US"/>
              </w:rPr>
            </w:pPr>
            <w:r>
              <w:rPr>
                <w:rFonts w:ascii="Times" w:eastAsia="Batang" w:hAnsi="Times"/>
                <w:sz w:val="20"/>
                <w:szCs w:val="20"/>
                <w:lang w:val="en-GB" w:eastAsia="en-US"/>
              </w:rPr>
              <w:t>Besides, RAN1 has the following agreement in RAN1#107bis-e meeting:</w:t>
            </w:r>
          </w:p>
          <w:p w14:paraId="5B38C93D" w14:textId="77777777" w:rsidR="0097388A" w:rsidRPr="00E83F97" w:rsidRDefault="0097388A" w:rsidP="0097388A">
            <w:pPr>
              <w:rPr>
                <w:rFonts w:ascii="Times New Roman" w:eastAsia="Malgun Gothic" w:hAnsi="Times New Roman"/>
                <w:bCs/>
                <w:i/>
                <w:iCs/>
                <w:sz w:val="20"/>
                <w:szCs w:val="20"/>
                <w:lang w:val="en-GB" w:eastAsia="en-US"/>
              </w:rPr>
            </w:pPr>
            <w:r w:rsidRPr="00E83F97">
              <w:rPr>
                <w:rFonts w:ascii="Times New Roman" w:eastAsia="Batang" w:hAnsi="Times New Roman"/>
                <w:i/>
                <w:iCs/>
                <w:sz w:val="20"/>
                <w:szCs w:val="20"/>
                <w:lang w:val="en-GB" w:eastAsia="en-US"/>
              </w:rPr>
              <w:t xml:space="preserve">UE can receive </w:t>
            </w:r>
            <w:r w:rsidRPr="00E83F97">
              <w:rPr>
                <w:rFonts w:ascii="Times New Roman" w:eastAsia="Batang" w:hAnsi="Times New Roman"/>
                <w:i/>
                <w:iCs/>
                <w:color w:val="FF0000"/>
                <w:sz w:val="20"/>
                <w:szCs w:val="20"/>
                <w:u w:val="single"/>
                <w:lang w:val="en-GB" w:eastAsia="en-US"/>
              </w:rPr>
              <w:t>L1 based signaling for</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TRS availability indication before the expiration/end of validity duration associated with previous </w:t>
            </w:r>
            <w:r w:rsidRPr="00E83F97">
              <w:rPr>
                <w:rFonts w:ascii="Times New Roman" w:eastAsia="Batang" w:hAnsi="Times New Roman"/>
                <w:i/>
                <w:iCs/>
                <w:color w:val="FF0000"/>
                <w:sz w:val="20"/>
                <w:szCs w:val="20"/>
                <w:u w:val="single"/>
                <w:lang w:val="en-GB" w:eastAsia="en-US"/>
              </w:rPr>
              <w:t xml:space="preserve">L1 based signaling for </w:t>
            </w:r>
            <w:r w:rsidRPr="00E83F97">
              <w:rPr>
                <w:rFonts w:ascii="Times New Roman" w:eastAsia="Batang" w:hAnsi="Times New Roman"/>
                <w:i/>
                <w:iCs/>
                <w:sz w:val="20"/>
                <w:szCs w:val="20"/>
                <w:lang w:val="en-GB" w:eastAsia="en-US"/>
              </w:rPr>
              <w:t xml:space="preserve">TRS availability indication </w:t>
            </w:r>
          </w:p>
          <w:p w14:paraId="2C8D0E2A" w14:textId="77777777" w:rsidR="0097388A" w:rsidRPr="00E83F97" w:rsidRDefault="0097388A" w:rsidP="0097388A">
            <w:pPr>
              <w:widowControl w:val="0"/>
              <w:numPr>
                <w:ilvl w:val="0"/>
                <w:numId w:val="13"/>
              </w:numPr>
              <w:spacing w:after="0"/>
              <w:jc w:val="both"/>
              <w:rPr>
                <w:rFonts w:ascii="Times New Roman" w:eastAsia="Yu Mincho" w:hAnsi="Times New Roman"/>
                <w:bCs/>
                <w:i/>
                <w:iCs/>
                <w:sz w:val="20"/>
                <w:szCs w:val="20"/>
                <w:lang w:val="en-GB" w:eastAsia="en-US"/>
              </w:rPr>
            </w:pPr>
            <w:r w:rsidRPr="00E83F97">
              <w:rPr>
                <w:rFonts w:ascii="Times New Roman" w:eastAsia="Batang" w:hAnsi="Times New Roman"/>
                <w:bCs/>
                <w:i/>
                <w:iCs/>
                <w:sz w:val="20"/>
                <w:szCs w:val="20"/>
                <w:lang w:val="en-GB" w:eastAsia="en-US"/>
              </w:rPr>
              <w:t xml:space="preserve">For each bit indicated as ‘1’ in the availability indication field of the current </w:t>
            </w:r>
            <w:r w:rsidRPr="00E83F97">
              <w:rPr>
                <w:rFonts w:ascii="Times New Roman" w:eastAsia="DengXian" w:hAnsi="Times New Roman"/>
                <w:i/>
                <w:iCs/>
                <w:color w:val="FF0000"/>
                <w:sz w:val="20"/>
                <w:szCs w:val="20"/>
                <w:u w:val="single"/>
                <w:lang w:val="en-GB" w:eastAsia="en-US"/>
              </w:rPr>
              <w:t xml:space="preserve">L1 based signaling </w:t>
            </w:r>
            <w:r w:rsidRPr="00E83F97">
              <w:rPr>
                <w:rFonts w:ascii="Times New Roman" w:eastAsia="Batang" w:hAnsi="Times New Roman"/>
                <w:bCs/>
                <w:i/>
                <w:iCs/>
                <w:strike/>
                <w:color w:val="FF0000"/>
                <w:sz w:val="20"/>
                <w:szCs w:val="20"/>
                <w:lang w:val="en-GB" w:eastAsia="en-US"/>
              </w:rPr>
              <w:t>TRS availability indication</w:t>
            </w:r>
            <w:r w:rsidRPr="00E83F97">
              <w:rPr>
                <w:rFonts w:ascii="Times New Roman" w:eastAsia="Batang" w:hAnsi="Times New Roman"/>
                <w:bCs/>
                <w:i/>
                <w:iCs/>
                <w:sz w:val="20"/>
                <w:szCs w:val="20"/>
                <w:lang w:val="en-GB" w:eastAsia="en-US"/>
              </w:rPr>
              <w:t>, the</w:t>
            </w:r>
            <w:r w:rsidRPr="00E83F97">
              <w:rPr>
                <w:rFonts w:ascii="Times New Roman" w:eastAsia="Batang" w:hAnsi="Times New Roman"/>
                <w:bCs/>
                <w:i/>
                <w:iCs/>
                <w:color w:val="000000"/>
                <w:sz w:val="20"/>
                <w:szCs w:val="20"/>
                <w:lang w:val="en-GB" w:eastAsia="en-US"/>
              </w:rPr>
              <w:t xml:space="preserve"> UE assumes the corresponding TRS resource set(s) are available</w:t>
            </w:r>
            <w:r w:rsidRPr="00E83F97">
              <w:rPr>
                <w:rFonts w:ascii="Times New Roman" w:eastAsia="Batang" w:hAnsi="Times New Roman"/>
                <w:bCs/>
                <w:i/>
                <w:iCs/>
                <w:sz w:val="20"/>
                <w:szCs w:val="20"/>
                <w:lang w:val="en-GB" w:eastAsia="en-US"/>
              </w:rPr>
              <w:t xml:space="preserve"> from the reference point until the end of the validity duration associated with the current L1 </w:t>
            </w:r>
            <w:r w:rsidRPr="00E83F97">
              <w:rPr>
                <w:rFonts w:ascii="Times New Roman" w:eastAsia="Batang" w:hAnsi="Times New Roman"/>
                <w:bCs/>
                <w:i/>
                <w:iCs/>
                <w:color w:val="FF0000"/>
                <w:sz w:val="20"/>
                <w:szCs w:val="20"/>
                <w:u w:val="single"/>
                <w:lang w:val="en-GB" w:eastAsia="en-US"/>
              </w:rPr>
              <w:t xml:space="preserve">based signaling </w:t>
            </w:r>
            <w:r w:rsidRPr="00E83F97">
              <w:rPr>
                <w:rFonts w:ascii="Times New Roman" w:eastAsia="Batang" w:hAnsi="Times New Roman"/>
                <w:bCs/>
                <w:i/>
                <w:iCs/>
                <w:strike/>
                <w:color w:val="FF0000"/>
                <w:sz w:val="20"/>
                <w:szCs w:val="20"/>
                <w:lang w:val="en-GB" w:eastAsia="en-US"/>
              </w:rPr>
              <w:t>indication</w:t>
            </w:r>
            <w:r w:rsidRPr="00E83F97">
              <w:rPr>
                <w:rFonts w:ascii="Times New Roman" w:eastAsia="Batang" w:hAnsi="Times New Roman"/>
                <w:bCs/>
                <w:i/>
                <w:iCs/>
                <w:sz w:val="20"/>
                <w:szCs w:val="20"/>
                <w:lang w:val="en-GB" w:eastAsia="en-US"/>
              </w:rPr>
              <w:t>.</w:t>
            </w:r>
          </w:p>
          <w:p w14:paraId="3A653567" w14:textId="77777777" w:rsidR="0097388A" w:rsidRDefault="0097388A" w:rsidP="0097388A">
            <w:pPr>
              <w:widowControl w:val="0"/>
              <w:numPr>
                <w:ilvl w:val="0"/>
                <w:numId w:val="13"/>
              </w:numPr>
              <w:spacing w:after="0"/>
              <w:jc w:val="both"/>
              <w:rPr>
                <w:rFonts w:ascii="Times New Roman" w:eastAsia="Batang" w:hAnsi="Times New Roman"/>
                <w:i/>
                <w:iCs/>
                <w:sz w:val="20"/>
                <w:szCs w:val="20"/>
                <w:lang w:val="en-GB" w:eastAsia="en-US"/>
              </w:rPr>
            </w:pPr>
            <w:r w:rsidRPr="00E83F97">
              <w:rPr>
                <w:rFonts w:ascii="Times New Roman" w:eastAsia="Batang" w:hAnsi="Times New Roman"/>
                <w:i/>
                <w:iCs/>
                <w:sz w:val="20"/>
                <w:szCs w:val="20"/>
                <w:lang w:val="en-GB" w:eastAsia="en-US"/>
              </w:rPr>
              <w:t xml:space="preserve">For each bit indicated as ‘0’ in the availability indication field </w:t>
            </w:r>
            <w:r w:rsidRPr="00E83F97">
              <w:rPr>
                <w:rFonts w:ascii="Times New Roman" w:eastAsia="Batang" w:hAnsi="Times New Roman"/>
                <w:bCs/>
                <w:i/>
                <w:iCs/>
                <w:color w:val="FF0000"/>
                <w:sz w:val="20"/>
                <w:szCs w:val="20"/>
                <w:u w:val="single"/>
                <w:lang w:val="en-GB" w:eastAsia="en-US"/>
              </w:rPr>
              <w:t xml:space="preserve">of the current </w:t>
            </w:r>
            <w:r w:rsidRPr="00E83F97">
              <w:rPr>
                <w:rFonts w:ascii="Times New Roman" w:eastAsia="DengXian" w:hAnsi="Times New Roman"/>
                <w:i/>
                <w:iCs/>
                <w:color w:val="FF0000"/>
                <w:sz w:val="20"/>
                <w:szCs w:val="20"/>
                <w:u w:val="single"/>
                <w:lang w:val="en-GB" w:eastAsia="en-US"/>
              </w:rPr>
              <w:t>L1 based signaling</w:t>
            </w:r>
            <w:r w:rsidRPr="00E83F97">
              <w:rPr>
                <w:rFonts w:ascii="Times New Roman" w:eastAsia="Batang" w:hAnsi="Times New Roman"/>
                <w:i/>
                <w:iCs/>
                <w:sz w:val="20"/>
                <w:szCs w:val="20"/>
                <w:lang w:val="en-GB" w:eastAsia="en-US"/>
              </w:rPr>
              <w:t xml:space="preserve">, the UE keeps the </w:t>
            </w:r>
            <w:r w:rsidRPr="00E83F97">
              <w:rPr>
                <w:rFonts w:ascii="Times New Roman" w:eastAsia="Batang" w:hAnsi="Times New Roman"/>
                <w:i/>
                <w:iCs/>
                <w:color w:val="FF0000"/>
                <w:sz w:val="20"/>
                <w:szCs w:val="20"/>
                <w:u w:val="single"/>
                <w:lang w:val="en-GB" w:eastAsia="en-US"/>
              </w:rPr>
              <w:t>existing</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trike/>
                <w:color w:val="FF0000"/>
                <w:sz w:val="20"/>
                <w:szCs w:val="20"/>
                <w:lang w:val="en-GB" w:eastAsia="en-US"/>
              </w:rPr>
              <w:t>current</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assumption on the availability </w:t>
            </w:r>
            <w:r w:rsidRPr="00E83F97">
              <w:rPr>
                <w:rFonts w:ascii="Times New Roman" w:eastAsia="Batang" w:hAnsi="Times New Roman"/>
                <w:i/>
                <w:iCs/>
                <w:color w:val="FF0000"/>
                <w:sz w:val="20"/>
                <w:szCs w:val="20"/>
                <w:u w:val="single"/>
                <w:lang w:val="en-GB" w:eastAsia="en-US"/>
              </w:rPr>
              <w:t xml:space="preserve">or unavailability </w:t>
            </w:r>
            <w:r w:rsidRPr="00E83F97">
              <w:rPr>
                <w:rFonts w:ascii="Times New Roman" w:eastAsia="Batang" w:hAnsi="Times New Roman"/>
                <w:i/>
                <w:iCs/>
                <w:sz w:val="20"/>
                <w:szCs w:val="20"/>
                <w:lang w:val="en-GB" w:eastAsia="en-US"/>
              </w:rPr>
              <w:t>of the corresponding TRS resource set(s).</w:t>
            </w:r>
          </w:p>
          <w:p w14:paraId="57BE8995" w14:textId="77777777" w:rsidR="0097388A" w:rsidRDefault="0097388A" w:rsidP="0097388A">
            <w:pPr>
              <w:widowControl w:val="0"/>
              <w:jc w:val="both"/>
              <w:rPr>
                <w:rFonts w:ascii="Times New Roman" w:eastAsia="Batang" w:hAnsi="Times New Roman"/>
                <w:sz w:val="20"/>
                <w:szCs w:val="20"/>
                <w:lang w:val="en-GB" w:eastAsia="en-US"/>
              </w:rPr>
            </w:pPr>
          </w:p>
          <w:p w14:paraId="43B0F8D0" w14:textId="77777777" w:rsidR="0097388A" w:rsidRDefault="0097388A" w:rsidP="0097388A">
            <w:pPr>
              <w:widowControl w:val="0"/>
              <w:jc w:val="both"/>
              <w:rPr>
                <w:rFonts w:ascii="Times New Roman" w:eastAsia="Batang" w:hAnsi="Times New Roman"/>
                <w:sz w:val="20"/>
                <w:szCs w:val="20"/>
                <w:lang w:val="en-GB" w:eastAsia="en-US"/>
              </w:rPr>
            </w:pPr>
            <w:r>
              <w:rPr>
                <w:rFonts w:ascii="Times New Roman" w:eastAsia="Batang" w:hAnsi="Times New Roman"/>
                <w:sz w:val="20"/>
                <w:szCs w:val="20"/>
                <w:lang w:val="en-GB" w:eastAsia="en-US"/>
              </w:rPr>
              <w:t>It can be observed that the indication of L1 based availability indication in and out of the validity duration is different. And in the above case, the new received L1 based signaling obviously should be considered as which is received out of the validity duration, which is not aligned with RAN1’s agreement.</w:t>
            </w:r>
          </w:p>
          <w:p w14:paraId="38112E33" w14:textId="77461BAD" w:rsidR="0097388A" w:rsidRDefault="0097388A" w:rsidP="0097388A">
            <w:pPr>
              <w:overflowPunct w:val="0"/>
              <w:autoSpaceDE w:val="0"/>
              <w:autoSpaceDN w:val="0"/>
              <w:adjustRightInd w:val="0"/>
              <w:textAlignment w:val="baseline"/>
              <w:rPr>
                <w:sz w:val="20"/>
                <w:szCs w:val="20"/>
                <w:lang w:val="en-GB" w:eastAsia="ko-KR"/>
              </w:rPr>
            </w:pPr>
            <w:r>
              <w:rPr>
                <w:rFonts w:ascii="Times New Roman" w:eastAsia="Batang" w:hAnsi="Times New Roman"/>
                <w:sz w:val="20"/>
                <w:szCs w:val="20"/>
                <w:lang w:val="en-GB" w:eastAsia="en-US"/>
              </w:rPr>
              <w:t xml:space="preserve">Hence the case that TRS/CSI-RS configuration is changed within the </w:t>
            </w:r>
            <w:r w:rsidRPr="00E83F97">
              <w:rPr>
                <w:rFonts w:ascii="Times New Roman" w:eastAsia="Batang" w:hAnsi="Times New Roman"/>
                <w:sz w:val="20"/>
                <w:szCs w:val="20"/>
                <w:lang w:val="en-GB" w:eastAsia="en-US"/>
              </w:rPr>
              <w:t>validity time duration</w:t>
            </w:r>
            <w:r>
              <w:rPr>
                <w:rFonts w:ascii="Times New Roman" w:eastAsia="Batang" w:hAnsi="Times New Roman"/>
                <w:sz w:val="20"/>
                <w:szCs w:val="20"/>
                <w:lang w:val="en-GB" w:eastAsia="en-US"/>
              </w:rPr>
              <w:t xml:space="preserve"> must be considered. And option2 is a straightforward method to resolve the issue.</w:t>
            </w:r>
            <w:r>
              <w:rPr>
                <w:rFonts w:ascii="Times New Roman" w:eastAsia="Batang" w:hAnsi="Times New Roman"/>
                <w:i/>
                <w:iCs/>
                <w:sz w:val="20"/>
                <w:szCs w:val="20"/>
                <w:lang w:val="en-GB" w:eastAsia="en-US"/>
              </w:rPr>
              <w:t xml:space="preserve"> </w:t>
            </w:r>
          </w:p>
        </w:tc>
      </w:tr>
      <w:tr w:rsidR="0097388A" w14:paraId="16B56619" w14:textId="77777777">
        <w:tc>
          <w:tcPr>
            <w:tcW w:w="1423" w:type="dxa"/>
          </w:tcPr>
          <w:p w14:paraId="008BE4A8" w14:textId="77777777" w:rsidR="0097388A" w:rsidRDefault="0097388A" w:rsidP="0097388A">
            <w:pPr>
              <w:overflowPunct w:val="0"/>
              <w:autoSpaceDE w:val="0"/>
              <w:autoSpaceDN w:val="0"/>
              <w:adjustRightInd w:val="0"/>
              <w:textAlignment w:val="baseline"/>
              <w:rPr>
                <w:sz w:val="20"/>
                <w:szCs w:val="20"/>
                <w:lang w:val="en-GB" w:eastAsia="ko-KR"/>
              </w:rPr>
            </w:pPr>
          </w:p>
        </w:tc>
        <w:tc>
          <w:tcPr>
            <w:tcW w:w="1232" w:type="dxa"/>
          </w:tcPr>
          <w:p w14:paraId="11CFA5AD" w14:textId="77777777" w:rsidR="0097388A" w:rsidRDefault="0097388A" w:rsidP="0097388A">
            <w:pPr>
              <w:overflowPunct w:val="0"/>
              <w:autoSpaceDE w:val="0"/>
              <w:autoSpaceDN w:val="0"/>
              <w:adjustRightInd w:val="0"/>
              <w:textAlignment w:val="baseline"/>
              <w:rPr>
                <w:sz w:val="20"/>
                <w:szCs w:val="20"/>
                <w:lang w:val="en-GB" w:eastAsia="ko-KR"/>
              </w:rPr>
            </w:pPr>
          </w:p>
        </w:tc>
        <w:tc>
          <w:tcPr>
            <w:tcW w:w="6361" w:type="dxa"/>
          </w:tcPr>
          <w:p w14:paraId="66138A81" w14:textId="77777777" w:rsidR="0097388A" w:rsidRDefault="0097388A" w:rsidP="0097388A">
            <w:pPr>
              <w:overflowPunct w:val="0"/>
              <w:autoSpaceDE w:val="0"/>
              <w:autoSpaceDN w:val="0"/>
              <w:adjustRightInd w:val="0"/>
              <w:textAlignment w:val="baseline"/>
              <w:rPr>
                <w:sz w:val="20"/>
                <w:szCs w:val="20"/>
                <w:lang w:val="en-GB" w:eastAsia="ko-KR"/>
              </w:rPr>
            </w:pPr>
          </w:p>
        </w:tc>
      </w:tr>
      <w:tr w:rsidR="0097388A" w14:paraId="1459F59B" w14:textId="77777777">
        <w:tc>
          <w:tcPr>
            <w:tcW w:w="1423" w:type="dxa"/>
          </w:tcPr>
          <w:p w14:paraId="481A862D" w14:textId="77777777" w:rsidR="0097388A" w:rsidRDefault="0097388A" w:rsidP="0097388A">
            <w:pPr>
              <w:overflowPunct w:val="0"/>
              <w:autoSpaceDE w:val="0"/>
              <w:autoSpaceDN w:val="0"/>
              <w:adjustRightInd w:val="0"/>
              <w:textAlignment w:val="baseline"/>
              <w:rPr>
                <w:sz w:val="20"/>
                <w:szCs w:val="20"/>
                <w:lang w:val="en-GB" w:eastAsia="ko-KR"/>
              </w:rPr>
            </w:pPr>
          </w:p>
        </w:tc>
        <w:tc>
          <w:tcPr>
            <w:tcW w:w="1232" w:type="dxa"/>
          </w:tcPr>
          <w:p w14:paraId="3C9A55EC" w14:textId="77777777" w:rsidR="0097388A" w:rsidRDefault="0097388A" w:rsidP="0097388A">
            <w:pPr>
              <w:overflowPunct w:val="0"/>
              <w:autoSpaceDE w:val="0"/>
              <w:autoSpaceDN w:val="0"/>
              <w:adjustRightInd w:val="0"/>
              <w:textAlignment w:val="baseline"/>
              <w:rPr>
                <w:sz w:val="20"/>
                <w:szCs w:val="20"/>
                <w:lang w:val="en-GB" w:eastAsia="ko-KR"/>
              </w:rPr>
            </w:pPr>
          </w:p>
        </w:tc>
        <w:tc>
          <w:tcPr>
            <w:tcW w:w="6361" w:type="dxa"/>
          </w:tcPr>
          <w:p w14:paraId="07DF15F4" w14:textId="77777777" w:rsidR="0097388A" w:rsidRDefault="0097388A" w:rsidP="0097388A">
            <w:pPr>
              <w:overflowPunct w:val="0"/>
              <w:autoSpaceDE w:val="0"/>
              <w:autoSpaceDN w:val="0"/>
              <w:adjustRightInd w:val="0"/>
              <w:textAlignment w:val="baseline"/>
              <w:rPr>
                <w:sz w:val="20"/>
                <w:szCs w:val="20"/>
                <w:lang w:val="en-GB" w:eastAsia="ko-KR"/>
              </w:rPr>
            </w:pP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a0"/>
      </w:pPr>
    </w:p>
    <w:p w14:paraId="0C3D11CC" w14:textId="77777777" w:rsidR="000D5EC2" w:rsidRDefault="000D5EC2">
      <w:pPr>
        <w:pStyle w:val="a0"/>
      </w:pPr>
    </w:p>
    <w:p w14:paraId="1DE0835F" w14:textId="77777777" w:rsidR="000D5EC2" w:rsidRDefault="002E7D45">
      <w:pPr>
        <w:pStyle w:val="20"/>
        <w:ind w:left="562" w:hanging="562"/>
        <w:rPr>
          <w:sz w:val="22"/>
        </w:rPr>
      </w:pPr>
      <w:r>
        <w:rPr>
          <w:sz w:val="22"/>
        </w:rPr>
        <w:t>TRS resource configuration conflict between Idle/Inactive and Connected</w:t>
      </w:r>
    </w:p>
    <w:p w14:paraId="491C9932" w14:textId="77777777" w:rsidR="000D5EC2" w:rsidRDefault="002E7D45">
      <w:pPr>
        <w:pStyle w:val="a0"/>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a0"/>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a0"/>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a0"/>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af3"/>
        <w:tblW w:w="0" w:type="auto"/>
        <w:tblLook w:val="04A0" w:firstRow="1" w:lastRow="0" w:firstColumn="1" w:lastColumn="0" w:noHBand="0" w:noVBand="1"/>
      </w:tblPr>
      <w:tblGrid>
        <w:gridCol w:w="9060"/>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a0"/>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834"/>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r>
                    <w:rPr>
                      <w:b/>
                      <w:bCs/>
                      <w:i/>
                      <w:iCs/>
                    </w:rPr>
                    <w:t>trs-ResouceSetConfig</w:t>
                  </w:r>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a0"/>
              <w:rPr>
                <w:sz w:val="20"/>
              </w:rPr>
            </w:pPr>
          </w:p>
          <w:p w14:paraId="1613025D" w14:textId="77777777" w:rsidR="000D5EC2" w:rsidRDefault="000D5EC2">
            <w:pPr>
              <w:pStyle w:val="a0"/>
              <w:rPr>
                <w:sz w:val="20"/>
              </w:rPr>
            </w:pPr>
          </w:p>
        </w:tc>
      </w:tr>
    </w:tbl>
    <w:p w14:paraId="47AF5339" w14:textId="77777777" w:rsidR="000D5EC2" w:rsidRDefault="000D5EC2">
      <w:pPr>
        <w:pStyle w:val="a0"/>
        <w:rPr>
          <w:sz w:val="20"/>
        </w:rPr>
      </w:pPr>
    </w:p>
    <w:p w14:paraId="2C187D76" w14:textId="77777777" w:rsidR="000D5EC2" w:rsidRDefault="002E7D45">
      <w:pPr>
        <w:pStyle w:val="a0"/>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 xml:space="preserve">Furthermore PEI is not used in  connected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lastRenderedPageBreak/>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宋体"/>
                <w:sz w:val="20"/>
                <w:szCs w:val="20"/>
              </w:rPr>
            </w:pPr>
            <w:r>
              <w:rPr>
                <w:rFonts w:eastAsia="宋体"/>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宋体"/>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97388A" w14:paraId="096FC8DA" w14:textId="77777777">
        <w:tc>
          <w:tcPr>
            <w:tcW w:w="1423" w:type="dxa"/>
          </w:tcPr>
          <w:p w14:paraId="414452DD" w14:textId="428706F1" w:rsidR="0097388A" w:rsidRDefault="0097388A" w:rsidP="0097388A">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752BC9C4" w14:textId="0684FCAD" w:rsidR="0097388A" w:rsidRDefault="0097388A" w:rsidP="0097388A">
            <w:pPr>
              <w:overflowPunct w:val="0"/>
              <w:autoSpaceDE w:val="0"/>
              <w:autoSpaceDN w:val="0"/>
              <w:adjustRightInd w:val="0"/>
              <w:textAlignment w:val="baseline"/>
              <w:rPr>
                <w:sz w:val="20"/>
                <w:szCs w:val="20"/>
                <w:lang w:val="en-GB" w:eastAsia="ko-KR"/>
              </w:rPr>
            </w:pPr>
            <w:r>
              <w:rPr>
                <w:sz w:val="20"/>
                <w:szCs w:val="20"/>
                <w:lang w:val="en-GB" w:eastAsia="ko-KR"/>
              </w:rPr>
              <w:t>No</w:t>
            </w:r>
          </w:p>
        </w:tc>
        <w:tc>
          <w:tcPr>
            <w:tcW w:w="6361" w:type="dxa"/>
          </w:tcPr>
          <w:p w14:paraId="2BE84A1B" w14:textId="36DE3AB6" w:rsidR="0097388A" w:rsidRDefault="0097388A" w:rsidP="0097388A">
            <w:pPr>
              <w:overflowPunct w:val="0"/>
              <w:autoSpaceDE w:val="0"/>
              <w:autoSpaceDN w:val="0"/>
              <w:adjustRightInd w:val="0"/>
              <w:textAlignment w:val="baseline"/>
              <w:rPr>
                <w:sz w:val="20"/>
                <w:szCs w:val="20"/>
                <w:lang w:val="en-GB" w:eastAsia="ko-KR"/>
              </w:rPr>
            </w:pPr>
            <w:r>
              <w:rPr>
                <w:rFonts w:ascii="Times New Roman" w:eastAsia="DengXian" w:hAnsi="Times New Roman"/>
                <w:sz w:val="20"/>
                <w:szCs w:val="20"/>
              </w:rPr>
              <w:t xml:space="preserve">Similar view as Ericsson. </w:t>
            </w:r>
          </w:p>
        </w:tc>
      </w:tr>
      <w:tr w:rsidR="0097388A" w14:paraId="0FB78D21" w14:textId="77777777">
        <w:tc>
          <w:tcPr>
            <w:tcW w:w="1423" w:type="dxa"/>
          </w:tcPr>
          <w:p w14:paraId="2078FAE9" w14:textId="77777777" w:rsidR="0097388A" w:rsidRDefault="0097388A" w:rsidP="0097388A">
            <w:pPr>
              <w:overflowPunct w:val="0"/>
              <w:autoSpaceDE w:val="0"/>
              <w:autoSpaceDN w:val="0"/>
              <w:adjustRightInd w:val="0"/>
              <w:textAlignment w:val="baseline"/>
              <w:rPr>
                <w:sz w:val="20"/>
                <w:szCs w:val="20"/>
                <w:lang w:val="en-GB" w:eastAsia="ko-KR"/>
              </w:rPr>
            </w:pPr>
          </w:p>
        </w:tc>
        <w:tc>
          <w:tcPr>
            <w:tcW w:w="1232" w:type="dxa"/>
          </w:tcPr>
          <w:p w14:paraId="5C3E7A75" w14:textId="77777777" w:rsidR="0097388A" w:rsidRDefault="0097388A" w:rsidP="0097388A">
            <w:pPr>
              <w:overflowPunct w:val="0"/>
              <w:autoSpaceDE w:val="0"/>
              <w:autoSpaceDN w:val="0"/>
              <w:adjustRightInd w:val="0"/>
              <w:textAlignment w:val="baseline"/>
              <w:rPr>
                <w:sz w:val="20"/>
                <w:szCs w:val="20"/>
                <w:lang w:val="en-GB" w:eastAsia="ko-KR"/>
              </w:rPr>
            </w:pPr>
          </w:p>
        </w:tc>
        <w:tc>
          <w:tcPr>
            <w:tcW w:w="6361" w:type="dxa"/>
          </w:tcPr>
          <w:p w14:paraId="63ECD516" w14:textId="77777777" w:rsidR="0097388A" w:rsidRDefault="0097388A" w:rsidP="0097388A">
            <w:pPr>
              <w:overflowPunct w:val="0"/>
              <w:autoSpaceDE w:val="0"/>
              <w:autoSpaceDN w:val="0"/>
              <w:adjustRightInd w:val="0"/>
              <w:textAlignment w:val="baseline"/>
              <w:rPr>
                <w:sz w:val="20"/>
                <w:szCs w:val="20"/>
                <w:lang w:val="en-GB" w:eastAsia="ko-KR"/>
              </w:rPr>
            </w:pPr>
          </w:p>
        </w:tc>
      </w:tr>
      <w:tr w:rsidR="0097388A" w14:paraId="364FC097" w14:textId="77777777">
        <w:tc>
          <w:tcPr>
            <w:tcW w:w="1423" w:type="dxa"/>
          </w:tcPr>
          <w:p w14:paraId="0FADE031" w14:textId="77777777" w:rsidR="0097388A" w:rsidRDefault="0097388A" w:rsidP="0097388A">
            <w:pPr>
              <w:overflowPunct w:val="0"/>
              <w:autoSpaceDE w:val="0"/>
              <w:autoSpaceDN w:val="0"/>
              <w:adjustRightInd w:val="0"/>
              <w:textAlignment w:val="baseline"/>
              <w:rPr>
                <w:sz w:val="20"/>
                <w:szCs w:val="20"/>
                <w:lang w:val="en-GB" w:eastAsia="ko-KR"/>
              </w:rPr>
            </w:pPr>
          </w:p>
        </w:tc>
        <w:tc>
          <w:tcPr>
            <w:tcW w:w="1232" w:type="dxa"/>
          </w:tcPr>
          <w:p w14:paraId="1C7E69EE" w14:textId="77777777" w:rsidR="0097388A" w:rsidRDefault="0097388A" w:rsidP="0097388A">
            <w:pPr>
              <w:overflowPunct w:val="0"/>
              <w:autoSpaceDE w:val="0"/>
              <w:autoSpaceDN w:val="0"/>
              <w:adjustRightInd w:val="0"/>
              <w:textAlignment w:val="baseline"/>
              <w:rPr>
                <w:sz w:val="20"/>
                <w:szCs w:val="20"/>
                <w:lang w:val="en-GB" w:eastAsia="ko-KR"/>
              </w:rPr>
            </w:pPr>
          </w:p>
        </w:tc>
        <w:tc>
          <w:tcPr>
            <w:tcW w:w="6361" w:type="dxa"/>
          </w:tcPr>
          <w:p w14:paraId="38B296CB" w14:textId="77777777" w:rsidR="0097388A" w:rsidRDefault="0097388A" w:rsidP="0097388A">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20"/>
        <w:ind w:left="562" w:hanging="562"/>
        <w:rPr>
          <w:sz w:val="22"/>
        </w:rPr>
      </w:pPr>
      <w:r>
        <w:rPr>
          <w:sz w:val="22"/>
        </w:rPr>
        <w:t xml:space="preserve">Adding an “infinite” value to the field </w:t>
      </w:r>
      <w:r>
        <w:rPr>
          <w:i/>
          <w:sz w:val="22"/>
        </w:rPr>
        <w:t>validityDuration</w:t>
      </w:r>
    </w:p>
    <w:p w14:paraId="6F3EB56B" w14:textId="77777777" w:rsidR="000D5EC2" w:rsidRDefault="002E7D45">
      <w:pPr>
        <w:pStyle w:val="a0"/>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The finite values defined for 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Pr>
          <w:i/>
          <w:sz w:val="20"/>
        </w:rPr>
        <w:t>validityDuration</w:t>
      </w:r>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r>
        <w:rPr>
          <w:rFonts w:eastAsia="Malgun Gothic"/>
          <w:b/>
          <w:i/>
          <w:sz w:val="20"/>
          <w:szCs w:val="20"/>
          <w:lang w:eastAsia="ko-KR"/>
        </w:rPr>
        <w:t>validityDuration</w:t>
      </w:r>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Qualcomm</w:t>
            </w:r>
            <w:r>
              <w:rPr>
                <w:rFonts w:eastAsia="宋体"/>
                <w:sz w:val="20"/>
                <w:szCs w:val="20"/>
              </w:rPr>
              <w:t>’</w:t>
            </w:r>
            <w:r>
              <w:rPr>
                <w:rFonts w:eastAsia="宋体"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宋体"/>
                <w:sz w:val="20"/>
                <w:szCs w:val="20"/>
              </w:rPr>
            </w:pPr>
            <w:r>
              <w:rPr>
                <w:rFonts w:eastAsia="宋体"/>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宋体"/>
                <w:sz w:val="20"/>
                <w:szCs w:val="20"/>
              </w:rPr>
            </w:pPr>
            <w:r>
              <w:rPr>
                <w:rFonts w:eastAsia="宋体"/>
                <w:sz w:val="20"/>
                <w:szCs w:val="20"/>
              </w:rPr>
              <w:t xml:space="preserve">It seems like a good solution to minimize needless signalling. </w:t>
            </w:r>
            <w:r>
              <w:rPr>
                <w:rFonts w:eastAsia="宋体"/>
                <w:sz w:val="20"/>
                <w:szCs w:val="20"/>
              </w:rPr>
              <w:br/>
              <w:t xml:space="preserve">SIB validity time can be used instead of infinity, but that is semantics which can be solved in the field description. </w:t>
            </w:r>
            <w:r w:rsidR="00016424">
              <w:rPr>
                <w:rFonts w:eastAsia="宋体"/>
                <w:sz w:val="20"/>
                <w:szCs w:val="20"/>
              </w:rPr>
              <w:t>Anyway some additional description will be needed, e.g., not mandating any L1 indication.</w:t>
            </w:r>
            <w:r>
              <w:rPr>
                <w:rFonts w:eastAsia="宋体"/>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lastRenderedPageBreak/>
              <w:t>Intel</w:t>
            </w:r>
          </w:p>
        </w:tc>
        <w:tc>
          <w:tcPr>
            <w:tcW w:w="1232" w:type="dxa"/>
          </w:tcPr>
          <w:p w14:paraId="6C811DE6" w14:textId="0224D005"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signaling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宋体"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97388A" w14:paraId="6443DA22" w14:textId="77777777">
        <w:tc>
          <w:tcPr>
            <w:tcW w:w="1423" w:type="dxa"/>
          </w:tcPr>
          <w:p w14:paraId="3B347E9F" w14:textId="1E725CD6" w:rsidR="0097388A" w:rsidRDefault="0097388A" w:rsidP="0097388A">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67EA5CBF" w14:textId="1316C45A" w:rsidR="0097388A" w:rsidRDefault="0097388A" w:rsidP="0097388A">
            <w:pPr>
              <w:overflowPunct w:val="0"/>
              <w:autoSpaceDE w:val="0"/>
              <w:autoSpaceDN w:val="0"/>
              <w:adjustRightInd w:val="0"/>
              <w:textAlignment w:val="baseline"/>
              <w:rPr>
                <w:sz w:val="20"/>
                <w:szCs w:val="20"/>
                <w:lang w:val="en-GB" w:eastAsia="ko-KR"/>
              </w:rPr>
            </w:pPr>
            <w:r>
              <w:rPr>
                <w:rFonts w:hint="eastAsia"/>
                <w:sz w:val="20"/>
                <w:szCs w:val="20"/>
                <w:lang w:val="en-GB"/>
              </w:rPr>
              <w:t>Y</w:t>
            </w:r>
            <w:r>
              <w:rPr>
                <w:sz w:val="20"/>
                <w:szCs w:val="20"/>
                <w:lang w:val="en-GB"/>
              </w:rPr>
              <w:t>es</w:t>
            </w:r>
          </w:p>
        </w:tc>
        <w:tc>
          <w:tcPr>
            <w:tcW w:w="6361" w:type="dxa"/>
          </w:tcPr>
          <w:p w14:paraId="24F4F410" w14:textId="6B776B5D" w:rsidR="0097388A" w:rsidRDefault="0097388A" w:rsidP="0097388A">
            <w:pPr>
              <w:overflowPunct w:val="0"/>
              <w:autoSpaceDE w:val="0"/>
              <w:autoSpaceDN w:val="0"/>
              <w:adjustRightInd w:val="0"/>
              <w:textAlignment w:val="baseline"/>
              <w:rPr>
                <w:sz w:val="20"/>
                <w:szCs w:val="20"/>
                <w:lang w:val="en-GB" w:eastAsia="ko-KR"/>
              </w:rPr>
            </w:pPr>
            <w:r>
              <w:rPr>
                <w:rFonts w:eastAsia="DengXian"/>
                <w:sz w:val="20"/>
                <w:szCs w:val="20"/>
              </w:rPr>
              <w:t>If the TRS/CSI-RS configuration doesn’t change, it may be efficient.</w:t>
            </w:r>
          </w:p>
        </w:tc>
      </w:tr>
      <w:tr w:rsidR="0097388A" w14:paraId="72EE832C" w14:textId="77777777">
        <w:tc>
          <w:tcPr>
            <w:tcW w:w="1423" w:type="dxa"/>
          </w:tcPr>
          <w:p w14:paraId="1A143FC4" w14:textId="77777777" w:rsidR="0097388A" w:rsidRDefault="0097388A" w:rsidP="0097388A">
            <w:pPr>
              <w:overflowPunct w:val="0"/>
              <w:autoSpaceDE w:val="0"/>
              <w:autoSpaceDN w:val="0"/>
              <w:adjustRightInd w:val="0"/>
              <w:textAlignment w:val="baseline"/>
              <w:rPr>
                <w:sz w:val="20"/>
                <w:szCs w:val="20"/>
                <w:lang w:val="en-GB" w:eastAsia="ko-KR"/>
              </w:rPr>
            </w:pPr>
          </w:p>
        </w:tc>
        <w:tc>
          <w:tcPr>
            <w:tcW w:w="1232" w:type="dxa"/>
          </w:tcPr>
          <w:p w14:paraId="15DF0DE2" w14:textId="77777777" w:rsidR="0097388A" w:rsidRDefault="0097388A" w:rsidP="0097388A">
            <w:pPr>
              <w:overflowPunct w:val="0"/>
              <w:autoSpaceDE w:val="0"/>
              <w:autoSpaceDN w:val="0"/>
              <w:adjustRightInd w:val="0"/>
              <w:textAlignment w:val="baseline"/>
              <w:rPr>
                <w:sz w:val="20"/>
                <w:szCs w:val="20"/>
                <w:lang w:val="en-GB" w:eastAsia="ko-KR"/>
              </w:rPr>
            </w:pPr>
          </w:p>
        </w:tc>
        <w:tc>
          <w:tcPr>
            <w:tcW w:w="6361" w:type="dxa"/>
          </w:tcPr>
          <w:p w14:paraId="29245C1D" w14:textId="77777777" w:rsidR="0097388A" w:rsidRDefault="0097388A" w:rsidP="0097388A">
            <w:pPr>
              <w:overflowPunct w:val="0"/>
              <w:autoSpaceDE w:val="0"/>
              <w:autoSpaceDN w:val="0"/>
              <w:adjustRightInd w:val="0"/>
              <w:textAlignment w:val="baseline"/>
              <w:rPr>
                <w:sz w:val="20"/>
                <w:szCs w:val="20"/>
                <w:lang w:val="en-GB" w:eastAsia="ko-KR"/>
              </w:rPr>
            </w:pPr>
          </w:p>
        </w:tc>
      </w:tr>
      <w:tr w:rsidR="0097388A" w14:paraId="7B114204" w14:textId="77777777">
        <w:tc>
          <w:tcPr>
            <w:tcW w:w="1423" w:type="dxa"/>
          </w:tcPr>
          <w:p w14:paraId="432B297E" w14:textId="77777777" w:rsidR="0097388A" w:rsidRDefault="0097388A" w:rsidP="0097388A">
            <w:pPr>
              <w:overflowPunct w:val="0"/>
              <w:autoSpaceDE w:val="0"/>
              <w:autoSpaceDN w:val="0"/>
              <w:adjustRightInd w:val="0"/>
              <w:textAlignment w:val="baseline"/>
              <w:rPr>
                <w:sz w:val="20"/>
                <w:szCs w:val="20"/>
                <w:lang w:val="en-GB" w:eastAsia="ko-KR"/>
              </w:rPr>
            </w:pPr>
          </w:p>
        </w:tc>
        <w:tc>
          <w:tcPr>
            <w:tcW w:w="1232" w:type="dxa"/>
          </w:tcPr>
          <w:p w14:paraId="69E3A003" w14:textId="77777777" w:rsidR="0097388A" w:rsidRDefault="0097388A" w:rsidP="0097388A">
            <w:pPr>
              <w:overflowPunct w:val="0"/>
              <w:autoSpaceDE w:val="0"/>
              <w:autoSpaceDN w:val="0"/>
              <w:adjustRightInd w:val="0"/>
              <w:textAlignment w:val="baseline"/>
              <w:rPr>
                <w:sz w:val="20"/>
                <w:szCs w:val="20"/>
                <w:lang w:val="en-GB" w:eastAsia="ko-KR"/>
              </w:rPr>
            </w:pPr>
          </w:p>
        </w:tc>
        <w:tc>
          <w:tcPr>
            <w:tcW w:w="6361" w:type="dxa"/>
          </w:tcPr>
          <w:p w14:paraId="5C7E79BD" w14:textId="77777777" w:rsidR="0097388A" w:rsidRDefault="0097388A" w:rsidP="0097388A">
            <w:pPr>
              <w:overflowPunct w:val="0"/>
              <w:autoSpaceDE w:val="0"/>
              <w:autoSpaceDN w:val="0"/>
              <w:adjustRightInd w:val="0"/>
              <w:textAlignment w:val="baseline"/>
              <w:rPr>
                <w:sz w:val="20"/>
                <w:szCs w:val="20"/>
                <w:lang w:val="en-GB" w:eastAsia="ko-KR"/>
              </w:rPr>
            </w:pP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a0"/>
        <w:rPr>
          <w:sz w:val="20"/>
        </w:rPr>
      </w:pPr>
    </w:p>
    <w:p w14:paraId="538EDB1A" w14:textId="77777777" w:rsidR="000D5EC2" w:rsidRDefault="000D5EC2">
      <w:pPr>
        <w:pStyle w:val="a0"/>
      </w:pPr>
    </w:p>
    <w:p w14:paraId="2A78465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a0"/>
        <w:spacing w:beforeLines="50" w:before="120"/>
        <w:rPr>
          <w:rFonts w:eastAsia="Arial Unicode MS"/>
          <w:sz w:val="20"/>
          <w:lang w:val="en-GB"/>
        </w:rPr>
      </w:pPr>
      <w:bookmarkStart w:id="10" w:name="OLE_LINK60"/>
      <w:bookmarkStart w:id="11" w:name="OLE_LINK59"/>
      <w:bookmarkStart w:id="12" w:name="OLE_LINK58"/>
      <w:bookmarkEnd w:id="5"/>
      <w:bookmarkEnd w:id="6"/>
      <w:bookmarkEnd w:id="7"/>
      <w:bookmarkEnd w:id="8"/>
      <w:r>
        <w:rPr>
          <w:rFonts w:eastAsia="Arial Unicode MS"/>
          <w:sz w:val="20"/>
          <w:lang w:val="en-GB"/>
        </w:rPr>
        <w:t>TBD</w:t>
      </w:r>
    </w:p>
    <w:p w14:paraId="2C6510C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bookmarkStart w:id="13" w:name="OLE_LINK48"/>
      <w:bookmarkStart w:id="14" w:name="OLE_LINK47"/>
      <w:r>
        <w:rPr>
          <w:rFonts w:ascii="Times New Roman" w:eastAsia="Arial Unicode MS" w:hAnsi="Times New Roman" w:cs="Times New Roman"/>
        </w:rPr>
        <w:t>Reference</w:t>
      </w:r>
    </w:p>
    <w:p w14:paraId="3C419589" w14:textId="77777777" w:rsidR="000D5EC2" w:rsidRDefault="002E7D45">
      <w:pPr>
        <w:pStyle w:val="a0"/>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a0"/>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a0"/>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FAA7" w14:textId="77777777" w:rsidR="00CD72C9" w:rsidRDefault="00CD72C9">
      <w:pPr>
        <w:spacing w:after="0" w:line="240" w:lineRule="auto"/>
      </w:pPr>
      <w:r>
        <w:separator/>
      </w:r>
    </w:p>
  </w:endnote>
  <w:endnote w:type="continuationSeparator" w:id="0">
    <w:p w14:paraId="78E5DB32" w14:textId="77777777" w:rsidR="00CD72C9" w:rsidRDefault="00CD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C63A927" w14:textId="77777777" w:rsidR="000D5EC2" w:rsidRDefault="000D5E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55E5088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C24CA">
      <w:rPr>
        <w:rStyle w:val="af5"/>
        <w:noProof/>
      </w:rPr>
      <w:t>6</w:t>
    </w:r>
    <w:r>
      <w:rPr>
        <w:rStyle w:val="af5"/>
      </w:rPr>
      <w:fldChar w:fldCharType="end"/>
    </w:r>
  </w:p>
  <w:p w14:paraId="2AB53CA4" w14:textId="77777777" w:rsidR="000D5EC2" w:rsidRDefault="002E7D45">
    <w:pPr>
      <w:pStyle w:val="ac"/>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C8BF" w14:textId="77777777" w:rsidR="00CD72C9" w:rsidRDefault="00CD72C9">
      <w:pPr>
        <w:spacing w:after="0" w:line="240" w:lineRule="auto"/>
      </w:pPr>
      <w:r>
        <w:separator/>
      </w:r>
    </w:p>
  </w:footnote>
  <w:footnote w:type="continuationSeparator" w:id="0">
    <w:p w14:paraId="587AFA0D" w14:textId="77777777" w:rsidR="00CD72C9" w:rsidRDefault="00CD7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85351640">
    <w:abstractNumId w:val="11"/>
  </w:num>
  <w:num w:numId="2" w16cid:durableId="974024762">
    <w:abstractNumId w:val="10"/>
  </w:num>
  <w:num w:numId="3" w16cid:durableId="1078208975">
    <w:abstractNumId w:val="9"/>
  </w:num>
  <w:num w:numId="4" w16cid:durableId="957567272">
    <w:abstractNumId w:val="4"/>
  </w:num>
  <w:num w:numId="5" w16cid:durableId="227303403">
    <w:abstractNumId w:val="5"/>
  </w:num>
  <w:num w:numId="6" w16cid:durableId="1968389575">
    <w:abstractNumId w:val="12"/>
  </w:num>
  <w:num w:numId="7" w16cid:durableId="232855521">
    <w:abstractNumId w:val="2"/>
  </w:num>
  <w:num w:numId="8" w16cid:durableId="86075282">
    <w:abstractNumId w:val="3"/>
  </w:num>
  <w:num w:numId="9" w16cid:durableId="978926100">
    <w:abstractNumId w:val="0"/>
  </w:num>
  <w:num w:numId="10" w16cid:durableId="1600141688">
    <w:abstractNumId w:val="7"/>
  </w:num>
  <w:num w:numId="11" w16cid:durableId="1973704008">
    <w:abstractNumId w:val="8"/>
  </w:num>
  <w:num w:numId="12" w16cid:durableId="500707249">
    <w:abstractNumId w:val="1"/>
  </w:num>
  <w:num w:numId="13" w16cid:durableId="1335179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388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2C9"/>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70201"/>
  <w15:docId w15:val="{642908C6-D70E-48EA-9B8F-A512AC76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US" w:eastAsia="zh-CN"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表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e">
    <w:name w:val="页眉 字符"/>
    <w:basedOn w:val="a1"/>
    <w:link w:val="ad"/>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70">
    <w:name w:val="标题 7 字符"/>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a"/>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qFormat/>
    <w:rPr>
      <w:rFonts w:ascii="宋体" w:eastAsia="宋体" w:hAnsi="宋体" w:cs="宋体"/>
    </w:rPr>
  </w:style>
  <w:style w:type="paragraph" w:customStyle="1" w:styleId="EmailDiscussion2">
    <w:name w:val="EmailDiscussion2"/>
    <w:basedOn w:val="Doc-text2"/>
    <w:uiPriority w:val="99"/>
    <w:qFormat/>
    <w:rPr>
      <w:sz w:val="20"/>
    </w:rPr>
  </w:style>
  <w:style w:type="table" w:customStyle="1" w:styleId="TableGrid1">
    <w:name w:val="Table Grid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宋体" w:hAnsi="Times New Roman"/>
      <w:b w:val="0"/>
      <w:bCs w:val="0"/>
      <w:sz w:val="20"/>
    </w:rPr>
  </w:style>
  <w:style w:type="character" w:customStyle="1" w:styleId="normaltextrun">
    <w:name w:val="normaltextrun"/>
    <w:basedOn w:val="a1"/>
    <w:rsid w:val="00407F88"/>
  </w:style>
  <w:style w:type="character" w:customStyle="1" w:styleId="eop">
    <w:name w:val="eop"/>
    <w:basedOn w:val="a1"/>
    <w:rsid w:val="004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0C0750-0E58-47FA-B872-110361487E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vivo-Chenli</cp:lastModifiedBy>
  <cp:revision>3</cp:revision>
  <cp:lastPrinted>2007-08-29T03:45:00Z</cp:lastPrinted>
  <dcterms:created xsi:type="dcterms:W3CDTF">2022-05-16T07:14:00Z</dcterms:created>
  <dcterms:modified xsi:type="dcterms:W3CDTF">2022-05-16T08:17:00Z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