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9AA" w14:textId="77777777"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a0"/>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等线"/>
                <w:sz w:val="20"/>
              </w:rPr>
            </w:pPr>
            <w:r>
              <w:rPr>
                <w:rFonts w:eastAsia="等线" w:hint="eastAsia"/>
                <w:sz w:val="20"/>
              </w:rPr>
              <w:t>X</w:t>
            </w:r>
            <w:r>
              <w:rPr>
                <w:rFonts w:eastAsia="等线"/>
                <w:sz w:val="20"/>
              </w:rPr>
              <w:t>iaomi</w:t>
            </w:r>
          </w:p>
        </w:tc>
        <w:tc>
          <w:tcPr>
            <w:tcW w:w="2790" w:type="dxa"/>
          </w:tcPr>
          <w:p w14:paraId="3C75BC2D" w14:textId="77777777" w:rsidR="000D5EC2" w:rsidRDefault="002E7D45">
            <w:pPr>
              <w:rPr>
                <w:rFonts w:eastAsia="等线"/>
                <w:sz w:val="20"/>
              </w:rPr>
            </w:pPr>
            <w:r>
              <w:rPr>
                <w:rFonts w:eastAsia="等线"/>
                <w:sz w:val="20"/>
              </w:rPr>
              <w:t>Yanhua Li</w:t>
            </w:r>
          </w:p>
        </w:tc>
        <w:tc>
          <w:tcPr>
            <w:tcW w:w="4431" w:type="dxa"/>
          </w:tcPr>
          <w:p w14:paraId="0BC0E850" w14:textId="77777777" w:rsidR="000D5EC2" w:rsidRDefault="002E7D45">
            <w:pPr>
              <w:rPr>
                <w:rFonts w:eastAsia="等线"/>
                <w:sz w:val="20"/>
              </w:rPr>
            </w:pPr>
            <w:r>
              <w:rPr>
                <w:rFonts w:eastAsia="等线"/>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等线" w:hint="eastAsia"/>
                <w:sz w:val="20"/>
              </w:rPr>
              <w:t>S</w:t>
            </w:r>
            <w:r>
              <w:rPr>
                <w:rFonts w:eastAsia="等线"/>
                <w:sz w:val="20"/>
              </w:rPr>
              <w:t>harp</w:t>
            </w:r>
          </w:p>
        </w:tc>
        <w:tc>
          <w:tcPr>
            <w:tcW w:w="2790" w:type="dxa"/>
          </w:tcPr>
          <w:p w14:paraId="5D01BDF6" w14:textId="77777777" w:rsidR="000C24CA" w:rsidRDefault="000C24CA" w:rsidP="00DD4F03">
            <w:pPr>
              <w:rPr>
                <w:sz w:val="20"/>
                <w:lang w:eastAsia="ko-KR"/>
              </w:rPr>
            </w:pPr>
            <w:r>
              <w:rPr>
                <w:rFonts w:eastAsia="等线" w:hint="eastAsia"/>
                <w:sz w:val="20"/>
              </w:rPr>
              <w:t>L</w:t>
            </w:r>
            <w:r>
              <w:rPr>
                <w:rFonts w:eastAsia="等线"/>
                <w:sz w:val="20"/>
              </w:rPr>
              <w:t>IU Lei</w:t>
            </w:r>
          </w:p>
        </w:tc>
        <w:tc>
          <w:tcPr>
            <w:tcW w:w="4431" w:type="dxa"/>
          </w:tcPr>
          <w:p w14:paraId="26E16095" w14:textId="77777777" w:rsidR="000C24CA" w:rsidRDefault="000C24CA" w:rsidP="00DD4F03">
            <w:pPr>
              <w:rPr>
                <w:sz w:val="20"/>
                <w:lang w:eastAsia="ko-KR"/>
              </w:rPr>
            </w:pPr>
            <w:r>
              <w:rPr>
                <w:rFonts w:eastAsia="等线"/>
                <w:sz w:val="20"/>
              </w:rPr>
              <w:t>lei.liu@cn.sharp-world.com</w:t>
            </w:r>
          </w:p>
        </w:tc>
      </w:tr>
      <w:tr w:rsidR="000D5EC2" w14:paraId="5591514D" w14:textId="77777777">
        <w:tc>
          <w:tcPr>
            <w:tcW w:w="1795" w:type="dxa"/>
          </w:tcPr>
          <w:p w14:paraId="41C479FC" w14:textId="77777777" w:rsidR="000D5EC2" w:rsidRPr="000C24CA" w:rsidRDefault="000D5EC2">
            <w:pPr>
              <w:rPr>
                <w:sz w:val="20"/>
                <w:lang w:eastAsia="ko-KR"/>
              </w:rPr>
            </w:pPr>
          </w:p>
        </w:tc>
        <w:tc>
          <w:tcPr>
            <w:tcW w:w="2790" w:type="dxa"/>
          </w:tcPr>
          <w:p w14:paraId="29888A5F" w14:textId="77777777" w:rsidR="000D5EC2" w:rsidRDefault="000D5EC2">
            <w:pPr>
              <w:rPr>
                <w:sz w:val="20"/>
                <w:lang w:eastAsia="ko-KR"/>
              </w:rPr>
            </w:pPr>
          </w:p>
        </w:tc>
        <w:tc>
          <w:tcPr>
            <w:tcW w:w="4431" w:type="dxa"/>
          </w:tcPr>
          <w:p w14:paraId="76311F79" w14:textId="77777777" w:rsidR="000D5EC2" w:rsidRDefault="000D5EC2">
            <w:pPr>
              <w:rPr>
                <w:sz w:val="20"/>
                <w:lang w:eastAsia="ko-KR"/>
              </w:rPr>
            </w:pPr>
          </w:p>
        </w:tc>
      </w:tr>
      <w:tr w:rsidR="000D5EC2" w14:paraId="377513DE" w14:textId="77777777">
        <w:tc>
          <w:tcPr>
            <w:tcW w:w="1795" w:type="dxa"/>
          </w:tcPr>
          <w:p w14:paraId="42E8E9FD" w14:textId="77777777" w:rsidR="000D5EC2" w:rsidRDefault="000D5EC2">
            <w:pPr>
              <w:rPr>
                <w:sz w:val="20"/>
                <w:lang w:eastAsia="ko-KR"/>
              </w:rPr>
            </w:pPr>
          </w:p>
        </w:tc>
        <w:tc>
          <w:tcPr>
            <w:tcW w:w="2790" w:type="dxa"/>
          </w:tcPr>
          <w:p w14:paraId="7C6561C7" w14:textId="77777777" w:rsidR="000D5EC2" w:rsidRDefault="000D5EC2">
            <w:pPr>
              <w:rPr>
                <w:sz w:val="20"/>
                <w:lang w:eastAsia="ko-KR"/>
              </w:rPr>
            </w:pPr>
          </w:p>
        </w:tc>
        <w:tc>
          <w:tcPr>
            <w:tcW w:w="4431" w:type="dxa"/>
          </w:tcPr>
          <w:p w14:paraId="58650B73" w14:textId="77777777" w:rsidR="000D5EC2" w:rsidRDefault="000D5EC2">
            <w:pPr>
              <w:rPr>
                <w:sz w:val="20"/>
                <w:lang w:eastAsia="ko-KR"/>
              </w:rPr>
            </w:pPr>
          </w:p>
        </w:tc>
      </w:tr>
      <w:tr w:rsidR="000D5EC2" w14:paraId="72AD4C26" w14:textId="77777777">
        <w:tc>
          <w:tcPr>
            <w:tcW w:w="1795" w:type="dxa"/>
          </w:tcPr>
          <w:p w14:paraId="2188045E" w14:textId="77777777" w:rsidR="000D5EC2" w:rsidRDefault="000D5EC2">
            <w:pPr>
              <w:rPr>
                <w:sz w:val="20"/>
                <w:lang w:eastAsia="ko-KR"/>
              </w:rPr>
            </w:pPr>
          </w:p>
        </w:tc>
        <w:tc>
          <w:tcPr>
            <w:tcW w:w="2790" w:type="dxa"/>
          </w:tcPr>
          <w:p w14:paraId="7A1C4005" w14:textId="77777777" w:rsidR="000D5EC2" w:rsidRDefault="000D5EC2">
            <w:pPr>
              <w:rPr>
                <w:sz w:val="20"/>
                <w:lang w:eastAsia="ko-KR"/>
              </w:rPr>
            </w:pPr>
          </w:p>
        </w:tc>
        <w:tc>
          <w:tcPr>
            <w:tcW w:w="4431" w:type="dxa"/>
          </w:tcPr>
          <w:p w14:paraId="28D0F0A9" w14:textId="77777777" w:rsidR="000D5EC2" w:rsidRDefault="000D5EC2">
            <w:pPr>
              <w:rPr>
                <w:sz w:val="20"/>
                <w:lang w:eastAsia="ko-KR"/>
              </w:rPr>
            </w:pPr>
          </w:p>
        </w:tc>
      </w:tr>
      <w:tr w:rsidR="000D5EC2" w14:paraId="5B307434" w14:textId="77777777">
        <w:tc>
          <w:tcPr>
            <w:tcW w:w="1795" w:type="dxa"/>
          </w:tcPr>
          <w:p w14:paraId="7D4F35F4" w14:textId="77777777" w:rsidR="000D5EC2" w:rsidRDefault="000D5EC2">
            <w:pPr>
              <w:rPr>
                <w:sz w:val="20"/>
                <w:lang w:eastAsia="ko-KR"/>
              </w:rPr>
            </w:pPr>
          </w:p>
        </w:tc>
        <w:tc>
          <w:tcPr>
            <w:tcW w:w="2790" w:type="dxa"/>
          </w:tcPr>
          <w:p w14:paraId="62D5BE0F" w14:textId="77777777" w:rsidR="000D5EC2" w:rsidRDefault="000D5EC2">
            <w:pPr>
              <w:rPr>
                <w:sz w:val="20"/>
                <w:lang w:eastAsia="ko-KR"/>
              </w:rPr>
            </w:pPr>
          </w:p>
        </w:tc>
        <w:tc>
          <w:tcPr>
            <w:tcW w:w="4431" w:type="dxa"/>
          </w:tcPr>
          <w:p w14:paraId="3CE93F5C" w14:textId="77777777" w:rsidR="000D5EC2" w:rsidRDefault="000D5EC2">
            <w:pPr>
              <w:rPr>
                <w:sz w:val="20"/>
                <w:lang w:eastAsia="ko-KR"/>
              </w:rPr>
            </w:pPr>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20"/>
        <w:ind w:left="562" w:hanging="562"/>
        <w:rPr>
          <w:sz w:val="22"/>
        </w:rPr>
      </w:pPr>
      <w:r>
        <w:rPr>
          <w:sz w:val="22"/>
        </w:rPr>
        <w:t>TRS availability when SI change</w:t>
      </w:r>
    </w:p>
    <w:p w14:paraId="0D6C208C" w14:textId="77777777" w:rsidR="000D5EC2" w:rsidRDefault="002E7D45">
      <w:pPr>
        <w:pStyle w:val="a0"/>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2E7D45">
      <w:pPr>
        <w:pStyle w:val="a0"/>
        <w:jc w:val="left"/>
        <w:rPr>
          <w:sz w:val="20"/>
        </w:rPr>
      </w:pPr>
      <w:r>
        <w:rPr>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85.55pt" o:ole="">
            <v:imagedata r:id="rId9" o:title=""/>
          </v:shape>
          <o:OLEObject Type="Embed" ProgID="Visio.Drawing.15" ShapeID="_x0000_i1025" DrawAspect="Content" ObjectID="_1714219305" r:id="rId10"/>
        </w:object>
      </w:r>
    </w:p>
    <w:p w14:paraId="35331975" w14:textId="77777777" w:rsidR="000D5EC2" w:rsidRDefault="002E7D45">
      <w:pPr>
        <w:pStyle w:val="a0"/>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a0"/>
        <w:jc w:val="left"/>
        <w:rPr>
          <w:sz w:val="20"/>
        </w:rPr>
      </w:pPr>
    </w:p>
    <w:p w14:paraId="1A4F3EA8" w14:textId="77777777" w:rsidR="000D5EC2" w:rsidRDefault="002E7D45">
      <w:pPr>
        <w:pStyle w:val="a0"/>
        <w:jc w:val="left"/>
        <w:rPr>
          <w:sz w:val="20"/>
        </w:rPr>
      </w:pPr>
      <w:r>
        <w:rPr>
          <w:sz w:val="20"/>
        </w:rPr>
        <w:object w:dxaOrig="9068" w:dyaOrig="1789" w14:anchorId="36F9868C">
          <v:shape id="_x0000_i1026" type="#_x0000_t75" style="width:453.95pt;height:89.3pt" o:ole="">
            <v:imagedata r:id="rId11" o:title=""/>
          </v:shape>
          <o:OLEObject Type="Embed" ProgID="Visio.Drawing.15" ShapeID="_x0000_i1026" DrawAspect="Content" ObjectID="_1714219306" r:id="rId12"/>
        </w:object>
      </w:r>
    </w:p>
    <w:p w14:paraId="6D236FB9" w14:textId="77777777" w:rsidR="000D5EC2" w:rsidRDefault="002E7D45">
      <w:pPr>
        <w:pStyle w:val="a0"/>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a0"/>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a0"/>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I</w:t>
            </w:r>
            <w:r>
              <w:rPr>
                <w:rFonts w:eastAsia="等线"/>
                <w:sz w:val="20"/>
                <w:szCs w:val="20"/>
              </w:rPr>
              <w:t xml:space="preserve"> think we are meaning here is:</w:t>
            </w:r>
          </w:p>
          <w:p w14:paraId="0B454992" w14:textId="77777777" w:rsidR="000D5EC2" w:rsidRDefault="002E7D45">
            <w:pPr>
              <w:pStyle w:val="a0"/>
              <w:spacing w:before="120" w:line="252" w:lineRule="auto"/>
              <w:rPr>
                <w:rFonts w:eastAsia="等线"/>
                <w:sz w:val="20"/>
                <w:szCs w:val="20"/>
              </w:rPr>
            </w:pPr>
            <w:r>
              <w:rPr>
                <w:rFonts w:eastAsia="等线"/>
                <w:sz w:val="20"/>
                <w:szCs w:val="20"/>
              </w:rPr>
              <w:t>The TRS/CSI-RS availability is assumed to be ‘unavailable’ for all the TRS resource set group(s) upon getting the TRS/CSI-RS configuration modification.</w:t>
            </w:r>
          </w:p>
          <w:p w14:paraId="7C240B6D" w14:textId="77777777" w:rsidR="000D5EC2" w:rsidRDefault="002E7D45">
            <w:pPr>
              <w:pStyle w:val="a0"/>
              <w:spacing w:before="120" w:line="252" w:lineRule="auto"/>
              <w:rPr>
                <w:rFonts w:eastAsia="等线"/>
                <w:sz w:val="20"/>
                <w:szCs w:val="20"/>
              </w:rPr>
            </w:pPr>
            <w:r>
              <w:rPr>
                <w:rFonts w:eastAsia="等线"/>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等线"/>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宋体"/>
                <w:sz w:val="20"/>
                <w:szCs w:val="20"/>
              </w:rPr>
            </w:pPr>
            <w:r>
              <w:rPr>
                <w:rFonts w:eastAsia="宋体"/>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宋体"/>
                <w:sz w:val="20"/>
                <w:szCs w:val="20"/>
                <w:lang w:val="en-GB" w:eastAsia="en-US"/>
              </w:rPr>
            </w:pPr>
            <w:r w:rsidRPr="00407F88">
              <w:rPr>
                <w:rFonts w:eastAsia="宋体"/>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宋体"/>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0D5EC2" w14:paraId="062625FC" w14:textId="77777777">
        <w:tc>
          <w:tcPr>
            <w:tcW w:w="1423" w:type="dxa"/>
          </w:tcPr>
          <w:p w14:paraId="1C07C4A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711119A1"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8112E33" w14:textId="77777777" w:rsidR="000D5EC2" w:rsidRDefault="000D5EC2">
            <w:pPr>
              <w:overflowPunct w:val="0"/>
              <w:autoSpaceDE w:val="0"/>
              <w:autoSpaceDN w:val="0"/>
              <w:adjustRightInd w:val="0"/>
              <w:textAlignment w:val="baseline"/>
              <w:rPr>
                <w:sz w:val="20"/>
                <w:szCs w:val="20"/>
                <w:lang w:val="en-GB" w:eastAsia="ko-KR"/>
              </w:rPr>
            </w:pPr>
          </w:p>
        </w:tc>
      </w:tr>
      <w:tr w:rsidR="000D5EC2" w14:paraId="16B56619" w14:textId="77777777">
        <w:tc>
          <w:tcPr>
            <w:tcW w:w="1423" w:type="dxa"/>
          </w:tcPr>
          <w:p w14:paraId="008BE4A8"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1CFA5AD"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66138A81" w14:textId="77777777" w:rsidR="000D5EC2" w:rsidRDefault="000D5EC2">
            <w:pPr>
              <w:overflowPunct w:val="0"/>
              <w:autoSpaceDE w:val="0"/>
              <w:autoSpaceDN w:val="0"/>
              <w:adjustRightInd w:val="0"/>
              <w:textAlignment w:val="baseline"/>
              <w:rPr>
                <w:sz w:val="20"/>
                <w:szCs w:val="20"/>
                <w:lang w:val="en-GB" w:eastAsia="ko-KR"/>
              </w:rPr>
            </w:pPr>
          </w:p>
        </w:tc>
      </w:tr>
      <w:tr w:rsidR="000D5EC2" w14:paraId="1459F59B" w14:textId="77777777">
        <w:tc>
          <w:tcPr>
            <w:tcW w:w="1423" w:type="dxa"/>
          </w:tcPr>
          <w:p w14:paraId="481A862D"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3C9A55EC"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7DF15F4" w14:textId="77777777" w:rsidR="000D5EC2" w:rsidRDefault="000D5EC2">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a0"/>
      </w:pPr>
    </w:p>
    <w:p w14:paraId="0C3D11CC" w14:textId="77777777" w:rsidR="000D5EC2" w:rsidRDefault="000D5EC2">
      <w:pPr>
        <w:pStyle w:val="a0"/>
      </w:pPr>
    </w:p>
    <w:p w14:paraId="1DE0835F" w14:textId="77777777" w:rsidR="000D5EC2" w:rsidRDefault="002E7D45">
      <w:pPr>
        <w:pStyle w:val="20"/>
        <w:ind w:left="562" w:hanging="562"/>
        <w:rPr>
          <w:sz w:val="22"/>
        </w:rPr>
      </w:pPr>
      <w:r>
        <w:rPr>
          <w:sz w:val="22"/>
        </w:rPr>
        <w:t>TRS resource configuration conflict between Idle/Inactive and Connected</w:t>
      </w:r>
    </w:p>
    <w:p w14:paraId="491C9932" w14:textId="77777777" w:rsidR="000D5EC2" w:rsidRDefault="002E7D45">
      <w:pPr>
        <w:pStyle w:val="a0"/>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a0"/>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a0"/>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a0"/>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af3"/>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等线"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等线"/>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a0"/>
              <w:rPr>
                <w:sz w:val="20"/>
              </w:rPr>
            </w:pPr>
          </w:p>
          <w:p w14:paraId="1613025D" w14:textId="77777777" w:rsidR="000D5EC2" w:rsidRDefault="000D5EC2">
            <w:pPr>
              <w:pStyle w:val="a0"/>
              <w:rPr>
                <w:sz w:val="20"/>
              </w:rPr>
            </w:pPr>
          </w:p>
        </w:tc>
      </w:tr>
    </w:tbl>
    <w:p w14:paraId="47AF5339" w14:textId="77777777" w:rsidR="000D5EC2" w:rsidRDefault="000D5EC2">
      <w:pPr>
        <w:pStyle w:val="a0"/>
        <w:rPr>
          <w:sz w:val="20"/>
        </w:rPr>
      </w:pPr>
    </w:p>
    <w:p w14:paraId="2C187D76" w14:textId="77777777" w:rsidR="000D5EC2" w:rsidRDefault="002E7D45">
      <w:pPr>
        <w:pStyle w:val="a0"/>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T</w:t>
            </w:r>
            <w:r>
              <w:rPr>
                <w:rFonts w:eastAsia="等线"/>
                <w:sz w:val="20"/>
                <w:szCs w:val="20"/>
              </w:rPr>
              <w:t>he spec has put it clear that SIB-</w:t>
            </w:r>
            <w:r>
              <w:rPr>
                <w:rFonts w:eastAsia="等线" w:hint="eastAsia"/>
                <w:sz w:val="20"/>
                <w:szCs w:val="20"/>
              </w:rPr>
              <w:t>17</w:t>
            </w:r>
            <w:r>
              <w:rPr>
                <w:rFonts w:eastAsia="等线"/>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宋体"/>
                <w:sz w:val="20"/>
                <w:szCs w:val="20"/>
              </w:rPr>
            </w:pPr>
            <w:r>
              <w:rPr>
                <w:rFonts w:eastAsia="宋体"/>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宋体"/>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0C24CA" w14:paraId="096FC8DA" w14:textId="77777777">
        <w:tc>
          <w:tcPr>
            <w:tcW w:w="1423" w:type="dxa"/>
          </w:tcPr>
          <w:p w14:paraId="414452DD"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752BC9C4"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2BE84A1B" w14:textId="77777777" w:rsidR="000C24CA" w:rsidRDefault="000C24CA" w:rsidP="000C24CA">
            <w:pPr>
              <w:overflowPunct w:val="0"/>
              <w:autoSpaceDE w:val="0"/>
              <w:autoSpaceDN w:val="0"/>
              <w:adjustRightInd w:val="0"/>
              <w:textAlignment w:val="baseline"/>
              <w:rPr>
                <w:sz w:val="20"/>
                <w:szCs w:val="20"/>
                <w:lang w:val="en-GB" w:eastAsia="ko-KR"/>
              </w:rPr>
            </w:pPr>
          </w:p>
        </w:tc>
      </w:tr>
      <w:tr w:rsidR="000C24CA" w14:paraId="0FB78D21" w14:textId="77777777">
        <w:tc>
          <w:tcPr>
            <w:tcW w:w="1423" w:type="dxa"/>
          </w:tcPr>
          <w:p w14:paraId="2078FAE9"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5C3E7A75"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63ECD516" w14:textId="77777777" w:rsidR="000C24CA" w:rsidRDefault="000C24CA" w:rsidP="000C24CA">
            <w:pPr>
              <w:overflowPunct w:val="0"/>
              <w:autoSpaceDE w:val="0"/>
              <w:autoSpaceDN w:val="0"/>
              <w:adjustRightInd w:val="0"/>
              <w:textAlignment w:val="baseline"/>
              <w:rPr>
                <w:sz w:val="20"/>
                <w:szCs w:val="20"/>
                <w:lang w:val="en-GB" w:eastAsia="ko-KR"/>
              </w:rPr>
            </w:pPr>
          </w:p>
        </w:tc>
      </w:tr>
      <w:tr w:rsidR="000C24CA" w14:paraId="364FC097" w14:textId="77777777">
        <w:tc>
          <w:tcPr>
            <w:tcW w:w="1423" w:type="dxa"/>
          </w:tcPr>
          <w:p w14:paraId="0FADE031"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1C7E69EE"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38B296CB" w14:textId="77777777" w:rsidR="000C24CA" w:rsidRDefault="000C24CA" w:rsidP="000C24CA">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20"/>
        <w:ind w:left="562" w:hanging="562"/>
        <w:rPr>
          <w:sz w:val="22"/>
        </w:rPr>
      </w:pPr>
      <w:r>
        <w:rPr>
          <w:sz w:val="22"/>
        </w:rPr>
        <w:lastRenderedPageBreak/>
        <w:t xml:space="preserve">Adding an “infinite” value to the field </w:t>
      </w:r>
      <w:r>
        <w:rPr>
          <w:i/>
          <w:sz w:val="22"/>
        </w:rPr>
        <w:t>validityDuration</w:t>
      </w:r>
    </w:p>
    <w:p w14:paraId="6F3EB56B" w14:textId="77777777" w:rsidR="000D5EC2" w:rsidRDefault="002E7D45">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H</w:t>
            </w:r>
            <w:r>
              <w:rPr>
                <w:rFonts w:eastAsia="等线"/>
                <w:sz w:val="20"/>
                <w:szCs w:val="20"/>
              </w:rPr>
              <w:t>ave sympathy on this.</w:t>
            </w:r>
          </w:p>
          <w:p w14:paraId="3F1CD35E" w14:textId="77777777" w:rsidR="000D5EC2" w:rsidRDefault="002E7D45">
            <w:pPr>
              <w:overflowPunct w:val="0"/>
              <w:autoSpaceDE w:val="0"/>
              <w:autoSpaceDN w:val="0"/>
              <w:adjustRightInd w:val="0"/>
              <w:textAlignment w:val="baseline"/>
              <w:rPr>
                <w:rFonts w:eastAsia="等线"/>
                <w:sz w:val="20"/>
                <w:szCs w:val="20"/>
              </w:rPr>
            </w:pPr>
            <w:r>
              <w:rPr>
                <w:rFonts w:eastAsia="等线"/>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Qualcomm</w:t>
            </w:r>
            <w:r>
              <w:rPr>
                <w:rFonts w:eastAsia="宋体"/>
                <w:sz w:val="20"/>
                <w:szCs w:val="20"/>
              </w:rPr>
              <w:t>’</w:t>
            </w:r>
            <w:r>
              <w:rPr>
                <w:rFonts w:eastAsia="宋体"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宋体"/>
                <w:sz w:val="20"/>
                <w:szCs w:val="20"/>
              </w:rPr>
            </w:pPr>
            <w:r>
              <w:rPr>
                <w:rFonts w:eastAsia="宋体"/>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宋体"/>
                <w:sz w:val="20"/>
                <w:szCs w:val="20"/>
              </w:rPr>
            </w:pPr>
            <w:r>
              <w:rPr>
                <w:rFonts w:eastAsia="宋体"/>
                <w:sz w:val="20"/>
                <w:szCs w:val="20"/>
              </w:rPr>
              <w:t xml:space="preserve">It seems like a good solution to minimize needless signalling. </w:t>
            </w:r>
            <w:r>
              <w:rPr>
                <w:rFonts w:eastAsia="宋体"/>
                <w:sz w:val="20"/>
                <w:szCs w:val="20"/>
              </w:rPr>
              <w:br/>
              <w:t xml:space="preserve">SIB validity time can be used instead of infinity, but that is semantics which can be solved in the field description. </w:t>
            </w:r>
            <w:r w:rsidR="00016424">
              <w:rPr>
                <w:rFonts w:eastAsia="宋体"/>
                <w:sz w:val="20"/>
                <w:szCs w:val="20"/>
              </w:rPr>
              <w:t>Anyway some additional description will be needed, e.g., not mandating any L1 indication.</w:t>
            </w:r>
            <w:r>
              <w:rPr>
                <w:rFonts w:eastAsia="宋体"/>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宋体"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w:t>
            </w:r>
            <w:bookmarkStart w:id="10" w:name="_GoBack"/>
            <w:bookmarkEnd w:id="10"/>
            <w:r>
              <w:rPr>
                <w:rFonts w:eastAsiaTheme="minorEastAsia"/>
                <w:sz w:val="20"/>
                <w:szCs w:val="20"/>
                <w:lang w:val="en-GB"/>
              </w:rPr>
              <w:t xml:space="preserve"> to discuss it in RAN1.</w:t>
            </w:r>
          </w:p>
        </w:tc>
      </w:tr>
      <w:tr w:rsidR="000C24CA" w14:paraId="6443DA22" w14:textId="77777777">
        <w:tc>
          <w:tcPr>
            <w:tcW w:w="1423" w:type="dxa"/>
          </w:tcPr>
          <w:p w14:paraId="3B347E9F"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67EA5CBF"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24F4F410" w14:textId="77777777" w:rsidR="000C24CA" w:rsidRDefault="000C24CA" w:rsidP="000C24CA">
            <w:pPr>
              <w:overflowPunct w:val="0"/>
              <w:autoSpaceDE w:val="0"/>
              <w:autoSpaceDN w:val="0"/>
              <w:adjustRightInd w:val="0"/>
              <w:textAlignment w:val="baseline"/>
              <w:rPr>
                <w:sz w:val="20"/>
                <w:szCs w:val="20"/>
                <w:lang w:val="en-GB" w:eastAsia="ko-KR"/>
              </w:rPr>
            </w:pPr>
          </w:p>
        </w:tc>
      </w:tr>
      <w:tr w:rsidR="000C24CA" w14:paraId="72EE832C" w14:textId="77777777">
        <w:tc>
          <w:tcPr>
            <w:tcW w:w="1423" w:type="dxa"/>
          </w:tcPr>
          <w:p w14:paraId="1A143FC4"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15DF0DE2"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29245C1D" w14:textId="77777777" w:rsidR="000C24CA" w:rsidRDefault="000C24CA" w:rsidP="000C24CA">
            <w:pPr>
              <w:overflowPunct w:val="0"/>
              <w:autoSpaceDE w:val="0"/>
              <w:autoSpaceDN w:val="0"/>
              <w:adjustRightInd w:val="0"/>
              <w:textAlignment w:val="baseline"/>
              <w:rPr>
                <w:sz w:val="20"/>
                <w:szCs w:val="20"/>
                <w:lang w:val="en-GB" w:eastAsia="ko-KR"/>
              </w:rPr>
            </w:pPr>
          </w:p>
        </w:tc>
      </w:tr>
      <w:tr w:rsidR="000C24CA" w14:paraId="7B114204" w14:textId="77777777">
        <w:tc>
          <w:tcPr>
            <w:tcW w:w="1423" w:type="dxa"/>
          </w:tcPr>
          <w:p w14:paraId="432B297E" w14:textId="77777777" w:rsidR="000C24CA" w:rsidRDefault="000C24CA" w:rsidP="000C24CA">
            <w:pPr>
              <w:overflowPunct w:val="0"/>
              <w:autoSpaceDE w:val="0"/>
              <w:autoSpaceDN w:val="0"/>
              <w:adjustRightInd w:val="0"/>
              <w:textAlignment w:val="baseline"/>
              <w:rPr>
                <w:sz w:val="20"/>
                <w:szCs w:val="20"/>
                <w:lang w:val="en-GB" w:eastAsia="ko-KR"/>
              </w:rPr>
            </w:pPr>
          </w:p>
        </w:tc>
        <w:tc>
          <w:tcPr>
            <w:tcW w:w="1232" w:type="dxa"/>
          </w:tcPr>
          <w:p w14:paraId="69E3A003" w14:textId="77777777" w:rsidR="000C24CA" w:rsidRDefault="000C24CA" w:rsidP="000C24CA">
            <w:pPr>
              <w:overflowPunct w:val="0"/>
              <w:autoSpaceDE w:val="0"/>
              <w:autoSpaceDN w:val="0"/>
              <w:adjustRightInd w:val="0"/>
              <w:textAlignment w:val="baseline"/>
              <w:rPr>
                <w:sz w:val="20"/>
                <w:szCs w:val="20"/>
                <w:lang w:val="en-GB" w:eastAsia="ko-KR"/>
              </w:rPr>
            </w:pPr>
          </w:p>
        </w:tc>
        <w:tc>
          <w:tcPr>
            <w:tcW w:w="6361" w:type="dxa"/>
          </w:tcPr>
          <w:p w14:paraId="5C7E79BD" w14:textId="77777777" w:rsidR="000C24CA" w:rsidRDefault="000C24CA" w:rsidP="000C24CA">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a0"/>
        <w:rPr>
          <w:sz w:val="20"/>
        </w:rPr>
      </w:pPr>
    </w:p>
    <w:p w14:paraId="538EDB1A" w14:textId="77777777" w:rsidR="000D5EC2" w:rsidRDefault="000D5EC2">
      <w:pPr>
        <w:pStyle w:val="a0"/>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a0"/>
        <w:spacing w:beforeLines="50" w:before="120"/>
        <w:rPr>
          <w:rFonts w:eastAsia="Arial Unicode MS"/>
          <w:sz w:val="20"/>
          <w:lang w:val="en-GB"/>
        </w:rPr>
      </w:pPr>
      <w:bookmarkStart w:id="11" w:name="OLE_LINK60"/>
      <w:bookmarkStart w:id="12" w:name="OLE_LINK59"/>
      <w:bookmarkStart w:id="13" w:name="OLE_LINK58"/>
      <w:bookmarkEnd w:id="5"/>
      <w:bookmarkEnd w:id="6"/>
      <w:bookmarkEnd w:id="7"/>
      <w:bookmarkEnd w:id="8"/>
      <w:r>
        <w:rPr>
          <w:rFonts w:eastAsia="Arial Unicode MS"/>
          <w:sz w:val="20"/>
          <w:lang w:val="en-GB"/>
        </w:rPr>
        <w:t>TBD</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lastRenderedPageBreak/>
        <w:t>Reference</w:t>
      </w:r>
    </w:p>
    <w:p w14:paraId="3C419589" w14:textId="77777777" w:rsidR="000D5EC2" w:rsidRDefault="002E7D45">
      <w:pPr>
        <w:pStyle w:val="a0"/>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1"/>
      <w:bookmarkEnd w:id="12"/>
      <w:bookmarkEnd w:id="13"/>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a0"/>
        <w:numPr>
          <w:ilvl w:val="0"/>
          <w:numId w:val="12"/>
        </w:numPr>
        <w:spacing w:beforeLines="50" w:before="120"/>
        <w:rPr>
          <w:rFonts w:eastAsia="Arial Unicode MS"/>
          <w:iCs/>
          <w:sz w:val="20"/>
        </w:rPr>
      </w:pPr>
      <w:bookmarkStart w:id="23" w:name="_Ref101967833"/>
      <w:r>
        <w:rPr>
          <w:rFonts w:eastAsia="Arial Unicode MS"/>
          <w:iCs/>
          <w:sz w:val="20"/>
        </w:rPr>
        <w:t>R2-2204908 TRS/CSI-RS configuration in RRC_CONNECTED, DENSO</w:t>
      </w:r>
      <w:bookmarkEnd w:id="23"/>
    </w:p>
    <w:p w14:paraId="4C805681" w14:textId="77777777" w:rsidR="000D5EC2" w:rsidRDefault="002E7D45">
      <w:pPr>
        <w:pStyle w:val="a0"/>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8D83B" w14:textId="77777777" w:rsidR="00EE5271" w:rsidRDefault="00EE5271">
      <w:pPr>
        <w:spacing w:after="0" w:line="240" w:lineRule="auto"/>
      </w:pPr>
      <w:r>
        <w:separator/>
      </w:r>
    </w:p>
  </w:endnote>
  <w:endnote w:type="continuationSeparator" w:id="0">
    <w:p w14:paraId="53EF47F2" w14:textId="77777777" w:rsidR="00EE5271" w:rsidRDefault="00EE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C24CA">
      <w:rPr>
        <w:rStyle w:val="af5"/>
        <w:noProof/>
      </w:rPr>
      <w:t>6</w:t>
    </w:r>
    <w:r>
      <w:rPr>
        <w:rStyle w:val="af5"/>
      </w:rPr>
      <w:fldChar w:fldCharType="end"/>
    </w:r>
  </w:p>
  <w:p w14:paraId="2AB53CA4" w14:textId="77777777" w:rsidR="000D5EC2" w:rsidRDefault="002E7D45">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451B" w14:textId="77777777" w:rsidR="00EE5271" w:rsidRDefault="00EE5271">
      <w:pPr>
        <w:spacing w:after="0" w:line="240" w:lineRule="auto"/>
      </w:pPr>
      <w:r>
        <w:separator/>
      </w:r>
    </w:p>
  </w:footnote>
  <w:footnote w:type="continuationSeparator" w:id="0">
    <w:p w14:paraId="2A23248F" w14:textId="77777777" w:rsidR="00EE5271" w:rsidRDefault="00EE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8"/>
  </w:num>
  <w:num w:numId="4">
    <w:abstractNumId w:val="4"/>
  </w:num>
  <w:num w:numId="5">
    <w:abstractNumId w:val="5"/>
  </w:num>
  <w:num w:numId="6">
    <w:abstractNumId w:val="11"/>
  </w:num>
  <w:num w:numId="7">
    <w:abstractNumId w:val="2"/>
  </w:num>
  <w:num w:numId="8">
    <w:abstractNumId w:val="3"/>
  </w:num>
  <w:num w:numId="9">
    <w:abstractNumId w:val="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C0750-0E58-47FA-B872-11036148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Sharp (LIU Lei)</cp:lastModifiedBy>
  <cp:revision>2</cp:revision>
  <cp:lastPrinted>2007-08-29T03:45:00Z</cp:lastPrinted>
  <dcterms:created xsi:type="dcterms:W3CDTF">2022-05-16T07:14:00Z</dcterms:created>
  <dcterms:modified xsi:type="dcterms:W3CDTF">2022-05-16T07:14:00Z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