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gramEnd"/>
      <w:r>
        <w:rPr>
          <w:rFonts w:ascii="Times New Roman" w:eastAsia="Arial Unicode MS" w:hAnsi="Times New Roman"/>
          <w:sz w:val="22"/>
          <w:szCs w:val="22"/>
        </w:rPr>
        <w:t>ePowSav]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w:t>
      </w:r>
      <w:proofErr w:type="gramStart"/>
      <w:r>
        <w:rPr>
          <w:sz w:val="22"/>
        </w:rPr>
        <w:t>071][</w:t>
      </w:r>
      <w:proofErr w:type="gramEnd"/>
      <w:r>
        <w:rPr>
          <w:sz w:val="22"/>
        </w:rPr>
        <w:t>ePowSav] RRC (CATT)</w:t>
      </w:r>
    </w:p>
    <w:p w14:paraId="614D15B1" w14:textId="77777777" w:rsidR="000D5EC2" w:rsidRDefault="002E7D45">
      <w:pPr>
        <w:pStyle w:val="EmailDiscussion2"/>
      </w:pPr>
      <w:r>
        <w:tab/>
        <w:t xml:space="preserve">Scope: 1. For TRS/CSI-RS Address remaining issues, from tdocs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맑은 고딕" w:hint="eastAsia"/>
                <w:sz w:val="20"/>
                <w:lang w:eastAsia="ko-KR"/>
              </w:rPr>
            </w:pPr>
            <w:r>
              <w:rPr>
                <w:rFonts w:eastAsia="맑은 고딕" w:hint="eastAsia"/>
                <w:sz w:val="20"/>
                <w:lang w:eastAsia="ko-KR"/>
              </w:rPr>
              <w:t>L</w:t>
            </w:r>
            <w:r>
              <w:rPr>
                <w:rFonts w:eastAsia="맑은 고딕"/>
                <w:sz w:val="20"/>
                <w:lang w:eastAsia="ko-KR"/>
              </w:rPr>
              <w:t>GE</w:t>
            </w:r>
          </w:p>
        </w:tc>
        <w:tc>
          <w:tcPr>
            <w:tcW w:w="2790" w:type="dxa"/>
          </w:tcPr>
          <w:p w14:paraId="5B1A641C" w14:textId="7846791B" w:rsidR="000D5EC2" w:rsidRPr="00777D6A" w:rsidRDefault="00777D6A">
            <w:pPr>
              <w:rPr>
                <w:rFonts w:eastAsia="맑은 고딕" w:hint="eastAsia"/>
                <w:sz w:val="20"/>
                <w:lang w:eastAsia="ko-KR"/>
              </w:rPr>
            </w:pPr>
            <w:r>
              <w:rPr>
                <w:rFonts w:eastAsia="맑은 고딕" w:hint="eastAsia"/>
                <w:sz w:val="20"/>
                <w:lang w:eastAsia="ko-KR"/>
              </w:rPr>
              <w:t>S</w:t>
            </w:r>
            <w:r>
              <w:rPr>
                <w:rFonts w:eastAsia="맑은 고딕"/>
                <w:sz w:val="20"/>
                <w:lang w:eastAsia="ko-KR"/>
              </w:rPr>
              <w:t>oo Kim</w:t>
            </w:r>
          </w:p>
        </w:tc>
        <w:tc>
          <w:tcPr>
            <w:tcW w:w="4431" w:type="dxa"/>
          </w:tcPr>
          <w:p w14:paraId="1E7F6868" w14:textId="402F9352" w:rsidR="000D5EC2" w:rsidRPr="00777D6A" w:rsidRDefault="00777D6A">
            <w:pPr>
              <w:rPr>
                <w:rFonts w:eastAsia="맑은 고딕" w:hint="eastAsia"/>
                <w:sz w:val="20"/>
                <w:lang w:eastAsia="ko-KR"/>
              </w:rPr>
            </w:pPr>
            <w:r>
              <w:rPr>
                <w:rFonts w:eastAsia="맑은 고딕"/>
                <w:sz w:val="20"/>
                <w:lang w:eastAsia="ko-KR"/>
              </w:rPr>
              <w:t>soo.kim@lge.com</w:t>
            </w:r>
          </w:p>
        </w:tc>
      </w:tr>
      <w:tr w:rsidR="000D5EC2" w14:paraId="5591514D" w14:textId="77777777">
        <w:tc>
          <w:tcPr>
            <w:tcW w:w="1795" w:type="dxa"/>
          </w:tcPr>
          <w:p w14:paraId="41C479FC" w14:textId="77777777" w:rsidR="000D5EC2" w:rsidRDefault="000D5EC2">
            <w:pPr>
              <w:rPr>
                <w:sz w:val="20"/>
                <w:lang w:eastAsia="ko-KR"/>
              </w:rPr>
            </w:pPr>
          </w:p>
        </w:tc>
        <w:tc>
          <w:tcPr>
            <w:tcW w:w="2790" w:type="dxa"/>
          </w:tcPr>
          <w:p w14:paraId="29888A5F" w14:textId="77777777" w:rsidR="000D5EC2" w:rsidRDefault="000D5EC2">
            <w:pPr>
              <w:rPr>
                <w:sz w:val="20"/>
                <w:lang w:eastAsia="ko-KR"/>
              </w:rPr>
            </w:pPr>
          </w:p>
        </w:tc>
        <w:tc>
          <w:tcPr>
            <w:tcW w:w="4431" w:type="dxa"/>
          </w:tcPr>
          <w:p w14:paraId="76311F79" w14:textId="77777777" w:rsidR="000D5EC2" w:rsidRDefault="000D5EC2">
            <w:pPr>
              <w:rPr>
                <w:sz w:val="20"/>
                <w:lang w:eastAsia="ko-KR"/>
              </w:rPr>
            </w:pPr>
          </w:p>
        </w:tc>
      </w:tr>
      <w:tr w:rsidR="000D5EC2" w14:paraId="377513DE" w14:textId="77777777">
        <w:tc>
          <w:tcPr>
            <w:tcW w:w="1795" w:type="dxa"/>
          </w:tcPr>
          <w:p w14:paraId="42E8E9FD" w14:textId="77777777" w:rsidR="000D5EC2" w:rsidRDefault="000D5EC2">
            <w:pPr>
              <w:rPr>
                <w:sz w:val="20"/>
                <w:lang w:eastAsia="ko-KR"/>
              </w:rPr>
            </w:pPr>
          </w:p>
        </w:tc>
        <w:tc>
          <w:tcPr>
            <w:tcW w:w="2790" w:type="dxa"/>
          </w:tcPr>
          <w:p w14:paraId="7C6561C7" w14:textId="77777777" w:rsidR="000D5EC2" w:rsidRDefault="000D5EC2">
            <w:pPr>
              <w:rPr>
                <w:sz w:val="20"/>
                <w:lang w:eastAsia="ko-KR"/>
              </w:rPr>
            </w:pPr>
          </w:p>
        </w:tc>
        <w:tc>
          <w:tcPr>
            <w:tcW w:w="4431" w:type="dxa"/>
          </w:tcPr>
          <w:p w14:paraId="58650B73" w14:textId="77777777" w:rsidR="000D5EC2" w:rsidRDefault="000D5EC2">
            <w:pPr>
              <w:rPr>
                <w:sz w:val="20"/>
                <w:lang w:eastAsia="ko-KR"/>
              </w:rPr>
            </w:pPr>
          </w:p>
        </w:tc>
      </w:tr>
      <w:tr w:rsidR="000D5EC2" w14:paraId="72AD4C26" w14:textId="77777777">
        <w:tc>
          <w:tcPr>
            <w:tcW w:w="1795" w:type="dxa"/>
          </w:tcPr>
          <w:p w14:paraId="2188045E" w14:textId="77777777" w:rsidR="000D5EC2" w:rsidRDefault="000D5EC2">
            <w:pPr>
              <w:rPr>
                <w:sz w:val="20"/>
                <w:lang w:eastAsia="ko-KR"/>
              </w:rPr>
            </w:pPr>
          </w:p>
        </w:tc>
        <w:tc>
          <w:tcPr>
            <w:tcW w:w="2790" w:type="dxa"/>
          </w:tcPr>
          <w:p w14:paraId="7A1C4005" w14:textId="77777777" w:rsidR="000D5EC2" w:rsidRDefault="000D5EC2">
            <w:pPr>
              <w:rPr>
                <w:sz w:val="20"/>
                <w:lang w:eastAsia="ko-KR"/>
              </w:rPr>
            </w:pPr>
          </w:p>
        </w:tc>
        <w:tc>
          <w:tcPr>
            <w:tcW w:w="4431" w:type="dxa"/>
          </w:tcPr>
          <w:p w14:paraId="28D0F0A9" w14:textId="77777777" w:rsidR="000D5EC2" w:rsidRDefault="000D5EC2">
            <w:pPr>
              <w:rPr>
                <w:sz w:val="20"/>
                <w:lang w:eastAsia="ko-KR"/>
              </w:rPr>
            </w:pPr>
          </w:p>
        </w:tc>
      </w:tr>
      <w:tr w:rsidR="000D5EC2" w14:paraId="5B307434" w14:textId="77777777">
        <w:tc>
          <w:tcPr>
            <w:tcW w:w="1795" w:type="dxa"/>
          </w:tcPr>
          <w:p w14:paraId="7D4F35F4" w14:textId="77777777" w:rsidR="000D5EC2" w:rsidRDefault="000D5EC2">
            <w:pPr>
              <w:rPr>
                <w:sz w:val="20"/>
                <w:lang w:eastAsia="ko-KR"/>
              </w:rPr>
            </w:pPr>
          </w:p>
        </w:tc>
        <w:tc>
          <w:tcPr>
            <w:tcW w:w="2790" w:type="dxa"/>
          </w:tcPr>
          <w:p w14:paraId="62D5BE0F" w14:textId="77777777" w:rsidR="000D5EC2" w:rsidRDefault="000D5EC2">
            <w:pPr>
              <w:rPr>
                <w:sz w:val="20"/>
                <w:lang w:eastAsia="ko-KR"/>
              </w:rPr>
            </w:pPr>
          </w:p>
        </w:tc>
        <w:tc>
          <w:tcPr>
            <w:tcW w:w="4431" w:type="dxa"/>
          </w:tcPr>
          <w:p w14:paraId="3CE93F5C" w14:textId="77777777" w:rsidR="000D5EC2" w:rsidRDefault="000D5EC2">
            <w:pPr>
              <w:rPr>
                <w:sz w:val="20"/>
                <w:lang w:eastAsia="ko-KR"/>
              </w:rPr>
            </w:pP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2E7D45">
      <w:pPr>
        <w:pStyle w:val="BodyText"/>
        <w:jc w:val="left"/>
        <w:rPr>
          <w:sz w:val="20"/>
        </w:rPr>
      </w:pPr>
      <w:r>
        <w:rPr>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85.5pt" o:ole="">
            <v:imagedata r:id="rId9" o:title=""/>
          </v:shape>
          <o:OLEObject Type="Embed" ProgID="Visio.Drawing.15" ShapeID="_x0000_i1025" DrawAspect="Content" ObjectID="_1714203915" r:id="rId10"/>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2E7D45">
      <w:pPr>
        <w:pStyle w:val="BodyText"/>
        <w:jc w:val="left"/>
        <w:rPr>
          <w:sz w:val="20"/>
        </w:rPr>
      </w:pPr>
      <w:r>
        <w:rPr>
          <w:sz w:val="20"/>
        </w:rPr>
        <w:object w:dxaOrig="9068" w:dyaOrig="1789" w14:anchorId="36F9868C">
          <v:shape id="_x0000_i1026" type="#_x0000_t75" style="width:453.75pt;height:89.25pt" o:ole="">
            <v:imagedata r:id="rId11" o:title=""/>
          </v:shape>
          <o:OLEObject Type="Embed" ProgID="Visio.Drawing.15" ShapeID="_x0000_i1026" DrawAspect="Content" ObjectID="_1714203916" r:id="rId12"/>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맑은 고딕"/>
          <w:b/>
          <w:sz w:val="20"/>
          <w:szCs w:val="20"/>
          <w:lang w:eastAsia="ko-KR"/>
        </w:rPr>
      </w:pPr>
      <w:r>
        <w:rPr>
          <w:rFonts w:eastAsia="맑은 고딕"/>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Pr>
                <w:rFonts w:eastAsia="DengXian"/>
                <w:sz w:val="20"/>
                <w:szCs w:val="20"/>
                <w:lang w:val="en-GB"/>
              </w:rPr>
              <w:t>anylonger</w:t>
            </w:r>
            <w:proofErr w:type="spellEnd"/>
            <w:r>
              <w:rPr>
                <w:rFonts w:eastAsia="DengXian"/>
                <w:sz w:val="20"/>
                <w:szCs w:val="20"/>
                <w:lang w:val="en-GB"/>
              </w:rPr>
              <w:t>.</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맑은 고딕"/>
                <w:sz w:val="20"/>
                <w:szCs w:val="20"/>
                <w:lang w:val="en-GB" w:eastAsia="ko-KR"/>
              </w:rPr>
            </w:pPr>
            <w:r>
              <w:rPr>
                <w:rFonts w:eastAsia="맑은 고딕"/>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맑은 고딕"/>
                <w:sz w:val="20"/>
                <w:szCs w:val="20"/>
                <w:lang w:val="en-GB" w:eastAsia="ko-KR"/>
              </w:rPr>
            </w:pPr>
            <w:r>
              <w:rPr>
                <w:rFonts w:eastAsia="맑은 고딕"/>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맑은 고딕"/>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맑은 고딕" w:hint="eastAsia"/>
                <w:sz w:val="20"/>
                <w:szCs w:val="20"/>
                <w:lang w:val="en-GB" w:eastAsia="ko-KR"/>
              </w:rPr>
              <w:t>L</w:t>
            </w:r>
            <w:r>
              <w:rPr>
                <w:rFonts w:eastAsia="맑은 고딕"/>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맑은 고딕" w:hint="eastAsia"/>
                <w:sz w:val="20"/>
                <w:szCs w:val="20"/>
                <w:lang w:val="en-GB" w:eastAsia="ko-KR"/>
              </w:rPr>
              <w:t>O</w:t>
            </w:r>
            <w:r>
              <w:rPr>
                <w:rFonts w:eastAsia="맑은 고딕"/>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맑은 고딕"/>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 xml:space="preserve">Therefore, if an SI update procedure is </w:t>
            </w:r>
            <w:proofErr w:type="gramStart"/>
            <w:r w:rsidRPr="000435E0">
              <w:rPr>
                <w:sz w:val="20"/>
                <w:szCs w:val="20"/>
                <w:lang w:eastAsia="ko-KR"/>
              </w:rPr>
              <w:t>performed</w:t>
            </w:r>
            <w:r>
              <w:rPr>
                <w:sz w:val="20"/>
                <w:szCs w:val="20"/>
                <w:lang w:eastAsia="ko-KR"/>
              </w:rPr>
              <w:t>(</w:t>
            </w:r>
            <w:proofErr w:type="gramEnd"/>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06D083BA"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0D5EC2" w14:paraId="062625FC" w14:textId="77777777">
        <w:tc>
          <w:tcPr>
            <w:tcW w:w="1423" w:type="dxa"/>
          </w:tcPr>
          <w:p w14:paraId="1C07C4A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711119A1"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38112E33" w14:textId="77777777" w:rsidR="000D5EC2" w:rsidRDefault="000D5EC2">
            <w:pPr>
              <w:overflowPunct w:val="0"/>
              <w:autoSpaceDE w:val="0"/>
              <w:autoSpaceDN w:val="0"/>
              <w:adjustRightInd w:val="0"/>
              <w:textAlignment w:val="baseline"/>
              <w:rPr>
                <w:sz w:val="20"/>
                <w:szCs w:val="20"/>
                <w:lang w:val="en-GB" w:eastAsia="ko-KR"/>
              </w:rPr>
            </w:pPr>
          </w:p>
        </w:tc>
      </w:tr>
      <w:tr w:rsidR="000D5EC2" w14:paraId="16B56619" w14:textId="77777777">
        <w:tc>
          <w:tcPr>
            <w:tcW w:w="1423" w:type="dxa"/>
          </w:tcPr>
          <w:p w14:paraId="008BE4A8"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1CFA5AD"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66138A81" w14:textId="77777777" w:rsidR="000D5EC2" w:rsidRDefault="000D5EC2">
            <w:pPr>
              <w:overflowPunct w:val="0"/>
              <w:autoSpaceDE w:val="0"/>
              <w:autoSpaceDN w:val="0"/>
              <w:adjustRightInd w:val="0"/>
              <w:textAlignment w:val="baseline"/>
              <w:rPr>
                <w:sz w:val="20"/>
                <w:szCs w:val="20"/>
                <w:lang w:val="en-GB" w:eastAsia="ko-KR"/>
              </w:rPr>
            </w:pPr>
          </w:p>
        </w:tc>
      </w:tr>
      <w:tr w:rsidR="000D5EC2" w14:paraId="1459F59B" w14:textId="77777777">
        <w:tc>
          <w:tcPr>
            <w:tcW w:w="1423" w:type="dxa"/>
          </w:tcPr>
          <w:p w14:paraId="481A862D"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3C9A55EC"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7DF15F4" w14:textId="77777777" w:rsidR="000D5EC2" w:rsidRDefault="000D5EC2">
            <w:pPr>
              <w:overflowPunct w:val="0"/>
              <w:autoSpaceDE w:val="0"/>
              <w:autoSpaceDN w:val="0"/>
              <w:adjustRightInd w:val="0"/>
              <w:textAlignment w:val="baseline"/>
              <w:rPr>
                <w:sz w:val="20"/>
                <w:szCs w:val="20"/>
                <w:lang w:val="en-GB" w:eastAsia="ko-KR"/>
              </w:rPr>
            </w:pPr>
          </w:p>
        </w:tc>
      </w:tr>
    </w:tbl>
    <w:p w14:paraId="5A2FE51E" w14:textId="77777777" w:rsidR="000D5EC2" w:rsidRDefault="000D5EC2">
      <w:pPr>
        <w:overflowPunct w:val="0"/>
        <w:autoSpaceDE w:val="0"/>
        <w:autoSpaceDN w:val="0"/>
        <w:adjustRightInd w:val="0"/>
        <w:spacing w:after="180"/>
        <w:textAlignment w:val="baseline"/>
        <w:rPr>
          <w:rFonts w:eastAsia="맑은 고딕"/>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060"/>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34"/>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맑은 고딕"/>
          <w:b/>
          <w:sz w:val="20"/>
          <w:szCs w:val="20"/>
          <w:lang w:eastAsia="ko-KR"/>
        </w:rPr>
      </w:pPr>
      <w:r>
        <w:rPr>
          <w:rFonts w:eastAsia="맑은 고딕"/>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w:t>
            </w:r>
            <w:proofErr w:type="gramStart"/>
            <w:r>
              <w:rPr>
                <w:rFonts w:eastAsia="DengXian"/>
                <w:sz w:val="20"/>
                <w:szCs w:val="20"/>
                <w:lang w:val="en-GB"/>
              </w:rPr>
              <w:t>in  connected</w:t>
            </w:r>
            <w:proofErr w:type="gramEnd"/>
            <w:r>
              <w:rPr>
                <w:rFonts w:eastAsia="DengXian"/>
                <w:sz w:val="20"/>
                <w:szCs w:val="20"/>
                <w:lang w:val="en-GB"/>
              </w:rPr>
              <w:t xml:space="preserve">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맑은 고딕"/>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맑은 고딕"/>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맑은 고딕"/>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맑은 고딕" w:hint="eastAsia"/>
                <w:sz w:val="20"/>
                <w:szCs w:val="20"/>
                <w:lang w:val="en-GB" w:eastAsia="ko-KR"/>
              </w:rPr>
              <w:t>L</w:t>
            </w:r>
            <w:r>
              <w:rPr>
                <w:rFonts w:eastAsia="맑은 고딕"/>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맑은 고딕" w:hint="eastAsia"/>
                <w:sz w:val="20"/>
                <w:szCs w:val="20"/>
                <w:lang w:val="en-GB" w:eastAsia="ko-KR"/>
              </w:rPr>
              <w:t>N</w:t>
            </w:r>
            <w:r>
              <w:rPr>
                <w:rFonts w:eastAsia="맑은 고딕"/>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맑은 고딕"/>
                <w:sz w:val="20"/>
                <w:szCs w:val="20"/>
                <w:lang w:val="en-GB" w:eastAsia="ko-KR"/>
              </w:rPr>
            </w:pPr>
            <w:r>
              <w:rPr>
                <w:rFonts w:eastAsia="맑은 고딕" w:hint="eastAsia"/>
                <w:sz w:val="20"/>
                <w:szCs w:val="20"/>
                <w:lang w:eastAsia="ko-KR"/>
              </w:rPr>
              <w:t>A</w:t>
            </w:r>
            <w:r>
              <w:rPr>
                <w:rFonts w:eastAsia="맑은 고딕"/>
                <w:sz w:val="20"/>
                <w:szCs w:val="20"/>
                <w:lang w:eastAsia="ko-KR"/>
              </w:rPr>
              <w:t>gree with Ericsson</w:t>
            </w:r>
          </w:p>
        </w:tc>
      </w:tr>
      <w:tr w:rsidR="000D5EC2" w14:paraId="3E5796E3" w14:textId="77777777">
        <w:tc>
          <w:tcPr>
            <w:tcW w:w="1423" w:type="dxa"/>
          </w:tcPr>
          <w:p w14:paraId="7AB0126B"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4FBF85CF"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17D489E" w14:textId="77777777" w:rsidR="000D5EC2" w:rsidRDefault="000D5EC2">
            <w:pPr>
              <w:overflowPunct w:val="0"/>
              <w:autoSpaceDE w:val="0"/>
              <w:autoSpaceDN w:val="0"/>
              <w:adjustRightInd w:val="0"/>
              <w:textAlignment w:val="baseline"/>
              <w:rPr>
                <w:sz w:val="20"/>
                <w:szCs w:val="20"/>
                <w:lang w:val="en-GB" w:eastAsia="ko-KR"/>
              </w:rPr>
            </w:pPr>
          </w:p>
        </w:tc>
      </w:tr>
      <w:tr w:rsidR="000D5EC2" w14:paraId="096FC8DA" w14:textId="77777777">
        <w:tc>
          <w:tcPr>
            <w:tcW w:w="1423" w:type="dxa"/>
          </w:tcPr>
          <w:p w14:paraId="414452DD"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752BC9C4"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BE84A1B" w14:textId="77777777" w:rsidR="000D5EC2" w:rsidRDefault="000D5EC2">
            <w:pPr>
              <w:overflowPunct w:val="0"/>
              <w:autoSpaceDE w:val="0"/>
              <w:autoSpaceDN w:val="0"/>
              <w:adjustRightInd w:val="0"/>
              <w:textAlignment w:val="baseline"/>
              <w:rPr>
                <w:sz w:val="20"/>
                <w:szCs w:val="20"/>
                <w:lang w:val="en-GB" w:eastAsia="ko-KR"/>
              </w:rPr>
            </w:pPr>
          </w:p>
        </w:tc>
      </w:tr>
      <w:tr w:rsidR="000D5EC2" w14:paraId="0FB78D21" w14:textId="77777777">
        <w:tc>
          <w:tcPr>
            <w:tcW w:w="1423" w:type="dxa"/>
          </w:tcPr>
          <w:p w14:paraId="2078FAE9"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5C3E7A75"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63ECD516" w14:textId="77777777" w:rsidR="000D5EC2" w:rsidRDefault="000D5EC2">
            <w:pPr>
              <w:overflowPunct w:val="0"/>
              <w:autoSpaceDE w:val="0"/>
              <w:autoSpaceDN w:val="0"/>
              <w:adjustRightInd w:val="0"/>
              <w:textAlignment w:val="baseline"/>
              <w:rPr>
                <w:sz w:val="20"/>
                <w:szCs w:val="20"/>
                <w:lang w:val="en-GB" w:eastAsia="ko-KR"/>
              </w:rPr>
            </w:pPr>
          </w:p>
        </w:tc>
      </w:tr>
      <w:tr w:rsidR="000D5EC2" w14:paraId="364FC097" w14:textId="77777777">
        <w:tc>
          <w:tcPr>
            <w:tcW w:w="1423" w:type="dxa"/>
          </w:tcPr>
          <w:p w14:paraId="0FADE031"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C7E69EE"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38B296CB" w14:textId="77777777" w:rsidR="000D5EC2" w:rsidRDefault="000D5EC2">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맑은 고딕"/>
          <w:sz w:val="20"/>
          <w:szCs w:val="20"/>
          <w:lang w:eastAsia="ko-KR"/>
        </w:rPr>
      </w:pPr>
    </w:p>
    <w:p w14:paraId="7DC45004" w14:textId="77777777" w:rsidR="000D5EC2" w:rsidRDefault="002E7D45">
      <w:pPr>
        <w:pStyle w:val="Heading2"/>
        <w:ind w:left="562" w:hanging="562"/>
        <w:rPr>
          <w:sz w:val="22"/>
        </w:rPr>
      </w:pPr>
      <w:r>
        <w:rPr>
          <w:sz w:val="22"/>
        </w:rPr>
        <w:lastRenderedPageBreak/>
        <w:t xml:space="preserve">Adding an “infinite” value to the field </w:t>
      </w:r>
      <w:proofErr w:type="spellStart"/>
      <w:r>
        <w:rPr>
          <w:i/>
          <w:sz w:val="22"/>
        </w:rPr>
        <w:t>validityDuration</w:t>
      </w:r>
      <w:proofErr w:type="spellEnd"/>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 xml:space="preserve">The finite values defined for the </w:t>
      </w:r>
      <w:proofErr w:type="spellStart"/>
      <w:r>
        <w:rPr>
          <w:i/>
          <w:sz w:val="20"/>
        </w:rPr>
        <w:t>validityDuration</w:t>
      </w:r>
      <w:proofErr w:type="spellEnd"/>
      <w:r>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Pr>
          <w:i/>
          <w:sz w:val="20"/>
        </w:rPr>
        <w:t>validityDuration</w:t>
      </w:r>
      <w:proofErr w:type="spellEnd"/>
      <w:r>
        <w:rPr>
          <w:sz w:val="20"/>
        </w:rPr>
        <w:t>.</w:t>
      </w:r>
    </w:p>
    <w:p w14:paraId="53C2AF66" w14:textId="77777777" w:rsidR="000D5EC2" w:rsidRDefault="002E7D45">
      <w:pPr>
        <w:overflowPunct w:val="0"/>
        <w:autoSpaceDE w:val="0"/>
        <w:autoSpaceDN w:val="0"/>
        <w:adjustRightInd w:val="0"/>
        <w:spacing w:before="240" w:after="180"/>
        <w:textAlignment w:val="baseline"/>
        <w:rPr>
          <w:rFonts w:eastAsia="맑은 고딕"/>
          <w:b/>
          <w:sz w:val="20"/>
          <w:szCs w:val="20"/>
          <w:lang w:eastAsia="ko-KR"/>
        </w:rPr>
      </w:pPr>
      <w:r>
        <w:rPr>
          <w:rFonts w:eastAsia="맑은 고딕"/>
          <w:b/>
          <w:sz w:val="20"/>
          <w:szCs w:val="20"/>
          <w:lang w:eastAsia="ko-KR"/>
        </w:rPr>
        <w:t xml:space="preserve">Q3. Do you support adding the “infinite” value to the field </w:t>
      </w:r>
      <w:proofErr w:type="spellStart"/>
      <w:r>
        <w:rPr>
          <w:rFonts w:eastAsia="맑은 고딕"/>
          <w:b/>
          <w:i/>
          <w:sz w:val="20"/>
          <w:szCs w:val="20"/>
          <w:lang w:eastAsia="ko-KR"/>
        </w:rPr>
        <w:t>validityDuration</w:t>
      </w:r>
      <w:proofErr w:type="spellEnd"/>
      <w:r>
        <w:rPr>
          <w:rFonts w:eastAsia="맑은 고딕"/>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signalling. </w:t>
            </w:r>
            <w:r>
              <w:rPr>
                <w:rFonts w:eastAsia="SimSun"/>
                <w:sz w:val="20"/>
                <w:szCs w:val="20"/>
              </w:rPr>
              <w:br/>
              <w:t xml:space="preserve">SIB validity time can be used instead of infinity, but that is semantics which can be solved in the field description. </w:t>
            </w:r>
            <w:r w:rsidR="00016424">
              <w:rPr>
                <w:rFonts w:eastAsia="SimSun"/>
                <w:sz w:val="20"/>
                <w:szCs w:val="20"/>
              </w:rPr>
              <w:t>Anyway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맑은 고딕"/>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맑은 고딕"/>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맑은 고딕"/>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맑은 고딕" w:hint="eastAsia"/>
                <w:sz w:val="20"/>
                <w:szCs w:val="20"/>
                <w:lang w:val="en-GB" w:eastAsia="ko-KR"/>
              </w:rPr>
              <w:t>L</w:t>
            </w:r>
            <w:r>
              <w:rPr>
                <w:rFonts w:eastAsia="맑은 고딕"/>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맑은 고딕" w:hint="eastAsia"/>
                <w:sz w:val="20"/>
                <w:szCs w:val="20"/>
                <w:lang w:val="en-GB" w:eastAsia="ko-KR"/>
              </w:rPr>
              <w:t>N</w:t>
            </w:r>
            <w:r>
              <w:rPr>
                <w:rFonts w:eastAsia="맑은 고딕"/>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맑은 고딕"/>
                <w:sz w:val="20"/>
                <w:szCs w:val="20"/>
                <w:lang w:val="en-GB" w:eastAsia="ko-KR"/>
              </w:rPr>
            </w:pPr>
            <w:r>
              <w:rPr>
                <w:rFonts w:eastAsia="맑은 고딕"/>
                <w:sz w:val="20"/>
                <w:szCs w:val="20"/>
                <w:lang w:val="en-GB" w:eastAsia="ko-KR"/>
              </w:rPr>
              <w:t>In our understanding, it seems to</w:t>
            </w:r>
            <w:r w:rsidRPr="00B0288A">
              <w:rPr>
                <w:rFonts w:eastAsia="맑은 고딕"/>
                <w:sz w:val="20"/>
                <w:szCs w:val="20"/>
                <w:lang w:val="en-GB" w:eastAsia="ko-KR"/>
              </w:rPr>
              <w:t xml:space="preserve"> have </w:t>
            </w:r>
            <w:r>
              <w:rPr>
                <w:rFonts w:eastAsia="맑은 고딕"/>
                <w:sz w:val="20"/>
                <w:szCs w:val="20"/>
                <w:lang w:val="en-GB" w:eastAsia="ko-KR"/>
              </w:rPr>
              <w:t>some</w:t>
            </w:r>
            <w:r w:rsidRPr="00B0288A">
              <w:rPr>
                <w:rFonts w:eastAsia="맑은 고딕"/>
                <w:sz w:val="20"/>
                <w:szCs w:val="20"/>
                <w:lang w:val="en-GB" w:eastAsia="ko-KR"/>
              </w:rPr>
              <w:t xml:space="preserve"> impact on RAN1 as well</w:t>
            </w:r>
            <w:r>
              <w:rPr>
                <w:rFonts w:eastAsia="맑은 고딕"/>
                <w:sz w:val="20"/>
                <w:szCs w:val="20"/>
                <w:lang w:val="en-GB" w:eastAsia="ko-KR"/>
              </w:rPr>
              <w:t>,</w:t>
            </w:r>
            <w:r w:rsidRPr="00B0288A">
              <w:rPr>
                <w:rFonts w:eastAsia="맑은 고딕"/>
                <w:sz w:val="20"/>
                <w:szCs w:val="20"/>
                <w:lang w:val="en-GB" w:eastAsia="ko-KR"/>
              </w:rPr>
              <w:t xml:space="preserve"> as it is different from the assumptions made so far </w:t>
            </w:r>
            <w:r>
              <w:rPr>
                <w:rFonts w:eastAsia="맑은 고딕"/>
                <w:sz w:val="20"/>
                <w:szCs w:val="20"/>
                <w:lang w:val="en-GB" w:eastAsia="ko-KR"/>
              </w:rPr>
              <w:t>in</w:t>
            </w:r>
            <w:r w:rsidRPr="00B0288A">
              <w:rPr>
                <w:rFonts w:eastAsia="맑은 고딕"/>
                <w:sz w:val="20"/>
                <w:szCs w:val="20"/>
                <w:lang w:val="en-GB" w:eastAsia="ko-KR"/>
              </w:rPr>
              <w:t xml:space="preserve"> RAN1.</w:t>
            </w:r>
            <w:r>
              <w:rPr>
                <w:rFonts w:eastAsia="맑은 고딕"/>
                <w:sz w:val="20"/>
                <w:szCs w:val="20"/>
                <w:lang w:val="en-GB" w:eastAsia="ko-KR"/>
              </w:rPr>
              <w:t xml:space="preserve"> </w:t>
            </w:r>
            <w:r w:rsidRPr="00A86955">
              <w:rPr>
                <w:rFonts w:eastAsia="맑은 고딕"/>
                <w:sz w:val="20"/>
                <w:szCs w:val="20"/>
                <w:lang w:val="en-GB" w:eastAsia="ko-KR"/>
              </w:rPr>
              <w:t xml:space="preserve">In RAN1, Always-on TRS transmission by the network is not considered, and SIB-based </w:t>
            </w:r>
            <w:proofErr w:type="spellStart"/>
            <w:r w:rsidRPr="00A86955">
              <w:rPr>
                <w:rFonts w:eastAsia="맑은 고딕"/>
                <w:sz w:val="20"/>
                <w:szCs w:val="20"/>
                <w:lang w:val="en-GB" w:eastAsia="ko-KR"/>
              </w:rPr>
              <w:t>signaling</w:t>
            </w:r>
            <w:proofErr w:type="spellEnd"/>
            <w:r w:rsidRPr="00A86955">
              <w:rPr>
                <w:rFonts w:eastAsia="맑은 고딕"/>
                <w:sz w:val="20"/>
                <w:szCs w:val="20"/>
                <w:lang w:val="en-GB" w:eastAsia="ko-KR"/>
              </w:rPr>
              <w:t xml:space="preserve"> </w:t>
            </w:r>
            <w:r>
              <w:rPr>
                <w:rFonts w:eastAsia="맑은 고딕"/>
                <w:sz w:val="20"/>
                <w:szCs w:val="20"/>
                <w:lang w:val="en-GB" w:eastAsia="ko-KR"/>
              </w:rPr>
              <w:t>is</w:t>
            </w:r>
            <w:r w:rsidRPr="00A86955">
              <w:rPr>
                <w:rFonts w:eastAsia="맑은 고딕"/>
                <w:sz w:val="20"/>
                <w:szCs w:val="20"/>
                <w:lang w:val="en-GB" w:eastAsia="ko-KR"/>
              </w:rPr>
              <w:t xml:space="preserve"> </w:t>
            </w:r>
            <w:r>
              <w:rPr>
                <w:rFonts w:eastAsia="맑은 고딕"/>
                <w:sz w:val="20"/>
                <w:szCs w:val="20"/>
                <w:lang w:val="en-GB" w:eastAsia="ko-KR"/>
              </w:rPr>
              <w:t>not</w:t>
            </w:r>
            <w:r w:rsidRPr="00A86955">
              <w:rPr>
                <w:rFonts w:eastAsia="맑은 고딕"/>
                <w:sz w:val="20"/>
                <w:szCs w:val="20"/>
                <w:lang w:val="en-GB" w:eastAsia="ko-KR"/>
              </w:rPr>
              <w:t xml:space="preserve"> agreed.</w:t>
            </w:r>
            <w:r>
              <w:rPr>
                <w:rFonts w:eastAsia="맑은 고딕"/>
                <w:sz w:val="20"/>
                <w:szCs w:val="20"/>
                <w:lang w:val="en-GB" w:eastAsia="ko-KR"/>
              </w:rPr>
              <w:t xml:space="preserve"> </w:t>
            </w:r>
          </w:p>
        </w:tc>
      </w:tr>
      <w:tr w:rsidR="000D5EC2" w14:paraId="3EDCE470" w14:textId="77777777">
        <w:tc>
          <w:tcPr>
            <w:tcW w:w="1423" w:type="dxa"/>
          </w:tcPr>
          <w:p w14:paraId="339A1125"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38907788"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19467400" w14:textId="77777777" w:rsidR="000D5EC2" w:rsidRDefault="000D5EC2">
            <w:pPr>
              <w:overflowPunct w:val="0"/>
              <w:autoSpaceDE w:val="0"/>
              <w:autoSpaceDN w:val="0"/>
              <w:adjustRightInd w:val="0"/>
              <w:textAlignment w:val="baseline"/>
              <w:rPr>
                <w:sz w:val="20"/>
                <w:szCs w:val="20"/>
                <w:lang w:val="en-GB" w:eastAsia="ko-KR"/>
              </w:rPr>
            </w:pPr>
          </w:p>
        </w:tc>
      </w:tr>
      <w:tr w:rsidR="000D5EC2" w14:paraId="6443DA22" w14:textId="77777777">
        <w:tc>
          <w:tcPr>
            <w:tcW w:w="1423" w:type="dxa"/>
          </w:tcPr>
          <w:p w14:paraId="3B347E9F"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67EA5CBF"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4F4F410" w14:textId="77777777" w:rsidR="000D5EC2" w:rsidRDefault="000D5EC2">
            <w:pPr>
              <w:overflowPunct w:val="0"/>
              <w:autoSpaceDE w:val="0"/>
              <w:autoSpaceDN w:val="0"/>
              <w:adjustRightInd w:val="0"/>
              <w:textAlignment w:val="baseline"/>
              <w:rPr>
                <w:sz w:val="20"/>
                <w:szCs w:val="20"/>
                <w:lang w:val="en-GB" w:eastAsia="ko-KR"/>
              </w:rPr>
            </w:pPr>
          </w:p>
        </w:tc>
      </w:tr>
      <w:tr w:rsidR="000D5EC2" w14:paraId="72EE832C" w14:textId="77777777">
        <w:tc>
          <w:tcPr>
            <w:tcW w:w="1423" w:type="dxa"/>
          </w:tcPr>
          <w:p w14:paraId="1A143FC4"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5DF0DE2"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9245C1D" w14:textId="77777777" w:rsidR="000D5EC2" w:rsidRDefault="000D5EC2">
            <w:pPr>
              <w:overflowPunct w:val="0"/>
              <w:autoSpaceDE w:val="0"/>
              <w:autoSpaceDN w:val="0"/>
              <w:adjustRightInd w:val="0"/>
              <w:textAlignment w:val="baseline"/>
              <w:rPr>
                <w:sz w:val="20"/>
                <w:szCs w:val="20"/>
                <w:lang w:val="en-GB" w:eastAsia="ko-KR"/>
              </w:rPr>
            </w:pPr>
          </w:p>
        </w:tc>
      </w:tr>
      <w:tr w:rsidR="000D5EC2" w14:paraId="7B114204" w14:textId="77777777">
        <w:tc>
          <w:tcPr>
            <w:tcW w:w="1423" w:type="dxa"/>
          </w:tcPr>
          <w:p w14:paraId="432B297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69E3A003"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5C7E79BD" w14:textId="77777777" w:rsidR="000D5EC2" w:rsidRDefault="000D5EC2">
            <w:pPr>
              <w:overflowPunct w:val="0"/>
              <w:autoSpaceDE w:val="0"/>
              <w:autoSpaceDN w:val="0"/>
              <w:adjustRightInd w:val="0"/>
              <w:textAlignment w:val="baseline"/>
              <w:rPr>
                <w:sz w:val="20"/>
                <w:szCs w:val="20"/>
                <w:lang w:val="en-GB" w:eastAsia="ko-KR"/>
              </w:rPr>
            </w:pPr>
          </w:p>
        </w:tc>
      </w:tr>
    </w:tbl>
    <w:p w14:paraId="601E850B" w14:textId="77777777" w:rsidR="000D5EC2" w:rsidRDefault="000D5EC2">
      <w:pPr>
        <w:overflowPunct w:val="0"/>
        <w:autoSpaceDE w:val="0"/>
        <w:autoSpaceDN w:val="0"/>
        <w:adjustRightInd w:val="0"/>
        <w:spacing w:after="180"/>
        <w:textAlignment w:val="baseline"/>
        <w:rPr>
          <w:rFonts w:eastAsia="맑은 고딕"/>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BodyText"/>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lastRenderedPageBreak/>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BodyText"/>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BodyText"/>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092B" w14:textId="77777777" w:rsidR="00E45649" w:rsidRDefault="00E45649">
      <w:pPr>
        <w:spacing w:after="0" w:line="240" w:lineRule="auto"/>
      </w:pPr>
      <w:r>
        <w:separator/>
      </w:r>
    </w:p>
  </w:endnote>
  <w:endnote w:type="continuationSeparator" w:id="0">
    <w:p w14:paraId="0F284090" w14:textId="77777777" w:rsidR="00E45649" w:rsidRDefault="00E4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17F09659"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F99">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2242" w14:textId="77777777" w:rsidR="00E45649" w:rsidRDefault="00E45649">
      <w:pPr>
        <w:spacing w:after="0" w:line="240" w:lineRule="auto"/>
      </w:pPr>
      <w:r>
        <w:separator/>
      </w:r>
    </w:p>
  </w:footnote>
  <w:footnote w:type="continuationSeparator" w:id="0">
    <w:p w14:paraId="7C029B73" w14:textId="77777777" w:rsidR="00E45649" w:rsidRDefault="00E4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6166053">
    <w:abstractNumId w:val="10"/>
  </w:num>
  <w:num w:numId="2" w16cid:durableId="314342547">
    <w:abstractNumId w:val="9"/>
  </w:num>
  <w:num w:numId="3" w16cid:durableId="341861896">
    <w:abstractNumId w:val="8"/>
  </w:num>
  <w:num w:numId="4" w16cid:durableId="288051070">
    <w:abstractNumId w:val="4"/>
  </w:num>
  <w:num w:numId="5" w16cid:durableId="1964146464">
    <w:abstractNumId w:val="5"/>
  </w:num>
  <w:num w:numId="6" w16cid:durableId="470176644">
    <w:abstractNumId w:val="11"/>
  </w:num>
  <w:num w:numId="7" w16cid:durableId="1693796614">
    <w:abstractNumId w:val="2"/>
  </w:num>
  <w:num w:numId="8" w16cid:durableId="26608503">
    <w:abstractNumId w:val="3"/>
  </w:num>
  <w:num w:numId="9" w16cid:durableId="893739369">
    <w:abstractNumId w:val="0"/>
  </w:num>
  <w:num w:numId="10" w16cid:durableId="1047217192">
    <w:abstractNumId w:val="6"/>
  </w:num>
  <w:num w:numId="11" w16cid:durableId="1058014829">
    <w:abstractNumId w:val="7"/>
  </w:num>
  <w:num w:numId="12" w16cid:durableId="3187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70201"/>
  <w15:docId w15:val="{642908C6-D70E-48EA-9B8F-A512AC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맑은 고딕" w:hAnsi="Arial" w:cs="Arial"/>
      <w:lang w:val="en-GB" w:eastAsia="en-US"/>
    </w:rPr>
  </w:style>
  <w:style w:type="paragraph" w:customStyle="1" w:styleId="CRCoverPage">
    <w:name w:val="CR Cover Page"/>
    <w:link w:val="CRCoverPageZchn"/>
    <w:qFormat/>
    <w:pPr>
      <w:spacing w:after="120" w:line="276" w:lineRule="auto"/>
    </w:pPr>
    <w:rPr>
      <w:rFonts w:ascii="Arial" w:eastAsia="맑은 고딕"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20F2DC-47E9-4886-8A48-F7D85DCC54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LGE (Soo Kim)</cp:lastModifiedBy>
  <cp:revision>4</cp:revision>
  <cp:lastPrinted>2007-08-29T03:45:00Z</cp:lastPrinted>
  <dcterms:created xsi:type="dcterms:W3CDTF">2022-05-16T00:37:00Z</dcterms:created>
  <dcterms:modified xsi:type="dcterms:W3CDTF">2022-05-16T01:59:00Z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