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642" w:rsidRDefault="00E70E27">
      <w:pPr>
        <w:pStyle w:val="3GPPHeader"/>
        <w:spacing w:after="60"/>
        <w:rPr>
          <w:sz w:val="32"/>
          <w:szCs w:val="32"/>
        </w:rPr>
      </w:pPr>
      <w:r>
        <w:t>3GPP TSG-RAN2#118-e</w:t>
      </w:r>
      <w:r>
        <w:tab/>
      </w:r>
      <w:r>
        <w:rPr>
          <w:sz w:val="32"/>
          <w:szCs w:val="32"/>
        </w:rPr>
        <w:t>Tdoc R2-</w:t>
      </w:r>
      <w:r>
        <w:rPr>
          <w:sz w:val="32"/>
          <w:szCs w:val="32"/>
          <w:highlight w:val="magenta"/>
        </w:rPr>
        <w:t>22XXXX</w:t>
      </w:r>
    </w:p>
    <w:p w:rsidR="00546642" w:rsidRDefault="00E70E27">
      <w:pPr>
        <w:pStyle w:val="3GPPHeader"/>
      </w:pPr>
      <w:r>
        <w:t>Electronic meeting, 2022-05-09 - 2022-05-20</w:t>
      </w:r>
    </w:p>
    <w:p w:rsidR="00546642" w:rsidRDefault="00546642">
      <w:pPr>
        <w:pStyle w:val="3GPPHeader"/>
      </w:pPr>
    </w:p>
    <w:p w:rsidR="00546642" w:rsidRDefault="00E70E27">
      <w:pPr>
        <w:pStyle w:val="3GPPHeader"/>
        <w:rPr>
          <w:sz w:val="22"/>
          <w:szCs w:val="22"/>
        </w:rPr>
      </w:pPr>
      <w:r>
        <w:rPr>
          <w:sz w:val="22"/>
          <w:szCs w:val="22"/>
        </w:rPr>
        <w:t>Agenda Item:</w:t>
      </w:r>
      <w:r>
        <w:rPr>
          <w:sz w:val="22"/>
          <w:szCs w:val="22"/>
        </w:rPr>
        <w:tab/>
        <w:t>6.24.1</w:t>
      </w:r>
    </w:p>
    <w:p w:rsidR="00546642" w:rsidRDefault="00E70E27">
      <w:pPr>
        <w:pStyle w:val="3GPPHeader"/>
        <w:rPr>
          <w:sz w:val="22"/>
          <w:szCs w:val="22"/>
        </w:rPr>
      </w:pPr>
      <w:r>
        <w:rPr>
          <w:sz w:val="22"/>
          <w:szCs w:val="22"/>
        </w:rPr>
        <w:t>Source:</w:t>
      </w:r>
      <w:r>
        <w:rPr>
          <w:sz w:val="22"/>
          <w:szCs w:val="22"/>
        </w:rPr>
        <w:tab/>
        <w:t>Ericsson</w:t>
      </w:r>
    </w:p>
    <w:p w:rsidR="00546642" w:rsidRDefault="00E70E27">
      <w:pPr>
        <w:pStyle w:val="3GPPHeader"/>
        <w:rPr>
          <w:sz w:val="22"/>
          <w:szCs w:val="22"/>
        </w:rPr>
      </w:pPr>
      <w:r>
        <w:rPr>
          <w:sz w:val="22"/>
          <w:szCs w:val="22"/>
        </w:rPr>
        <w:t>Title:</w:t>
      </w:r>
      <w:r>
        <w:rPr>
          <w:sz w:val="22"/>
          <w:szCs w:val="22"/>
        </w:rPr>
        <w:tab/>
        <w:t xml:space="preserve">Report from [AT118-e][046][NR17] n77 and DSS (Ericsson) </w:t>
      </w:r>
    </w:p>
    <w:p w:rsidR="00546642" w:rsidRDefault="00E70E27">
      <w:pPr>
        <w:pStyle w:val="3GPPHeader"/>
        <w:rPr>
          <w:sz w:val="22"/>
          <w:szCs w:val="22"/>
        </w:rPr>
      </w:pPr>
      <w:r>
        <w:rPr>
          <w:sz w:val="22"/>
          <w:szCs w:val="22"/>
        </w:rPr>
        <w:t>Document for:</w:t>
      </w:r>
      <w:r>
        <w:rPr>
          <w:sz w:val="22"/>
          <w:szCs w:val="22"/>
        </w:rPr>
        <w:tab/>
        <w:t>Discussion, Decision</w:t>
      </w:r>
    </w:p>
    <w:p w:rsidR="00546642" w:rsidRDefault="00E70E27">
      <w:pPr>
        <w:pStyle w:val="1"/>
      </w:pPr>
      <w:r>
        <w:t>1</w:t>
      </w:r>
      <w:r>
        <w:tab/>
        <w:t>Introduction</w:t>
      </w:r>
    </w:p>
    <w:p w:rsidR="00546642" w:rsidRDefault="00E70E27">
      <w:pPr>
        <w:pStyle w:val="a6"/>
        <w:rPr>
          <w:rFonts w:cs="Arial"/>
        </w:rPr>
      </w:pPr>
      <w:r>
        <w:rPr>
          <w:rFonts w:cs="Arial"/>
        </w:rPr>
        <w:t xml:space="preserve">This is a report from </w:t>
      </w:r>
      <w:r>
        <w:rPr>
          <w:rFonts w:cs="Arial"/>
        </w:rPr>
        <w:t>the following discussion:</w:t>
      </w:r>
    </w:p>
    <w:p w:rsidR="00546642" w:rsidRDefault="00E70E27">
      <w:pPr>
        <w:pStyle w:val="EmailDiscussion"/>
        <w:overflowPunct/>
        <w:autoSpaceDE/>
        <w:autoSpaceDN/>
        <w:adjustRightInd/>
        <w:textAlignment w:val="auto"/>
      </w:pPr>
      <w:bookmarkStart w:id="0" w:name="_Hlk102970928"/>
      <w:r>
        <w:t>[AT118-e][046][NR17] n77 and DSS (Ericsson)</w:t>
      </w:r>
    </w:p>
    <w:p w:rsidR="00546642" w:rsidRDefault="00E70E27">
      <w:pPr>
        <w:pStyle w:val="EmailDiscussion2"/>
      </w:pPr>
      <w:r>
        <w:tab/>
        <w:t>Scope: Treat R2-2205871 - R2-2205875, R2-2205511.</w:t>
      </w:r>
    </w:p>
    <w:p w:rsidR="00546642" w:rsidRDefault="00E70E27">
      <w:pPr>
        <w:pStyle w:val="EmailDiscussion2"/>
      </w:pPr>
      <w:r>
        <w:tab/>
        <w:t>Ph1 Determine agreeable parts, Ph2 agree CRs</w:t>
      </w:r>
    </w:p>
    <w:p w:rsidR="00546642" w:rsidRDefault="00E70E27">
      <w:pPr>
        <w:pStyle w:val="EmailDiscussion2"/>
      </w:pPr>
      <w:r>
        <w:tab/>
        <w:t>Intended outcome: Report, Agreed CRs</w:t>
      </w:r>
    </w:p>
    <w:p w:rsidR="00546642" w:rsidRDefault="00E70E27">
      <w:pPr>
        <w:pStyle w:val="EmailDiscussion2"/>
      </w:pPr>
      <w:r>
        <w:tab/>
        <w:t>Deadline: Schedule 1</w:t>
      </w:r>
    </w:p>
    <w:bookmarkEnd w:id="0"/>
    <w:p w:rsidR="00546642" w:rsidRDefault="00546642">
      <w:pPr>
        <w:pStyle w:val="a6"/>
        <w:rPr>
          <w:rFonts w:cs="Arial"/>
        </w:rPr>
      </w:pPr>
    </w:p>
    <w:p w:rsidR="00546642" w:rsidRDefault="00E70E27">
      <w:pPr>
        <w:pStyle w:val="a6"/>
        <w:rPr>
          <w:rFonts w:cs="Arial"/>
        </w:rPr>
      </w:pPr>
      <w:r>
        <w:rPr>
          <w:rFonts w:cs="Arial"/>
        </w:rPr>
        <w:t>The following delegates part</w:t>
      </w:r>
      <w:r>
        <w:rPr>
          <w:rFonts w:cs="Arial"/>
        </w:rPr>
        <w:t>icipated in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1"/>
        <w:gridCol w:w="7180"/>
      </w:tblGrid>
      <w:tr w:rsidR="00546642">
        <w:trPr>
          <w:trHeight w:val="421"/>
        </w:trPr>
        <w:tc>
          <w:tcPr>
            <w:tcW w:w="2231" w:type="dxa"/>
            <w:shd w:val="clear" w:color="auto" w:fill="BFBFBF"/>
            <w:tcMar>
              <w:top w:w="0" w:type="dxa"/>
              <w:left w:w="108" w:type="dxa"/>
              <w:bottom w:w="0" w:type="dxa"/>
              <w:right w:w="108" w:type="dxa"/>
            </w:tcMar>
            <w:vAlign w:val="center"/>
          </w:tcPr>
          <w:p w:rsidR="00546642" w:rsidRDefault="00E70E27">
            <w:pPr>
              <w:pStyle w:val="a6"/>
              <w:jc w:val="center"/>
              <w:rPr>
                <w:rFonts w:cs="Arial"/>
                <w:sz w:val="22"/>
                <w:szCs w:val="22"/>
                <w:lang w:val="de-DE"/>
              </w:rPr>
            </w:pPr>
            <w:r>
              <w:rPr>
                <w:rFonts w:cs="Arial"/>
                <w:sz w:val="22"/>
                <w:szCs w:val="22"/>
                <w:lang w:val="de-DE"/>
              </w:rPr>
              <w:t>Company</w:t>
            </w:r>
          </w:p>
        </w:tc>
        <w:tc>
          <w:tcPr>
            <w:tcW w:w="7180" w:type="dxa"/>
            <w:shd w:val="clear" w:color="auto" w:fill="BFBFBF"/>
            <w:tcMar>
              <w:top w:w="0" w:type="dxa"/>
              <w:left w:w="108" w:type="dxa"/>
              <w:bottom w:w="0" w:type="dxa"/>
              <w:right w:w="108" w:type="dxa"/>
            </w:tcMar>
          </w:tcPr>
          <w:p w:rsidR="00546642" w:rsidRDefault="00E70E27">
            <w:pPr>
              <w:pStyle w:val="a6"/>
              <w:jc w:val="center"/>
              <w:rPr>
                <w:rFonts w:cs="Arial"/>
                <w:sz w:val="22"/>
                <w:szCs w:val="22"/>
                <w:lang w:val="de-DE"/>
              </w:rPr>
            </w:pPr>
            <w:r>
              <w:rPr>
                <w:rFonts w:cs="Arial"/>
                <w:sz w:val="22"/>
                <w:szCs w:val="22"/>
                <w:lang w:val="de-DE"/>
              </w:rPr>
              <w:t>Contact Name, Email</w:t>
            </w:r>
          </w:p>
        </w:tc>
      </w:tr>
      <w:tr w:rsidR="00546642">
        <w:trPr>
          <w:trHeight w:val="501"/>
        </w:trPr>
        <w:tc>
          <w:tcPr>
            <w:tcW w:w="2231" w:type="dxa"/>
            <w:tcMar>
              <w:top w:w="0" w:type="dxa"/>
              <w:left w:w="108" w:type="dxa"/>
              <w:bottom w:w="0" w:type="dxa"/>
              <w:right w:w="108" w:type="dxa"/>
            </w:tcMar>
            <w:vAlign w:val="center"/>
          </w:tcPr>
          <w:p w:rsidR="00546642" w:rsidRDefault="00E70E27">
            <w:pPr>
              <w:spacing w:before="120" w:after="120"/>
              <w:jc w:val="center"/>
              <w:rPr>
                <w:sz w:val="22"/>
                <w:szCs w:val="22"/>
                <w:lang w:val="de-DE"/>
              </w:rPr>
            </w:pPr>
            <w:r>
              <w:rPr>
                <w:sz w:val="22"/>
                <w:szCs w:val="22"/>
                <w:lang w:val="de-DE"/>
              </w:rPr>
              <w:t>Ericsson</w:t>
            </w:r>
          </w:p>
        </w:tc>
        <w:tc>
          <w:tcPr>
            <w:tcW w:w="7180" w:type="dxa"/>
            <w:tcMar>
              <w:top w:w="0" w:type="dxa"/>
              <w:left w:w="108" w:type="dxa"/>
              <w:bottom w:w="0" w:type="dxa"/>
              <w:right w:w="108" w:type="dxa"/>
            </w:tcMar>
            <w:vAlign w:val="center"/>
          </w:tcPr>
          <w:p w:rsidR="00546642" w:rsidRDefault="00E70E27">
            <w:pPr>
              <w:spacing w:before="120" w:after="120"/>
              <w:jc w:val="center"/>
              <w:rPr>
                <w:sz w:val="22"/>
                <w:szCs w:val="22"/>
                <w:lang w:val="de-DE"/>
              </w:rPr>
            </w:pPr>
            <w:r>
              <w:rPr>
                <w:sz w:val="22"/>
                <w:szCs w:val="22"/>
                <w:lang w:val="de-DE"/>
              </w:rPr>
              <w:t>Mattias Bergström, mattias.a.bergstrom@ericsson.com</w:t>
            </w:r>
          </w:p>
        </w:tc>
      </w:tr>
      <w:tr w:rsidR="00546642">
        <w:trPr>
          <w:trHeight w:val="467"/>
        </w:trPr>
        <w:tc>
          <w:tcPr>
            <w:tcW w:w="2231" w:type="dxa"/>
            <w:tcMar>
              <w:top w:w="0" w:type="dxa"/>
              <w:left w:w="108" w:type="dxa"/>
              <w:bottom w:w="0" w:type="dxa"/>
              <w:right w:w="108" w:type="dxa"/>
            </w:tcMar>
            <w:vAlign w:val="center"/>
          </w:tcPr>
          <w:p w:rsidR="00546642" w:rsidRDefault="00E70E27">
            <w:pPr>
              <w:spacing w:before="120" w:after="120"/>
              <w:jc w:val="center"/>
              <w:rPr>
                <w:lang w:val="de-DE" w:eastAsia="zh-CN"/>
              </w:rPr>
            </w:pPr>
            <w:r>
              <w:rPr>
                <w:lang w:val="de-DE" w:eastAsia="zh-CN"/>
              </w:rPr>
              <w:t>Apple</w:t>
            </w:r>
          </w:p>
        </w:tc>
        <w:tc>
          <w:tcPr>
            <w:tcW w:w="7180" w:type="dxa"/>
            <w:tcMar>
              <w:top w:w="0" w:type="dxa"/>
              <w:left w:w="108" w:type="dxa"/>
              <w:bottom w:w="0" w:type="dxa"/>
              <w:right w:w="108" w:type="dxa"/>
            </w:tcMar>
            <w:vAlign w:val="center"/>
          </w:tcPr>
          <w:p w:rsidR="00546642" w:rsidRDefault="00E70E27">
            <w:pPr>
              <w:spacing w:before="120" w:after="120"/>
              <w:jc w:val="center"/>
              <w:rPr>
                <w:lang w:val="de-DE" w:eastAsia="zh-CN"/>
              </w:rPr>
            </w:pPr>
            <w:r>
              <w:rPr>
                <w:lang w:val="de-DE" w:eastAsia="zh-CN"/>
              </w:rPr>
              <w:t>rrossbach@apple.com</w:t>
            </w:r>
          </w:p>
        </w:tc>
      </w:tr>
      <w:tr w:rsidR="00546642">
        <w:trPr>
          <w:trHeight w:val="467"/>
        </w:trPr>
        <w:tc>
          <w:tcPr>
            <w:tcW w:w="2231" w:type="dxa"/>
            <w:tcMar>
              <w:top w:w="0" w:type="dxa"/>
              <w:left w:w="108" w:type="dxa"/>
              <w:bottom w:w="0" w:type="dxa"/>
              <w:right w:w="108" w:type="dxa"/>
            </w:tcMar>
            <w:vAlign w:val="center"/>
          </w:tcPr>
          <w:p w:rsidR="00546642" w:rsidRDefault="00E70E27">
            <w:pPr>
              <w:spacing w:before="120" w:after="120"/>
              <w:jc w:val="center"/>
              <w:rPr>
                <w:lang w:val="de-DE"/>
              </w:rPr>
            </w:pPr>
            <w:r>
              <w:rPr>
                <w:rFonts w:hint="eastAsia"/>
                <w:lang w:val="de-DE"/>
              </w:rPr>
              <w:t>Q</w:t>
            </w:r>
            <w:r>
              <w:rPr>
                <w:lang w:val="de-DE"/>
              </w:rPr>
              <w:t>ualcomm Incorporated</w:t>
            </w:r>
          </w:p>
        </w:tc>
        <w:tc>
          <w:tcPr>
            <w:tcW w:w="7180" w:type="dxa"/>
            <w:tcMar>
              <w:top w:w="0" w:type="dxa"/>
              <w:left w:w="108" w:type="dxa"/>
              <w:bottom w:w="0" w:type="dxa"/>
              <w:right w:w="108" w:type="dxa"/>
            </w:tcMar>
            <w:vAlign w:val="center"/>
          </w:tcPr>
          <w:p w:rsidR="00546642" w:rsidRDefault="00E70E27">
            <w:pPr>
              <w:spacing w:before="120" w:after="120"/>
              <w:jc w:val="center"/>
              <w:rPr>
                <w:lang w:val="de-DE"/>
              </w:rPr>
            </w:pPr>
            <w:r>
              <w:rPr>
                <w:lang w:val="de-DE"/>
              </w:rPr>
              <w:t>Masato Kitazoe, mkitazoe@qti.qualcomm.com</w:t>
            </w:r>
          </w:p>
        </w:tc>
      </w:tr>
      <w:tr w:rsidR="00546642">
        <w:trPr>
          <w:trHeight w:val="467"/>
        </w:trPr>
        <w:tc>
          <w:tcPr>
            <w:tcW w:w="2231" w:type="dxa"/>
            <w:tcMar>
              <w:top w:w="0" w:type="dxa"/>
              <w:left w:w="108" w:type="dxa"/>
              <w:bottom w:w="0" w:type="dxa"/>
              <w:right w:w="108" w:type="dxa"/>
            </w:tcMar>
            <w:vAlign w:val="center"/>
          </w:tcPr>
          <w:p w:rsidR="00546642" w:rsidRDefault="00E70E27">
            <w:pPr>
              <w:spacing w:before="120" w:after="120"/>
              <w:jc w:val="center"/>
              <w:rPr>
                <w:lang w:val="de-DE" w:eastAsia="zh-CN"/>
              </w:rPr>
            </w:pPr>
            <w:r>
              <w:rPr>
                <w:lang w:val="de-DE" w:eastAsia="zh-CN"/>
              </w:rPr>
              <w:t>vivo</w:t>
            </w:r>
          </w:p>
        </w:tc>
        <w:tc>
          <w:tcPr>
            <w:tcW w:w="7180" w:type="dxa"/>
            <w:tcMar>
              <w:top w:w="0" w:type="dxa"/>
              <w:left w:w="108" w:type="dxa"/>
              <w:bottom w:w="0" w:type="dxa"/>
              <w:right w:w="108" w:type="dxa"/>
            </w:tcMar>
            <w:vAlign w:val="center"/>
          </w:tcPr>
          <w:p w:rsidR="00546642" w:rsidRDefault="00E70E27">
            <w:pPr>
              <w:spacing w:before="120" w:after="120"/>
              <w:jc w:val="center"/>
              <w:rPr>
                <w:lang w:val="de-DE" w:eastAsia="zh-CN"/>
              </w:rPr>
            </w:pPr>
            <w:r>
              <w:rPr>
                <w:lang w:val="de-DE" w:eastAsia="zh-CN"/>
              </w:rPr>
              <w:t>jianhui.li@vivo.com</w:t>
            </w:r>
          </w:p>
        </w:tc>
      </w:tr>
      <w:tr w:rsidR="00546642">
        <w:trPr>
          <w:trHeight w:val="467"/>
        </w:trPr>
        <w:tc>
          <w:tcPr>
            <w:tcW w:w="2231" w:type="dxa"/>
            <w:tcMar>
              <w:top w:w="0" w:type="dxa"/>
              <w:left w:w="108" w:type="dxa"/>
              <w:bottom w:w="0" w:type="dxa"/>
              <w:right w:w="108" w:type="dxa"/>
            </w:tcMar>
            <w:vAlign w:val="center"/>
          </w:tcPr>
          <w:p w:rsidR="00546642" w:rsidRDefault="00E70E27">
            <w:pPr>
              <w:spacing w:before="120" w:after="120"/>
              <w:jc w:val="center"/>
              <w:rPr>
                <w:lang w:val="de-DE" w:eastAsia="zh-CN"/>
              </w:rPr>
            </w:pPr>
            <w:r>
              <w:rPr>
                <w:lang w:val="de-DE" w:eastAsia="zh-CN"/>
              </w:rPr>
              <w:t>Samsung</w:t>
            </w:r>
          </w:p>
        </w:tc>
        <w:tc>
          <w:tcPr>
            <w:tcW w:w="7180" w:type="dxa"/>
            <w:tcMar>
              <w:top w:w="0" w:type="dxa"/>
              <w:left w:w="108" w:type="dxa"/>
              <w:bottom w:w="0" w:type="dxa"/>
              <w:right w:w="108" w:type="dxa"/>
            </w:tcMar>
            <w:vAlign w:val="center"/>
          </w:tcPr>
          <w:p w:rsidR="00546642" w:rsidRDefault="00E70E27">
            <w:pPr>
              <w:spacing w:before="120" w:after="120"/>
              <w:jc w:val="center"/>
              <w:rPr>
                <w:lang w:val="de-DE" w:eastAsia="zh-CN"/>
              </w:rPr>
            </w:pPr>
            <w:r>
              <w:rPr>
                <w:lang w:val="de-DE" w:eastAsia="zh-CN"/>
              </w:rPr>
              <w:t xml:space="preserve">Jaehyuk </w:t>
            </w:r>
            <w:r>
              <w:rPr>
                <w:lang w:val="de-DE" w:eastAsia="zh-CN"/>
              </w:rPr>
              <w:t>JANG, jack.jang@samsung.com</w:t>
            </w:r>
          </w:p>
        </w:tc>
      </w:tr>
      <w:tr w:rsidR="00546642">
        <w:trPr>
          <w:trHeight w:val="467"/>
        </w:trPr>
        <w:tc>
          <w:tcPr>
            <w:tcW w:w="2231" w:type="dxa"/>
            <w:tcMar>
              <w:top w:w="0" w:type="dxa"/>
              <w:left w:w="108" w:type="dxa"/>
              <w:bottom w:w="0" w:type="dxa"/>
              <w:right w:w="108" w:type="dxa"/>
            </w:tcMar>
            <w:vAlign w:val="center"/>
          </w:tcPr>
          <w:p w:rsidR="00546642" w:rsidRDefault="00E70E27">
            <w:pPr>
              <w:spacing w:before="120" w:after="120"/>
              <w:jc w:val="center"/>
              <w:rPr>
                <w:rFonts w:eastAsia="PMingLiU"/>
                <w:lang w:val="de-DE" w:eastAsia="zh-TW"/>
              </w:rPr>
            </w:pPr>
            <w:r>
              <w:rPr>
                <w:rFonts w:eastAsia="PMingLiU" w:hint="eastAsia"/>
                <w:lang w:val="de-DE" w:eastAsia="zh-TW"/>
              </w:rPr>
              <w:t>M</w:t>
            </w:r>
            <w:r>
              <w:rPr>
                <w:rFonts w:eastAsia="PMingLiU"/>
                <w:lang w:val="de-DE" w:eastAsia="zh-TW"/>
              </w:rPr>
              <w:t>ediaTek</w:t>
            </w:r>
          </w:p>
        </w:tc>
        <w:tc>
          <w:tcPr>
            <w:tcW w:w="7180" w:type="dxa"/>
            <w:tcMar>
              <w:top w:w="0" w:type="dxa"/>
              <w:left w:w="108" w:type="dxa"/>
              <w:bottom w:w="0" w:type="dxa"/>
              <w:right w:w="108" w:type="dxa"/>
            </w:tcMar>
            <w:vAlign w:val="center"/>
          </w:tcPr>
          <w:p w:rsidR="00546642" w:rsidRDefault="00E70E27">
            <w:pPr>
              <w:spacing w:before="120" w:after="120"/>
              <w:jc w:val="center"/>
              <w:rPr>
                <w:rFonts w:eastAsia="PMingLiU"/>
                <w:lang w:val="de-DE" w:eastAsia="zh-TW"/>
              </w:rPr>
            </w:pPr>
            <w:r>
              <w:rPr>
                <w:rFonts w:eastAsia="PMingLiU" w:hint="eastAsia"/>
                <w:lang w:val="de-DE" w:eastAsia="zh-TW"/>
              </w:rPr>
              <w:t>M</w:t>
            </w:r>
            <w:r>
              <w:rPr>
                <w:rFonts w:eastAsia="PMingLiU"/>
                <w:lang w:val="de-DE" w:eastAsia="zh-TW"/>
              </w:rPr>
              <w:t>utai Lin, morton.lin@mediatek.com</w:t>
            </w:r>
          </w:p>
        </w:tc>
      </w:tr>
      <w:tr w:rsidR="00546642">
        <w:trPr>
          <w:trHeight w:val="467"/>
        </w:trPr>
        <w:tc>
          <w:tcPr>
            <w:tcW w:w="2231" w:type="dxa"/>
            <w:tcMar>
              <w:top w:w="0" w:type="dxa"/>
              <w:left w:w="108" w:type="dxa"/>
              <w:bottom w:w="0" w:type="dxa"/>
              <w:right w:w="108" w:type="dxa"/>
            </w:tcMar>
            <w:vAlign w:val="center"/>
          </w:tcPr>
          <w:p w:rsidR="00546642" w:rsidRDefault="00E70E27">
            <w:pPr>
              <w:spacing w:before="120" w:after="120"/>
              <w:jc w:val="center"/>
              <w:rPr>
                <w:rFonts w:eastAsia="宋体"/>
                <w:lang w:val="en-US" w:eastAsia="zh-CN"/>
              </w:rPr>
            </w:pPr>
            <w:r>
              <w:rPr>
                <w:rFonts w:eastAsia="宋体" w:hint="eastAsia"/>
                <w:lang w:val="en-US" w:eastAsia="zh-CN"/>
              </w:rPr>
              <w:t>ZTE</w:t>
            </w:r>
          </w:p>
        </w:tc>
        <w:tc>
          <w:tcPr>
            <w:tcW w:w="7180" w:type="dxa"/>
            <w:tcMar>
              <w:top w:w="0" w:type="dxa"/>
              <w:left w:w="108" w:type="dxa"/>
              <w:bottom w:w="0" w:type="dxa"/>
              <w:right w:w="108" w:type="dxa"/>
            </w:tcMar>
            <w:vAlign w:val="center"/>
          </w:tcPr>
          <w:p w:rsidR="00546642" w:rsidRDefault="00E70E27">
            <w:pPr>
              <w:spacing w:before="120" w:after="120"/>
              <w:jc w:val="center"/>
              <w:rPr>
                <w:rFonts w:eastAsia="宋体"/>
                <w:lang w:val="en-US" w:eastAsia="zh-CN"/>
              </w:rPr>
            </w:pPr>
            <w:r>
              <w:rPr>
                <w:rFonts w:eastAsia="宋体" w:hint="eastAsia"/>
                <w:lang w:val="en-US" w:eastAsia="zh-CN"/>
              </w:rPr>
              <w:t xml:space="preserve">Wenting Li, </w:t>
            </w:r>
            <w:hyperlink r:id="rId12" w:history="1">
              <w:r>
                <w:rPr>
                  <w:rStyle w:val="afb"/>
                  <w:rFonts w:eastAsia="宋体" w:hint="eastAsia"/>
                  <w:lang w:val="en-US" w:eastAsia="zh-CN"/>
                </w:rPr>
                <w:t>li.wenting@zte.com.cn</w:t>
              </w:r>
            </w:hyperlink>
          </w:p>
          <w:p w:rsidR="00546642" w:rsidRDefault="00E70E27">
            <w:pPr>
              <w:spacing w:before="120" w:after="120"/>
              <w:jc w:val="both"/>
              <w:rPr>
                <w:rFonts w:eastAsia="宋体"/>
                <w:lang w:val="en-US" w:eastAsia="zh-CN"/>
              </w:rPr>
            </w:pPr>
            <w:r>
              <w:rPr>
                <w:rFonts w:eastAsia="宋体" w:hint="eastAsia"/>
                <w:lang w:val="en-US" w:eastAsia="zh-CN"/>
              </w:rPr>
              <w:t xml:space="preserve">                     Mengjie Zhang </w:t>
            </w:r>
            <w:hyperlink r:id="rId13" w:history="1">
              <w:r>
                <w:rPr>
                  <w:rStyle w:val="afb"/>
                  <w:rFonts w:eastAsia="宋体" w:hint="eastAsia"/>
                  <w:lang w:val="en-US" w:eastAsia="zh-CN"/>
                </w:rPr>
                <w:t>zhang.mengjie@zte.c</w:t>
              </w:r>
              <w:r>
                <w:rPr>
                  <w:rStyle w:val="afb"/>
                  <w:rFonts w:eastAsia="宋体" w:hint="eastAsia"/>
                  <w:lang w:val="en-US" w:eastAsia="zh-CN"/>
                </w:rPr>
                <w:t>om.cn</w:t>
              </w:r>
            </w:hyperlink>
          </w:p>
        </w:tc>
      </w:tr>
      <w:tr w:rsidR="00760D93">
        <w:trPr>
          <w:trHeight w:val="467"/>
        </w:trPr>
        <w:tc>
          <w:tcPr>
            <w:tcW w:w="2231" w:type="dxa"/>
            <w:tcMar>
              <w:top w:w="0" w:type="dxa"/>
              <w:left w:w="108" w:type="dxa"/>
              <w:bottom w:w="0" w:type="dxa"/>
              <w:right w:w="108" w:type="dxa"/>
            </w:tcMar>
            <w:vAlign w:val="center"/>
          </w:tcPr>
          <w:p w:rsidR="00760D93" w:rsidRDefault="00760D93">
            <w:pPr>
              <w:spacing w:before="120" w:after="120"/>
              <w:jc w:val="center"/>
              <w:rPr>
                <w:rFonts w:eastAsia="宋体" w:hint="eastAsia"/>
                <w:lang w:val="en-US" w:eastAsia="zh-CN"/>
              </w:rPr>
            </w:pPr>
            <w:r>
              <w:rPr>
                <w:rFonts w:eastAsia="宋体" w:hint="eastAsia"/>
                <w:lang w:val="en-US" w:eastAsia="zh-CN"/>
              </w:rPr>
              <w:t>Huawei</w:t>
            </w:r>
            <w:r>
              <w:rPr>
                <w:rFonts w:eastAsia="宋体"/>
                <w:lang w:val="en-US" w:eastAsia="zh-CN"/>
              </w:rPr>
              <w:t>, HiSilicon</w:t>
            </w:r>
          </w:p>
        </w:tc>
        <w:tc>
          <w:tcPr>
            <w:tcW w:w="7180" w:type="dxa"/>
            <w:tcMar>
              <w:top w:w="0" w:type="dxa"/>
              <w:left w:w="108" w:type="dxa"/>
              <w:bottom w:w="0" w:type="dxa"/>
              <w:right w:w="108" w:type="dxa"/>
            </w:tcMar>
            <w:vAlign w:val="center"/>
          </w:tcPr>
          <w:p w:rsidR="00760D93" w:rsidRDefault="00760D93">
            <w:pPr>
              <w:spacing w:before="120" w:after="120"/>
              <w:jc w:val="center"/>
              <w:rPr>
                <w:rFonts w:eastAsia="宋体" w:hint="eastAsia"/>
                <w:lang w:val="en-US" w:eastAsia="zh-CN"/>
              </w:rPr>
            </w:pPr>
            <w:r>
              <w:rPr>
                <w:rFonts w:eastAsia="宋体" w:hint="eastAsia"/>
                <w:lang w:val="en-US" w:eastAsia="zh-CN"/>
              </w:rPr>
              <w:t>z</w:t>
            </w:r>
            <w:r>
              <w:rPr>
                <w:rFonts w:eastAsia="宋体"/>
                <w:lang w:val="en-US" w:eastAsia="zh-CN"/>
              </w:rPr>
              <w:t>haoyang@huawei.com</w:t>
            </w:r>
          </w:p>
        </w:tc>
      </w:tr>
    </w:tbl>
    <w:p w:rsidR="00546642" w:rsidRDefault="00546642">
      <w:pPr>
        <w:pStyle w:val="a6"/>
        <w:rPr>
          <w:rFonts w:cs="Arial"/>
          <w:lang w:val="de-DE"/>
        </w:rPr>
      </w:pPr>
    </w:p>
    <w:p w:rsidR="00546642" w:rsidRDefault="00E70E27">
      <w:pPr>
        <w:pStyle w:val="a6"/>
        <w:rPr>
          <w:rFonts w:cs="Arial"/>
        </w:rPr>
      </w:pPr>
      <w:r>
        <w:rPr>
          <w:rFonts w:cs="Arial"/>
        </w:rPr>
        <w:t>The following documents were treated:</w:t>
      </w:r>
    </w:p>
    <w:p w:rsidR="00546642" w:rsidRDefault="00E70E27">
      <w:pPr>
        <w:pStyle w:val="BoldComments"/>
        <w:rPr>
          <w:lang w:val="en-GB"/>
        </w:rPr>
      </w:pPr>
      <w:r>
        <w:rPr>
          <w:lang w:val="en-GB"/>
        </w:rPr>
        <w:t>n</w:t>
      </w:r>
      <w:r w:rsidRPr="00760D93">
        <w:rPr>
          <w:lang w:val="en-US"/>
        </w:rPr>
        <w:t>77</w:t>
      </w:r>
    </w:p>
    <w:p w:rsidR="00546642" w:rsidRDefault="00E70E27">
      <w:pPr>
        <w:pStyle w:val="Comments"/>
      </w:pPr>
      <w:r>
        <w:t>Corrections</w:t>
      </w:r>
    </w:p>
    <w:p w:rsidR="00546642" w:rsidRDefault="00E70E27">
      <w:pPr>
        <w:pStyle w:val="Doc-title"/>
      </w:pPr>
      <w:hyperlink r:id="rId14" w:history="1">
        <w:r>
          <w:rPr>
            <w:rStyle w:val="afb"/>
          </w:rPr>
          <w:t>R2-2205870</w:t>
        </w:r>
      </w:hyperlink>
      <w:r>
        <w:tab/>
        <w:t>Terminology for n77 extension</w:t>
      </w:r>
      <w:r>
        <w:tab/>
        <w:t>Ericsson</w:t>
      </w:r>
      <w:r>
        <w:tab/>
        <w:t>CR</w:t>
      </w:r>
      <w:r>
        <w:tab/>
        <w:t>Rel-16</w:t>
      </w:r>
      <w:r>
        <w:tab/>
        <w:t>36.306</w:t>
      </w:r>
      <w:r>
        <w:tab/>
        <w:t>16.8.0</w:t>
      </w:r>
      <w:r>
        <w:tab/>
        <w:t>1848</w:t>
      </w:r>
      <w:r>
        <w:tab/>
        <w:t>-</w:t>
      </w:r>
      <w:r>
        <w:tab/>
        <w:t>F</w:t>
      </w:r>
      <w:r>
        <w:tab/>
        <w:t>TEI17</w:t>
      </w:r>
    </w:p>
    <w:p w:rsidR="00546642" w:rsidRDefault="00E70E27">
      <w:pPr>
        <w:pStyle w:val="Doc-title"/>
      </w:pPr>
      <w:hyperlink r:id="rId15" w:history="1">
        <w:r>
          <w:rPr>
            <w:rStyle w:val="afb"/>
          </w:rPr>
          <w:t>R2-2205871</w:t>
        </w:r>
      </w:hyperlink>
      <w:r>
        <w:tab/>
        <w:t>Terminology for n77 extension</w:t>
      </w:r>
      <w:r>
        <w:tab/>
        <w:t>Ericsson</w:t>
      </w:r>
      <w:r>
        <w:tab/>
        <w:t>CR</w:t>
      </w:r>
      <w:r>
        <w:tab/>
        <w:t>Rel-17</w:t>
      </w:r>
      <w:r>
        <w:tab/>
        <w:t>36.306</w:t>
      </w:r>
      <w:r>
        <w:tab/>
        <w:t>17.0.0</w:t>
      </w:r>
      <w:r>
        <w:tab/>
        <w:t>1849</w:t>
      </w:r>
      <w:r>
        <w:tab/>
        <w:t>-</w:t>
      </w:r>
      <w:r>
        <w:tab/>
        <w:t>A</w:t>
      </w:r>
      <w:r>
        <w:tab/>
        <w:t>TEI17</w:t>
      </w:r>
    </w:p>
    <w:p w:rsidR="00546642" w:rsidRDefault="00E70E27">
      <w:pPr>
        <w:pStyle w:val="Doc-title"/>
      </w:pPr>
      <w:hyperlink r:id="rId16" w:history="1">
        <w:r>
          <w:rPr>
            <w:rStyle w:val="afb"/>
          </w:rPr>
          <w:t>R2</w:t>
        </w:r>
        <w:r>
          <w:rPr>
            <w:rStyle w:val="afb"/>
          </w:rPr>
          <w:t>-2205872</w:t>
        </w:r>
      </w:hyperlink>
      <w:r>
        <w:tab/>
        <w:t>Terminology for n77 extension</w:t>
      </w:r>
      <w:r>
        <w:tab/>
        <w:t>Ericsson</w:t>
      </w:r>
      <w:r>
        <w:tab/>
        <w:t>CR</w:t>
      </w:r>
      <w:r>
        <w:tab/>
        <w:t>Rel-16</w:t>
      </w:r>
      <w:r>
        <w:tab/>
        <w:t>36.331</w:t>
      </w:r>
      <w:r>
        <w:tab/>
        <w:t>16.8.0</w:t>
      </w:r>
      <w:r>
        <w:tab/>
        <w:t>4811</w:t>
      </w:r>
      <w:r>
        <w:tab/>
        <w:t>-</w:t>
      </w:r>
      <w:r>
        <w:tab/>
        <w:t>F</w:t>
      </w:r>
      <w:r>
        <w:tab/>
        <w:t>TEI17</w:t>
      </w:r>
    </w:p>
    <w:p w:rsidR="00546642" w:rsidRDefault="00E70E27">
      <w:pPr>
        <w:pStyle w:val="Doc-title"/>
      </w:pPr>
      <w:hyperlink r:id="rId17" w:history="1">
        <w:r>
          <w:rPr>
            <w:rStyle w:val="afb"/>
          </w:rPr>
          <w:t>R2-2205873</w:t>
        </w:r>
      </w:hyperlink>
      <w:r>
        <w:tab/>
        <w:t>Terminology for n77 extension</w:t>
      </w:r>
      <w:r>
        <w:tab/>
        <w:t>Ericsson</w:t>
      </w:r>
      <w:r>
        <w:tab/>
        <w:t>CR</w:t>
      </w:r>
      <w:r>
        <w:tab/>
        <w:t>Rel-17</w:t>
      </w:r>
      <w:r>
        <w:tab/>
        <w:t>36.331</w:t>
      </w:r>
      <w:r>
        <w:tab/>
        <w:t>17.0.0</w:t>
      </w:r>
      <w:r>
        <w:tab/>
      </w:r>
      <w:r>
        <w:t>4812</w:t>
      </w:r>
      <w:r>
        <w:tab/>
        <w:t>-</w:t>
      </w:r>
      <w:r>
        <w:tab/>
        <w:t>A</w:t>
      </w:r>
      <w:r>
        <w:tab/>
        <w:t>TEI17</w:t>
      </w:r>
    </w:p>
    <w:p w:rsidR="00546642" w:rsidRDefault="00E70E27">
      <w:pPr>
        <w:pStyle w:val="Doc-title"/>
      </w:pPr>
      <w:hyperlink r:id="rId18" w:history="1">
        <w:r>
          <w:rPr>
            <w:rStyle w:val="afb"/>
          </w:rPr>
          <w:t>R2-2205874</w:t>
        </w:r>
      </w:hyperlink>
      <w:r>
        <w:tab/>
        <w:t>Terminology for n77 extension</w:t>
      </w:r>
      <w:r>
        <w:tab/>
        <w:t>Ericsson</w:t>
      </w:r>
      <w:r>
        <w:tab/>
        <w:t>CR</w:t>
      </w:r>
      <w:r>
        <w:tab/>
        <w:t>Rel-16</w:t>
      </w:r>
      <w:r>
        <w:tab/>
        <w:t>38.306</w:t>
      </w:r>
      <w:r>
        <w:tab/>
        <w:t>16.8.0</w:t>
      </w:r>
      <w:r>
        <w:tab/>
        <w:t>0726</w:t>
      </w:r>
      <w:r>
        <w:tab/>
        <w:t>-</w:t>
      </w:r>
      <w:r>
        <w:tab/>
        <w:t>F</w:t>
      </w:r>
      <w:r>
        <w:tab/>
        <w:t>TEI17</w:t>
      </w:r>
    </w:p>
    <w:p w:rsidR="00546642" w:rsidRDefault="00E70E27">
      <w:pPr>
        <w:pStyle w:val="Doc-title"/>
      </w:pPr>
      <w:hyperlink r:id="rId19" w:history="1">
        <w:r>
          <w:rPr>
            <w:rStyle w:val="afb"/>
          </w:rPr>
          <w:t>R2-2205875</w:t>
        </w:r>
      </w:hyperlink>
      <w:r>
        <w:tab/>
        <w:t>Terminology for n77 extension</w:t>
      </w:r>
      <w:r>
        <w:tab/>
        <w:t>Ericsson</w:t>
      </w:r>
      <w:r>
        <w:tab/>
        <w:t>CR</w:t>
      </w:r>
      <w:r>
        <w:tab/>
        <w:t>Rel-17</w:t>
      </w:r>
      <w:r>
        <w:tab/>
        <w:t>38.306</w:t>
      </w:r>
      <w:r>
        <w:tab/>
        <w:t>17.0.0</w:t>
      </w:r>
      <w:r>
        <w:tab/>
        <w:t>0727</w:t>
      </w:r>
      <w:r>
        <w:tab/>
        <w:t>-</w:t>
      </w:r>
      <w:r>
        <w:tab/>
        <w:t>A</w:t>
      </w:r>
      <w:r>
        <w:tab/>
        <w:t>TEI17</w:t>
      </w:r>
    </w:p>
    <w:p w:rsidR="00546642" w:rsidRDefault="00546642">
      <w:pPr>
        <w:pStyle w:val="a6"/>
        <w:rPr>
          <w:rFonts w:cs="Arial"/>
        </w:rPr>
      </w:pPr>
    </w:p>
    <w:p w:rsidR="00546642" w:rsidRDefault="00E70E27">
      <w:pPr>
        <w:pStyle w:val="BoldComments"/>
        <w:rPr>
          <w:lang w:val="en-GB"/>
        </w:rPr>
      </w:pPr>
      <w:r>
        <w:rPr>
          <w:lang w:val="en-GB"/>
        </w:rPr>
        <w:t>DSS</w:t>
      </w:r>
    </w:p>
    <w:p w:rsidR="00546642" w:rsidRDefault="00E70E27">
      <w:pPr>
        <w:pStyle w:val="Doc-title"/>
      </w:pPr>
      <w:hyperlink r:id="rId20" w:history="1">
        <w:r>
          <w:rPr>
            <w:rStyle w:val="afb"/>
          </w:rPr>
          <w:t>R2-2205511</w:t>
        </w:r>
      </w:hyperlink>
      <w:r>
        <w:tab/>
        <w:t>Editorial correction for NR dynam</w:t>
      </w:r>
      <w:r>
        <w:t>ic spectrum sharing</w:t>
      </w:r>
      <w:r>
        <w:tab/>
        <w:t>Ericsson</w:t>
      </w:r>
      <w:r>
        <w:tab/>
        <w:t>CR</w:t>
      </w:r>
      <w:r>
        <w:tab/>
        <w:t>Rel-17</w:t>
      </w:r>
      <w:r>
        <w:tab/>
        <w:t>38.331</w:t>
      </w:r>
      <w:r>
        <w:tab/>
        <w:t>17.0.0</w:t>
      </w:r>
      <w:r>
        <w:tab/>
        <w:t>3094</w:t>
      </w:r>
      <w:r>
        <w:tab/>
        <w:t>-</w:t>
      </w:r>
      <w:r>
        <w:tab/>
        <w:t>F</w:t>
      </w:r>
      <w:r>
        <w:tab/>
        <w:t>NR_DSS_enh</w:t>
      </w:r>
    </w:p>
    <w:p w:rsidR="00546642" w:rsidRDefault="00546642">
      <w:pPr>
        <w:pStyle w:val="a6"/>
        <w:rPr>
          <w:rFonts w:cs="Arial"/>
        </w:rPr>
      </w:pPr>
    </w:p>
    <w:p w:rsidR="00546642" w:rsidRDefault="00E70E27">
      <w:pPr>
        <w:pStyle w:val="1"/>
      </w:pPr>
      <w:bookmarkStart w:id="1" w:name="_Ref178064866"/>
      <w:r>
        <w:t>2</w:t>
      </w:r>
      <w:r>
        <w:tab/>
        <w:t>Discussion</w:t>
      </w:r>
      <w:bookmarkEnd w:id="1"/>
    </w:p>
    <w:p w:rsidR="00546642" w:rsidRDefault="00E70E27">
      <w:pPr>
        <w:pStyle w:val="21"/>
      </w:pPr>
      <w:r>
        <w:t>2.1</w:t>
      </w:r>
      <w:r>
        <w:tab/>
        <w:t>Terminology for n77 extension</w:t>
      </w:r>
    </w:p>
    <w:p w:rsidR="00546642" w:rsidRDefault="00E70E27">
      <w:pPr>
        <w:pStyle w:val="Doc-title"/>
        <w:ind w:left="0" w:firstLine="0"/>
      </w:pPr>
      <w:r>
        <w:rPr>
          <w:rFonts w:cs="Arial"/>
        </w:rPr>
        <w:t xml:space="preserve">The CRs in </w:t>
      </w:r>
      <w:hyperlink r:id="rId21" w:history="1">
        <w:r>
          <w:rPr>
            <w:rStyle w:val="afb"/>
          </w:rPr>
          <w:t>R2-2205870</w:t>
        </w:r>
      </w:hyperlink>
      <w:r>
        <w:t xml:space="preserve"> – </w:t>
      </w:r>
      <w:hyperlink r:id="rId22" w:history="1">
        <w:r>
          <w:rPr>
            <w:rStyle w:val="afb"/>
          </w:rPr>
          <w:t>R2-2205875</w:t>
        </w:r>
      </w:hyperlink>
      <w:r>
        <w:t xml:space="preserve"> propose to change the field description for the capability bit “extendedBand-n77-r16”. The change has three parts:</w:t>
      </w:r>
    </w:p>
    <w:p w:rsidR="00546642" w:rsidRDefault="00546642">
      <w:pPr>
        <w:rPr>
          <w:rFonts w:ascii="Arial" w:hAnsi="Arial" w:cs="Arial"/>
        </w:rPr>
      </w:pPr>
    </w:p>
    <w:p w:rsidR="00546642" w:rsidRPr="00760D93" w:rsidRDefault="00E70E27">
      <w:pPr>
        <w:pStyle w:val="afe"/>
        <w:numPr>
          <w:ilvl w:val="0"/>
          <w:numId w:val="13"/>
        </w:numPr>
        <w:rPr>
          <w:rFonts w:ascii="Arial" w:hAnsi="Arial" w:cs="Arial"/>
          <w:lang w:val="en-US"/>
        </w:rPr>
      </w:pPr>
      <w:r>
        <w:rPr>
          <w:rFonts w:ascii="Arial" w:hAnsi="Arial" w:cs="Arial"/>
          <w:lang w:val="sv-SE"/>
        </w:rPr>
        <w:t>Change from that ”</w:t>
      </w:r>
      <w:r>
        <w:rPr>
          <w:rFonts w:ascii="Arial" w:hAnsi="Arial" w:cs="Arial"/>
          <w:i/>
          <w:iCs/>
          <w:lang w:val="sv-SE"/>
        </w:rPr>
        <w:t xml:space="preserve">the UE supports the </w:t>
      </w:r>
      <w:r>
        <w:rPr>
          <w:rFonts w:ascii="Arial" w:hAnsi="Arial" w:cs="Arial"/>
          <w:b/>
          <w:bCs/>
          <w:i/>
          <w:iCs/>
          <w:lang w:val="sv-SE"/>
        </w:rPr>
        <w:t>restriction</w:t>
      </w:r>
      <w:r>
        <w:rPr>
          <w:rFonts w:ascii="Arial" w:hAnsi="Arial" w:cs="Arial"/>
          <w:i/>
          <w:iCs/>
          <w:lang w:val="sv-SE"/>
        </w:rPr>
        <w:t xml:space="preserve"> t</w:t>
      </w:r>
      <w:r>
        <w:rPr>
          <w:rFonts w:ascii="Arial" w:hAnsi="Arial" w:cs="Arial"/>
          <w:i/>
          <w:iCs/>
          <w:lang w:val="sv-SE"/>
        </w:rPr>
        <w:t>o 3450 – 3550 MHz and 3700 – 3980 MHz ranges</w:t>
      </w:r>
      <w:r>
        <w:rPr>
          <w:rFonts w:ascii="Arial" w:hAnsi="Arial" w:cs="Arial"/>
          <w:lang w:val="sv-SE"/>
        </w:rPr>
        <w:t>” to ”</w:t>
      </w:r>
      <w:r>
        <w:rPr>
          <w:rFonts w:ascii="Arial" w:hAnsi="Arial" w:cs="Arial"/>
          <w:i/>
          <w:iCs/>
          <w:lang w:val="sv-SE"/>
        </w:rPr>
        <w:t xml:space="preserve">the UE supports </w:t>
      </w:r>
      <w:r>
        <w:rPr>
          <w:rFonts w:ascii="Arial" w:hAnsi="Arial" w:cs="Arial"/>
          <w:b/>
          <w:bCs/>
          <w:i/>
          <w:iCs/>
          <w:lang w:val="sv-SE"/>
        </w:rPr>
        <w:t>operation in</w:t>
      </w:r>
      <w:r>
        <w:rPr>
          <w:rFonts w:ascii="Arial" w:hAnsi="Arial" w:cs="Arial"/>
          <w:i/>
          <w:iCs/>
          <w:lang w:val="sv-SE"/>
        </w:rPr>
        <w:t xml:space="preserve"> both 3450 – 3550 MHz and 3700 – 3980 MHz ranges</w:t>
      </w:r>
      <w:r>
        <w:rPr>
          <w:rFonts w:ascii="Arial" w:hAnsi="Arial" w:cs="Arial"/>
          <w:lang w:val="sv-SE"/>
        </w:rPr>
        <w:t>”</w:t>
      </w:r>
    </w:p>
    <w:p w:rsidR="00546642" w:rsidRPr="00760D93" w:rsidRDefault="00E70E27">
      <w:pPr>
        <w:pStyle w:val="afe"/>
        <w:numPr>
          <w:ilvl w:val="0"/>
          <w:numId w:val="13"/>
        </w:numPr>
        <w:rPr>
          <w:rFonts w:ascii="Arial" w:hAnsi="Arial" w:cs="Arial"/>
          <w:lang w:val="en-US"/>
        </w:rPr>
      </w:pPr>
      <w:r>
        <w:rPr>
          <w:rFonts w:ascii="Arial" w:hAnsi="Arial" w:cs="Arial"/>
          <w:lang w:val="sv-SE"/>
        </w:rPr>
        <w:t>Removing reference to the particular note in the RAN4-table in 38.101-1, and instead refer to the table as a whole.</w:t>
      </w:r>
    </w:p>
    <w:p w:rsidR="00546642" w:rsidRPr="00760D93" w:rsidRDefault="00E70E27">
      <w:pPr>
        <w:pStyle w:val="afe"/>
        <w:numPr>
          <w:ilvl w:val="0"/>
          <w:numId w:val="13"/>
        </w:numPr>
        <w:rPr>
          <w:rFonts w:ascii="Arial" w:hAnsi="Arial" w:cs="Arial"/>
          <w:lang w:val="en-US"/>
        </w:rPr>
      </w:pPr>
      <w:r>
        <w:rPr>
          <w:rFonts w:ascii="Arial" w:hAnsi="Arial" w:cs="Arial"/>
          <w:lang w:val="sv-SE"/>
        </w:rPr>
        <w:t>Clarifying t</w:t>
      </w:r>
      <w:r>
        <w:rPr>
          <w:rFonts w:ascii="Arial" w:hAnsi="Arial" w:cs="Arial"/>
          <w:lang w:val="sv-SE"/>
        </w:rPr>
        <w:t>hat a UE that supports the NS value 55 shall also indicate the capability bit.</w:t>
      </w:r>
    </w:p>
    <w:p w:rsidR="00546642" w:rsidRDefault="00546642">
      <w:pPr>
        <w:rPr>
          <w:rFonts w:ascii="Arial" w:hAnsi="Arial" w:cs="Arial"/>
        </w:rPr>
      </w:pPr>
    </w:p>
    <w:p w:rsidR="00546642" w:rsidRDefault="00E70E27">
      <w:pPr>
        <w:rPr>
          <w:rFonts w:ascii="Arial" w:hAnsi="Arial" w:cs="Arial"/>
        </w:rPr>
      </w:pPr>
      <w:r>
        <w:rPr>
          <w:rFonts w:ascii="Arial" w:hAnsi="Arial" w:cs="Arial"/>
        </w:rPr>
        <w:t>The actual change results in the following (from 36.306):</w:t>
      </w:r>
    </w:p>
    <w:p w:rsidR="00546642" w:rsidRDefault="00E70E27">
      <w:pPr>
        <w:ind w:left="426" w:right="567"/>
        <w:jc w:val="both"/>
      </w:pPr>
      <w:r>
        <w:t xml:space="preserve">This field is only applicable for Ues that indicate support for band n77. If present, the UE supports </w:t>
      </w:r>
      <w:del w:id="2" w:author="Ericsson" w:date="2022-04-25T18:40:00Z">
        <w:r>
          <w:delText xml:space="preserve">the restriction </w:delText>
        </w:r>
        <w:r>
          <w:delText xml:space="preserve">to </w:delText>
        </w:r>
      </w:del>
      <w:ins w:id="3" w:author="Ericsson" w:date="2022-04-25T18:40:00Z">
        <w:r>
          <w:t xml:space="preserve">operation in both </w:t>
        </w:r>
      </w:ins>
      <w:r>
        <w:t xml:space="preserve">3450 – 3550 MHz and 3700 – 3980 MHz ranges of band n77 in the USA as specified in </w:t>
      </w:r>
      <w:del w:id="4" w:author="Ericsson" w:date="2022-04-25T18:40:00Z">
        <w:r>
          <w:delText xml:space="preserve">Note 12 of </w:delText>
        </w:r>
      </w:del>
      <w:r>
        <w:t xml:space="preserve">Table 5.2-1 in TS 38.101-1 [33]. If absent, the UE supports only </w:t>
      </w:r>
      <w:del w:id="5" w:author="Ericsson" w:date="2022-04-25T18:40:00Z">
        <w:r>
          <w:delText xml:space="preserve">restriction </w:delText>
        </w:r>
      </w:del>
      <w:ins w:id="6" w:author="Ericsson" w:date="2022-04-25T18:40:00Z">
        <w:r>
          <w:t>op</w:t>
        </w:r>
      </w:ins>
      <w:ins w:id="7" w:author="Ericsson" w:date="2022-04-25T18:41:00Z">
        <w:r>
          <w:t xml:space="preserve">eration in </w:t>
        </w:r>
      </w:ins>
      <w:del w:id="8" w:author="Ericsson" w:date="2022-04-25T18:41:00Z">
        <w:r>
          <w:delText xml:space="preserve">to </w:delText>
        </w:r>
      </w:del>
      <w:r>
        <w:t xml:space="preserve">the 3700 – 3980 MHz range of band n77 in the USA. A UE </w:t>
      </w:r>
      <w:del w:id="9" w:author="Ericsson" w:date="2022-04-25T19:18:00Z">
        <w:r>
          <w:delText xml:space="preserve">that </w:delText>
        </w:r>
      </w:del>
      <w:r>
        <w:t xml:space="preserve">indicates this field </w:t>
      </w:r>
      <w:ins w:id="10" w:author="Ericsson" w:date="2022-04-25T19:18:00Z">
        <w:r>
          <w:t xml:space="preserve">if and only if it </w:t>
        </w:r>
      </w:ins>
      <w:del w:id="11" w:author="Ericsson" w:date="2022-04-25T19:18:00Z">
        <w:r>
          <w:delText xml:space="preserve">shall also </w:delText>
        </w:r>
      </w:del>
      <w:r>
        <w:t>support</w:t>
      </w:r>
      <w:ins w:id="12" w:author="Ericsson" w:date="2022-04-25T19:18:00Z">
        <w:r>
          <w:t>s</w:t>
        </w:r>
      </w:ins>
      <w:r>
        <w:t xml:space="preserve"> NS value 55 as specified in TS 38.101-1 [33].</w:t>
      </w:r>
    </w:p>
    <w:p w:rsidR="00546642" w:rsidRDefault="00546642">
      <w:pPr>
        <w:rPr>
          <w:rFonts w:ascii="Arial" w:hAnsi="Arial" w:cs="Arial"/>
        </w:rPr>
      </w:pPr>
    </w:p>
    <w:p w:rsidR="00546642" w:rsidRDefault="00E70E27">
      <w:pPr>
        <w:pStyle w:val="31"/>
      </w:pPr>
      <w:r>
        <w:t>2.1.1</w:t>
      </w:r>
      <w:r>
        <w:tab/>
        <w:t>“Restriction” to “operation”</w:t>
      </w:r>
    </w:p>
    <w:p w:rsidR="00546642" w:rsidRDefault="00E70E27">
      <w:pPr>
        <w:rPr>
          <w:rFonts w:ascii="Arial" w:hAnsi="Arial" w:cs="Arial"/>
        </w:rPr>
      </w:pPr>
      <w:r>
        <w:rPr>
          <w:rFonts w:ascii="Arial" w:hAnsi="Arial" w:cs="Arial"/>
        </w:rPr>
        <w:t>The first change of the CR is to change from wording sa</w:t>
      </w:r>
      <w:r>
        <w:rPr>
          <w:rFonts w:ascii="Arial" w:hAnsi="Arial" w:cs="Arial"/>
        </w:rPr>
        <w:t>ying that the UE supports “restriction to” certain frequency ranges, and instead say that the UE supports “operation in” frequency ranges.</w:t>
      </w:r>
    </w:p>
    <w:p w:rsidR="00546642" w:rsidRDefault="00E70E27">
      <w:pPr>
        <w:rPr>
          <w:rFonts w:ascii="Arial" w:hAnsi="Arial" w:cs="Arial"/>
          <w:b/>
          <w:bCs/>
        </w:rPr>
      </w:pPr>
      <w:r>
        <w:rPr>
          <w:rFonts w:ascii="Arial" w:hAnsi="Arial" w:cs="Arial"/>
          <w:b/>
          <w:bCs/>
        </w:rPr>
        <w:t>Q1: Do you agree to change the description for extendedBand-n77-r16 from wording saying that “</w:t>
      </w:r>
      <w:r>
        <w:rPr>
          <w:rFonts w:ascii="Arial" w:hAnsi="Arial" w:cs="Arial"/>
          <w:b/>
          <w:bCs/>
          <w:i/>
          <w:iCs/>
        </w:rPr>
        <w:t>UE supports restriction</w:t>
      </w:r>
      <w:r>
        <w:rPr>
          <w:rFonts w:ascii="Arial" w:hAnsi="Arial" w:cs="Arial"/>
          <w:b/>
          <w:bCs/>
          <w:i/>
          <w:iCs/>
        </w:rPr>
        <w:t xml:space="preserve"> to &lt;frequency ranges&gt;</w:t>
      </w:r>
      <w:r>
        <w:rPr>
          <w:rFonts w:ascii="Arial" w:hAnsi="Arial" w:cs="Arial"/>
          <w:b/>
          <w:bCs/>
        </w:rPr>
        <w:t>” to “</w:t>
      </w:r>
      <w:r>
        <w:rPr>
          <w:rFonts w:ascii="Arial" w:hAnsi="Arial" w:cs="Arial"/>
          <w:b/>
          <w:bCs/>
          <w:i/>
          <w:iCs/>
        </w:rPr>
        <w:t>UE supports operation in &lt;frequency ranges&gt;</w:t>
      </w:r>
      <w:r>
        <w:rPr>
          <w:rFonts w:ascii="Arial" w:hAnsi="Arial" w:cs="Arial"/>
          <w:b/>
          <w:bCs/>
        </w:rPr>
        <w:t>”?</w:t>
      </w:r>
    </w:p>
    <w:tbl>
      <w:tblPr>
        <w:tblStyle w:val="af5"/>
        <w:tblW w:w="9634" w:type="dxa"/>
        <w:tblLook w:val="04A0" w:firstRow="1" w:lastRow="0" w:firstColumn="1" w:lastColumn="0" w:noHBand="0" w:noVBand="1"/>
      </w:tblPr>
      <w:tblGrid>
        <w:gridCol w:w="1340"/>
        <w:gridCol w:w="1875"/>
        <w:gridCol w:w="6419"/>
      </w:tblGrid>
      <w:tr w:rsidR="00546642">
        <w:tc>
          <w:tcPr>
            <w:tcW w:w="1340" w:type="dxa"/>
            <w:shd w:val="clear" w:color="auto" w:fill="00B0F0"/>
          </w:tcPr>
          <w:p w:rsidR="00546642" w:rsidRDefault="00E70E27">
            <w:pPr>
              <w:spacing w:after="0"/>
              <w:jc w:val="both"/>
              <w:rPr>
                <w:rFonts w:eastAsia="Calibri"/>
                <w:b/>
                <w:bCs/>
                <w:lang w:val="de-DE"/>
              </w:rPr>
            </w:pPr>
            <w:r>
              <w:rPr>
                <w:rFonts w:eastAsia="Calibri"/>
                <w:b/>
                <w:bCs/>
                <w:lang w:val="de-DE"/>
              </w:rPr>
              <w:t>Company</w:t>
            </w:r>
          </w:p>
        </w:tc>
        <w:tc>
          <w:tcPr>
            <w:tcW w:w="1875" w:type="dxa"/>
            <w:shd w:val="clear" w:color="auto" w:fill="00B0F0"/>
          </w:tcPr>
          <w:p w:rsidR="00546642" w:rsidRDefault="00E70E27">
            <w:pPr>
              <w:spacing w:after="0"/>
              <w:jc w:val="both"/>
              <w:rPr>
                <w:rFonts w:eastAsia="Calibri"/>
                <w:b/>
                <w:bCs/>
                <w:lang w:val="de-DE"/>
              </w:rPr>
            </w:pPr>
            <w:r>
              <w:rPr>
                <w:rFonts w:eastAsia="Calibri"/>
                <w:b/>
                <w:bCs/>
                <w:lang w:val="de-DE"/>
              </w:rPr>
              <w:t>Answer</w:t>
            </w:r>
          </w:p>
        </w:tc>
        <w:tc>
          <w:tcPr>
            <w:tcW w:w="6419" w:type="dxa"/>
            <w:shd w:val="clear" w:color="auto" w:fill="00B0F0"/>
          </w:tcPr>
          <w:p w:rsidR="00546642" w:rsidRDefault="00E70E27">
            <w:pPr>
              <w:spacing w:after="0"/>
              <w:jc w:val="both"/>
              <w:rPr>
                <w:rFonts w:eastAsia="Calibri"/>
                <w:b/>
                <w:bCs/>
                <w:lang w:val="de-DE"/>
              </w:rPr>
            </w:pPr>
            <w:r>
              <w:rPr>
                <w:rFonts w:eastAsia="Calibri"/>
                <w:b/>
                <w:bCs/>
                <w:lang w:val="de-DE"/>
              </w:rPr>
              <w:t>Comments</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rsidR="00546642" w:rsidRDefault="00E70E27">
            <w:pPr>
              <w:spacing w:after="0"/>
              <w:jc w:val="both"/>
              <w:rPr>
                <w:rFonts w:eastAsia="Calibri"/>
                <w:lang w:val="de-DE"/>
              </w:rPr>
            </w:pPr>
            <w:r>
              <w:rPr>
                <w:rFonts w:eastAsia="Calibri"/>
                <w:lang w:val="de-DE"/>
              </w:rPr>
              <w:t>Yes</w:t>
            </w:r>
          </w:p>
        </w:tc>
        <w:tc>
          <w:tcPr>
            <w:tcW w:w="6419" w:type="dxa"/>
          </w:tcPr>
          <w:p w:rsidR="00546642" w:rsidRDefault="00E70E27">
            <w:pPr>
              <w:spacing w:after="0"/>
              <w:jc w:val="both"/>
              <w:rPr>
                <w:rFonts w:eastAsia="Calibri"/>
                <w:lang w:val="de-DE"/>
              </w:rPr>
            </w:pPr>
            <w:r>
              <w:rPr>
                <w:rFonts w:eastAsia="Calibri"/>
                <w:lang w:val="de-DE"/>
              </w:rPr>
              <w:t>To support a restriction to a frequency range, is in our mind less clear than to support operation in a frequency range.</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Apple</w:t>
            </w:r>
          </w:p>
        </w:tc>
        <w:tc>
          <w:tcPr>
            <w:tcW w:w="1875" w:type="dxa"/>
          </w:tcPr>
          <w:p w:rsidR="00546642" w:rsidRDefault="00E70E27">
            <w:pPr>
              <w:spacing w:after="0"/>
              <w:jc w:val="both"/>
              <w:rPr>
                <w:rFonts w:eastAsia="Calibri"/>
                <w:lang w:val="de-DE"/>
              </w:rPr>
            </w:pPr>
            <w:r>
              <w:rPr>
                <w:rFonts w:eastAsia="Calibri"/>
                <w:lang w:val="de-DE"/>
              </w:rPr>
              <w:t>No</w:t>
            </w:r>
          </w:p>
        </w:tc>
        <w:tc>
          <w:tcPr>
            <w:tcW w:w="6419" w:type="dxa"/>
          </w:tcPr>
          <w:p w:rsidR="00546642" w:rsidRDefault="00E70E27">
            <w:pPr>
              <w:spacing w:after="0"/>
              <w:jc w:val="both"/>
              <w:rPr>
                <w:rFonts w:eastAsia="Calibri"/>
                <w:lang w:val="de-DE"/>
              </w:rPr>
            </w:pPr>
            <w:r>
              <w:rPr>
                <w:rFonts w:eastAsia="Calibri"/>
                <w:lang w:val="de-DE"/>
              </w:rPr>
              <w:t>We think this</w:t>
            </w:r>
            <w:r>
              <w:rPr>
                <w:rFonts w:eastAsia="Calibri"/>
                <w:lang w:val="de-DE"/>
              </w:rPr>
              <w:t xml:space="preserve"> is not needed, and also there was sufficient discussion/review of the wording in RAN plenary and we prefer to keep it this way.</w:t>
            </w:r>
          </w:p>
        </w:tc>
      </w:tr>
      <w:tr w:rsidR="00546642">
        <w:tc>
          <w:tcPr>
            <w:tcW w:w="1340" w:type="dxa"/>
          </w:tcPr>
          <w:p w:rsidR="00546642" w:rsidRDefault="00E70E27">
            <w:pPr>
              <w:spacing w:after="0"/>
              <w:jc w:val="both"/>
              <w:rPr>
                <w:rFonts w:eastAsia="Yu Mincho"/>
                <w:lang w:val="de-DE"/>
              </w:rPr>
            </w:pPr>
            <w:r>
              <w:rPr>
                <w:rFonts w:eastAsia="Yu Mincho" w:hint="eastAsia"/>
                <w:lang w:val="de-DE"/>
              </w:rPr>
              <w:lastRenderedPageBreak/>
              <w:t>Q</w:t>
            </w:r>
            <w:r>
              <w:rPr>
                <w:rFonts w:eastAsia="Yu Mincho"/>
                <w:lang w:val="de-DE"/>
              </w:rPr>
              <w:t>ualcomm Incorporated</w:t>
            </w:r>
          </w:p>
        </w:tc>
        <w:tc>
          <w:tcPr>
            <w:tcW w:w="1875" w:type="dxa"/>
          </w:tcPr>
          <w:p w:rsidR="00546642" w:rsidRDefault="00E70E27">
            <w:pPr>
              <w:spacing w:after="0"/>
              <w:jc w:val="both"/>
              <w:rPr>
                <w:rFonts w:eastAsia="Yu Mincho"/>
                <w:lang w:val="de-DE"/>
              </w:rPr>
            </w:pPr>
            <w:r>
              <w:rPr>
                <w:rFonts w:eastAsia="Yu Mincho" w:hint="eastAsia"/>
                <w:lang w:val="de-DE"/>
              </w:rPr>
              <w:t>N</w:t>
            </w:r>
            <w:r>
              <w:rPr>
                <w:rFonts w:eastAsia="Yu Mincho"/>
                <w:lang w:val="de-DE"/>
              </w:rPr>
              <w:t>o</w:t>
            </w:r>
          </w:p>
        </w:tc>
        <w:tc>
          <w:tcPr>
            <w:tcW w:w="6419" w:type="dxa"/>
          </w:tcPr>
          <w:p w:rsidR="00546642" w:rsidRDefault="00E70E27">
            <w:pPr>
              <w:spacing w:after="0"/>
              <w:jc w:val="both"/>
              <w:rPr>
                <w:rFonts w:eastAsia="Yu Mincho"/>
                <w:lang w:val="de-DE"/>
              </w:rPr>
            </w:pPr>
            <w:r>
              <w:rPr>
                <w:rFonts w:eastAsia="Yu Mincho" w:hint="eastAsia"/>
                <w:lang w:val="de-DE"/>
              </w:rPr>
              <w:t>A</w:t>
            </w:r>
            <w:r>
              <w:rPr>
                <w:rFonts w:eastAsia="Yu Mincho"/>
                <w:lang w:val="de-DE"/>
              </w:rPr>
              <w:t>gree with Apple that changing the word „restriction“ can invite repetition of RAN discussions.</w:t>
            </w:r>
          </w:p>
        </w:tc>
      </w:tr>
      <w:tr w:rsidR="00546642">
        <w:tc>
          <w:tcPr>
            <w:tcW w:w="1340" w:type="dxa"/>
          </w:tcPr>
          <w:p w:rsidR="00546642" w:rsidRDefault="00E70E27">
            <w:pPr>
              <w:spacing w:after="0"/>
              <w:jc w:val="both"/>
              <w:rPr>
                <w:rFonts w:eastAsia="Yu Mincho"/>
                <w:lang w:val="de-DE"/>
              </w:rPr>
            </w:pPr>
            <w:r>
              <w:rPr>
                <w:rFonts w:eastAsia="Yu Mincho"/>
                <w:lang w:val="de-DE"/>
              </w:rPr>
              <w:t>Sams</w:t>
            </w:r>
            <w:r>
              <w:rPr>
                <w:rFonts w:eastAsia="Yu Mincho"/>
                <w:lang w:val="de-DE"/>
              </w:rPr>
              <w:t>ung</w:t>
            </w:r>
          </w:p>
        </w:tc>
        <w:tc>
          <w:tcPr>
            <w:tcW w:w="1875" w:type="dxa"/>
          </w:tcPr>
          <w:p w:rsidR="00546642" w:rsidRDefault="00E70E27">
            <w:pPr>
              <w:spacing w:after="0"/>
              <w:jc w:val="both"/>
              <w:rPr>
                <w:rFonts w:eastAsia="Yu Mincho"/>
                <w:lang w:val="de-DE"/>
              </w:rPr>
            </w:pPr>
            <w:r>
              <w:rPr>
                <w:rFonts w:eastAsia="Yu Mincho"/>
                <w:lang w:val="de-DE"/>
              </w:rPr>
              <w:t>No</w:t>
            </w:r>
          </w:p>
        </w:tc>
        <w:tc>
          <w:tcPr>
            <w:tcW w:w="6419" w:type="dxa"/>
          </w:tcPr>
          <w:p w:rsidR="00546642" w:rsidRDefault="00E70E27">
            <w:pPr>
              <w:spacing w:after="0"/>
              <w:jc w:val="both"/>
              <w:rPr>
                <w:rFonts w:eastAsia="Yu Mincho"/>
                <w:lang w:val="de-DE"/>
              </w:rPr>
            </w:pPr>
            <w:r>
              <w:rPr>
                <w:rFonts w:eastAsia="Yu Mincho"/>
                <w:lang w:val="de-DE"/>
              </w:rPr>
              <w:t>The term "restriction" is also used in RAN4 specification (i.e., NOTE 12 of Table 5.2-1 in TS 38.101-1), so the current text is fine to us.</w:t>
            </w:r>
          </w:p>
        </w:tc>
      </w:tr>
      <w:tr w:rsidR="00546642">
        <w:tc>
          <w:tcPr>
            <w:tcW w:w="1340" w:type="dxa"/>
          </w:tcPr>
          <w:p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 with comments</w:t>
            </w:r>
          </w:p>
        </w:tc>
        <w:tc>
          <w:tcPr>
            <w:tcW w:w="6419" w:type="dxa"/>
          </w:tcPr>
          <w:p w:rsidR="00546642" w:rsidRDefault="00E70E27">
            <w:pPr>
              <w:spacing w:after="0"/>
              <w:jc w:val="both"/>
              <w:rPr>
                <w:rFonts w:eastAsia="PMingLiU"/>
                <w:lang w:val="de-DE" w:eastAsia="zh-TW"/>
              </w:rPr>
            </w:pPr>
            <w:r>
              <w:rPr>
                <w:rFonts w:eastAsia="PMingLiU"/>
                <w:lang w:val="de-DE" w:eastAsia="zh-TW"/>
              </w:rPr>
              <w:t>This part text/wording had been discussed in RAN#93e. It’s always good to clarify</w:t>
            </w:r>
            <w:r>
              <w:rPr>
                <w:rFonts w:eastAsia="PMingLiU"/>
                <w:lang w:val="de-DE" w:eastAsia="zh-TW"/>
              </w:rPr>
              <w:t xml:space="preserve"> definition but we would like to ask to check if no conflict with the use of n77 Canada is foreseen so that new text/wording could be more future-proof (at least for North America).</w:t>
            </w:r>
          </w:p>
          <w:p w:rsidR="00546642" w:rsidRDefault="00E70E27">
            <w:pPr>
              <w:spacing w:after="0"/>
              <w:jc w:val="both"/>
              <w:rPr>
                <w:rFonts w:eastAsia="PMingLiU"/>
                <w:lang w:val="de-DE" w:eastAsia="zh-TW"/>
              </w:rPr>
            </w:pPr>
            <w:r>
              <w:rPr>
                <w:rFonts w:eastAsia="PMingLiU" w:hint="eastAsia"/>
                <w:lang w:val="de-DE" w:eastAsia="zh-TW"/>
              </w:rPr>
              <w:t>M</w:t>
            </w:r>
            <w:r>
              <w:rPr>
                <w:rFonts w:eastAsia="PMingLiU"/>
                <w:lang w:val="de-DE" w:eastAsia="zh-TW"/>
              </w:rPr>
              <w:t>eanwhile we have same feeling the term „restricted“ is more suitbale in t</w:t>
            </w:r>
            <w:r>
              <w:rPr>
                <w:rFonts w:eastAsia="PMingLiU"/>
                <w:lang w:val="de-DE" w:eastAsia="zh-TW"/>
              </w:rPr>
              <w:t>he context of NOTE12 in 38.101 but is not that coherent in the field description of 36.306.</w:t>
            </w:r>
          </w:p>
        </w:tc>
      </w:tr>
      <w:tr w:rsidR="00546642">
        <w:tc>
          <w:tcPr>
            <w:tcW w:w="1340" w:type="dxa"/>
          </w:tcPr>
          <w:p w:rsidR="00546642" w:rsidRDefault="00E70E27">
            <w:pPr>
              <w:spacing w:after="0"/>
              <w:jc w:val="both"/>
              <w:rPr>
                <w:rFonts w:eastAsia="宋体"/>
                <w:lang w:val="en-US" w:eastAsia="zh-CN"/>
              </w:rPr>
            </w:pPr>
            <w:r>
              <w:rPr>
                <w:rFonts w:eastAsia="宋体" w:hint="eastAsia"/>
                <w:lang w:val="en-US" w:eastAsia="zh-CN"/>
              </w:rPr>
              <w:t>ZTE</w:t>
            </w:r>
          </w:p>
        </w:tc>
        <w:tc>
          <w:tcPr>
            <w:tcW w:w="1875" w:type="dxa"/>
          </w:tcPr>
          <w:p w:rsidR="00546642" w:rsidRDefault="00E70E27">
            <w:pPr>
              <w:spacing w:after="0"/>
              <w:jc w:val="both"/>
              <w:rPr>
                <w:rFonts w:eastAsia="宋体"/>
                <w:lang w:val="en-US" w:eastAsia="zh-CN"/>
              </w:rPr>
            </w:pPr>
            <w:r>
              <w:rPr>
                <w:rFonts w:eastAsia="宋体" w:hint="eastAsia"/>
                <w:lang w:val="en-US" w:eastAsia="zh-CN"/>
              </w:rPr>
              <w:t>No</w:t>
            </w:r>
          </w:p>
        </w:tc>
        <w:tc>
          <w:tcPr>
            <w:tcW w:w="6419" w:type="dxa"/>
          </w:tcPr>
          <w:p w:rsidR="00546642" w:rsidRDefault="00E70E27">
            <w:pPr>
              <w:spacing w:after="0"/>
              <w:jc w:val="both"/>
              <w:rPr>
                <w:rFonts w:eastAsia="宋体"/>
                <w:lang w:val="en-US" w:eastAsia="zh-CN"/>
              </w:rPr>
            </w:pPr>
            <w:r>
              <w:rPr>
                <w:rFonts w:eastAsia="宋体" w:hint="eastAsia"/>
                <w:lang w:val="en-US" w:eastAsia="zh-CN"/>
              </w:rPr>
              <w:t>Similar view as Apple, we prefer to keep it as it is.</w:t>
            </w:r>
          </w:p>
        </w:tc>
      </w:tr>
      <w:tr w:rsidR="00760D93">
        <w:tc>
          <w:tcPr>
            <w:tcW w:w="1340" w:type="dxa"/>
          </w:tcPr>
          <w:p w:rsidR="00760D93" w:rsidRDefault="00760D93">
            <w:pPr>
              <w:spacing w:after="0"/>
              <w:jc w:val="both"/>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875" w:type="dxa"/>
          </w:tcPr>
          <w:p w:rsidR="00760D93" w:rsidRDefault="00760D93">
            <w:pPr>
              <w:spacing w:after="0"/>
              <w:jc w:val="both"/>
              <w:rPr>
                <w:rFonts w:eastAsia="宋体" w:hint="eastAsia"/>
                <w:lang w:val="en-US" w:eastAsia="zh-CN"/>
              </w:rPr>
            </w:pPr>
            <w:r>
              <w:rPr>
                <w:rFonts w:eastAsia="宋体" w:hint="eastAsia"/>
                <w:lang w:val="en-US" w:eastAsia="zh-CN"/>
              </w:rPr>
              <w:t>N</w:t>
            </w:r>
            <w:r>
              <w:rPr>
                <w:rFonts w:eastAsia="宋体"/>
                <w:lang w:val="en-US" w:eastAsia="zh-CN"/>
              </w:rPr>
              <w:t>o</w:t>
            </w:r>
          </w:p>
        </w:tc>
        <w:tc>
          <w:tcPr>
            <w:tcW w:w="6419" w:type="dxa"/>
          </w:tcPr>
          <w:p w:rsidR="00760D93" w:rsidRDefault="00760D93">
            <w:pPr>
              <w:spacing w:after="0"/>
              <w:jc w:val="both"/>
              <w:rPr>
                <w:rFonts w:eastAsia="宋体" w:hint="eastAsia"/>
                <w:lang w:val="en-US" w:eastAsia="zh-CN"/>
              </w:rPr>
            </w:pPr>
            <w:r>
              <w:rPr>
                <w:rFonts w:eastAsia="宋体"/>
                <w:lang w:val="en-US" w:eastAsia="zh-CN"/>
              </w:rPr>
              <w:t>No big difference, we can go with the majority.</w:t>
            </w:r>
          </w:p>
        </w:tc>
      </w:tr>
    </w:tbl>
    <w:p w:rsidR="00546642" w:rsidRDefault="00546642">
      <w:pPr>
        <w:rPr>
          <w:rFonts w:ascii="Arial" w:hAnsi="Arial" w:cs="Arial"/>
        </w:rPr>
      </w:pPr>
    </w:p>
    <w:p w:rsidR="00546642" w:rsidRDefault="00546642">
      <w:pPr>
        <w:rPr>
          <w:rFonts w:ascii="Arial" w:hAnsi="Arial" w:cs="Arial"/>
        </w:rPr>
      </w:pPr>
    </w:p>
    <w:p w:rsidR="00546642" w:rsidRDefault="00E70E27">
      <w:pPr>
        <w:pStyle w:val="31"/>
      </w:pPr>
      <w:r>
        <w:t>2.1.2</w:t>
      </w:r>
      <w:r>
        <w:tab/>
        <w:t>Reference to table as a whole</w:t>
      </w:r>
    </w:p>
    <w:p w:rsidR="00546642" w:rsidRDefault="00E70E27">
      <w:pPr>
        <w:rPr>
          <w:rFonts w:ascii="Arial" w:hAnsi="Arial" w:cs="Arial"/>
        </w:rPr>
      </w:pPr>
      <w:r>
        <w:rPr>
          <w:rFonts w:ascii="Arial" w:hAnsi="Arial" w:cs="Arial"/>
        </w:rPr>
        <w:t xml:space="preserve">The second change of the CR is to remove the reference to the </w:t>
      </w:r>
      <w:r>
        <w:rPr>
          <w:rFonts w:ascii="Arial" w:hAnsi="Arial" w:cs="Arial"/>
        </w:rPr>
        <w:t>particular note in the RAN4 table (i.e. Note 12), and instead refer to the table as a whole.</w:t>
      </w:r>
    </w:p>
    <w:p w:rsidR="00546642" w:rsidRDefault="00E70E27">
      <w:pPr>
        <w:rPr>
          <w:rFonts w:ascii="Arial" w:hAnsi="Arial" w:cs="Arial"/>
          <w:b/>
          <w:bCs/>
        </w:rPr>
      </w:pPr>
      <w:r>
        <w:rPr>
          <w:rFonts w:ascii="Arial" w:hAnsi="Arial" w:cs="Arial"/>
          <w:b/>
          <w:bCs/>
        </w:rPr>
        <w:t>Q2: Do you agree to refer to Table 5.2-1 as a whole, rather than to Note 12 in this table specifically?</w:t>
      </w:r>
    </w:p>
    <w:tbl>
      <w:tblPr>
        <w:tblStyle w:val="af5"/>
        <w:tblW w:w="9634" w:type="dxa"/>
        <w:tblLook w:val="04A0" w:firstRow="1" w:lastRow="0" w:firstColumn="1" w:lastColumn="0" w:noHBand="0" w:noVBand="1"/>
      </w:tblPr>
      <w:tblGrid>
        <w:gridCol w:w="1340"/>
        <w:gridCol w:w="1875"/>
        <w:gridCol w:w="6419"/>
      </w:tblGrid>
      <w:tr w:rsidR="00546642">
        <w:tc>
          <w:tcPr>
            <w:tcW w:w="1340" w:type="dxa"/>
            <w:shd w:val="clear" w:color="auto" w:fill="00B0F0"/>
          </w:tcPr>
          <w:p w:rsidR="00546642" w:rsidRDefault="00E70E27">
            <w:pPr>
              <w:spacing w:after="0"/>
              <w:jc w:val="both"/>
              <w:rPr>
                <w:rFonts w:eastAsia="Calibri"/>
                <w:b/>
                <w:bCs/>
                <w:lang w:val="de-DE"/>
              </w:rPr>
            </w:pPr>
            <w:r>
              <w:rPr>
                <w:rFonts w:eastAsia="Calibri"/>
                <w:b/>
                <w:bCs/>
                <w:lang w:val="de-DE"/>
              </w:rPr>
              <w:t>Company</w:t>
            </w:r>
          </w:p>
        </w:tc>
        <w:tc>
          <w:tcPr>
            <w:tcW w:w="1875" w:type="dxa"/>
            <w:shd w:val="clear" w:color="auto" w:fill="00B0F0"/>
          </w:tcPr>
          <w:p w:rsidR="00546642" w:rsidRDefault="00E70E27">
            <w:pPr>
              <w:spacing w:after="0"/>
              <w:jc w:val="both"/>
              <w:rPr>
                <w:rFonts w:eastAsia="Calibri"/>
                <w:b/>
                <w:bCs/>
                <w:lang w:val="de-DE"/>
              </w:rPr>
            </w:pPr>
            <w:r>
              <w:rPr>
                <w:rFonts w:eastAsia="Calibri"/>
                <w:b/>
                <w:bCs/>
                <w:lang w:val="de-DE"/>
              </w:rPr>
              <w:t>Answer</w:t>
            </w:r>
          </w:p>
        </w:tc>
        <w:tc>
          <w:tcPr>
            <w:tcW w:w="6419" w:type="dxa"/>
            <w:shd w:val="clear" w:color="auto" w:fill="00B0F0"/>
          </w:tcPr>
          <w:p w:rsidR="00546642" w:rsidRDefault="00E70E27">
            <w:pPr>
              <w:spacing w:after="0"/>
              <w:jc w:val="both"/>
              <w:rPr>
                <w:rFonts w:eastAsia="Calibri"/>
                <w:b/>
                <w:bCs/>
                <w:lang w:val="de-DE"/>
              </w:rPr>
            </w:pPr>
            <w:r>
              <w:rPr>
                <w:rFonts w:eastAsia="Calibri"/>
                <w:b/>
                <w:bCs/>
                <w:lang w:val="de-DE"/>
              </w:rPr>
              <w:t>Comments</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rsidR="00546642" w:rsidRDefault="00E70E27">
            <w:pPr>
              <w:spacing w:after="0"/>
              <w:jc w:val="both"/>
              <w:rPr>
                <w:rFonts w:eastAsia="Calibri"/>
                <w:lang w:val="de-DE"/>
              </w:rPr>
            </w:pPr>
            <w:r>
              <w:rPr>
                <w:rFonts w:eastAsia="Calibri"/>
                <w:lang w:val="de-DE"/>
              </w:rPr>
              <w:t>Yes</w:t>
            </w:r>
          </w:p>
        </w:tc>
        <w:tc>
          <w:tcPr>
            <w:tcW w:w="6419" w:type="dxa"/>
          </w:tcPr>
          <w:p w:rsidR="00546642" w:rsidRDefault="00E70E27">
            <w:pPr>
              <w:spacing w:after="0"/>
              <w:jc w:val="both"/>
              <w:rPr>
                <w:rFonts w:eastAsia="Calibri"/>
                <w:lang w:val="de-DE"/>
              </w:rPr>
            </w:pPr>
            <w:r>
              <w:rPr>
                <w:rFonts w:eastAsia="Calibri"/>
                <w:lang w:val="de-DE"/>
              </w:rPr>
              <w:t xml:space="preserve">The table as a whole </w:t>
            </w:r>
            <w:r>
              <w:rPr>
                <w:rFonts w:eastAsia="Calibri"/>
                <w:lang w:val="de-DE"/>
              </w:rPr>
              <w:t>is relevant.</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Apple</w:t>
            </w:r>
          </w:p>
        </w:tc>
        <w:tc>
          <w:tcPr>
            <w:tcW w:w="1875" w:type="dxa"/>
          </w:tcPr>
          <w:p w:rsidR="00546642" w:rsidRDefault="00E70E27">
            <w:pPr>
              <w:spacing w:after="0"/>
              <w:jc w:val="both"/>
              <w:rPr>
                <w:rFonts w:eastAsia="Calibri"/>
                <w:lang w:val="de-DE"/>
              </w:rPr>
            </w:pPr>
            <w:r>
              <w:rPr>
                <w:rFonts w:eastAsia="Calibri"/>
                <w:lang w:val="de-DE"/>
              </w:rPr>
              <w:t>Not sure</w:t>
            </w:r>
          </w:p>
        </w:tc>
        <w:tc>
          <w:tcPr>
            <w:tcW w:w="6419" w:type="dxa"/>
          </w:tcPr>
          <w:p w:rsidR="00546642" w:rsidRDefault="00E70E27">
            <w:pPr>
              <w:spacing w:after="0"/>
              <w:jc w:val="both"/>
              <w:rPr>
                <w:rFonts w:eastAsia="Calibri"/>
                <w:lang w:val="de-DE"/>
              </w:rPr>
            </w:pPr>
            <w:r>
              <w:rPr>
                <w:rFonts w:eastAsia="Calibri"/>
                <w:lang w:val="de-DE"/>
              </w:rPr>
              <w:t>Atleast when this CR was introduced, this was specifically to NOTE, so without progress on the other n77 discussion, it might be pre-mature to point to the whole table. We are open to discusison.</w:t>
            </w:r>
          </w:p>
        </w:tc>
      </w:tr>
      <w:tr w:rsidR="00546642">
        <w:tc>
          <w:tcPr>
            <w:tcW w:w="1340" w:type="dxa"/>
          </w:tcPr>
          <w:p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rsidR="00546642" w:rsidRDefault="00E70E27">
            <w:pPr>
              <w:spacing w:after="0"/>
              <w:jc w:val="both"/>
              <w:rPr>
                <w:rFonts w:eastAsia="Yu Mincho"/>
                <w:lang w:val="de-DE"/>
              </w:rPr>
            </w:pPr>
            <w:r>
              <w:rPr>
                <w:rFonts w:eastAsia="Yu Mincho" w:hint="eastAsia"/>
                <w:lang w:val="de-DE"/>
              </w:rPr>
              <w:t>Y</w:t>
            </w:r>
            <w:r>
              <w:rPr>
                <w:rFonts w:eastAsia="Yu Mincho"/>
                <w:lang w:val="de-DE"/>
              </w:rPr>
              <w:t>es</w:t>
            </w:r>
          </w:p>
        </w:tc>
        <w:tc>
          <w:tcPr>
            <w:tcW w:w="6419" w:type="dxa"/>
          </w:tcPr>
          <w:p w:rsidR="00546642" w:rsidRDefault="00E70E27">
            <w:pPr>
              <w:spacing w:after="0"/>
              <w:jc w:val="both"/>
              <w:rPr>
                <w:rFonts w:eastAsia="Yu Mincho"/>
                <w:lang w:val="de-DE"/>
              </w:rPr>
            </w:pPr>
            <w:r>
              <w:rPr>
                <w:rFonts w:eastAsia="Yu Mincho" w:hint="eastAsia"/>
                <w:lang w:val="de-DE"/>
              </w:rPr>
              <w:t>W</w:t>
            </w:r>
            <w:r>
              <w:rPr>
                <w:rFonts w:eastAsia="Yu Mincho"/>
                <w:lang w:val="de-DE"/>
              </w:rPr>
              <w:t>e c</w:t>
            </w:r>
            <w:r>
              <w:rPr>
                <w:rFonts w:eastAsia="Yu Mincho"/>
                <w:lang w:val="de-DE"/>
              </w:rPr>
              <w:t xml:space="preserve">an support removing the reference to Note 12, becasue RAN4 may change the content of the Note in the future (as they did in the past) and then the 306 text will no longer be correct. </w:t>
            </w:r>
            <w:r>
              <w:rPr>
                <w:rFonts w:eastAsia="Yu Mincho" w:hint="eastAsia"/>
                <w:lang w:val="de-DE"/>
              </w:rPr>
              <w:t>S</w:t>
            </w:r>
            <w:r>
              <w:rPr>
                <w:rFonts w:eastAsia="Yu Mincho"/>
                <w:lang w:val="de-DE"/>
              </w:rPr>
              <w:t>uch change can be incorporated into rapporteur’s collective CR.</w:t>
            </w:r>
          </w:p>
          <w:p w:rsidR="00546642" w:rsidRDefault="00E70E27">
            <w:pPr>
              <w:spacing w:after="0"/>
              <w:jc w:val="both"/>
              <w:rPr>
                <w:rFonts w:eastAsia="Yu Mincho"/>
                <w:lang w:val="de-DE"/>
              </w:rPr>
            </w:pPr>
            <w:r>
              <w:rPr>
                <w:rFonts w:eastAsia="Yu Mincho" w:hint="eastAsia"/>
                <w:lang w:val="de-DE"/>
              </w:rPr>
              <w:t>I</w:t>
            </w:r>
            <w:r>
              <w:rPr>
                <w:rFonts w:eastAsia="Yu Mincho"/>
                <w:lang w:val="de-DE"/>
              </w:rPr>
              <w:t xml:space="preserve">t </w:t>
            </w:r>
            <w:r>
              <w:rPr>
                <w:rFonts w:eastAsia="Yu Mincho"/>
                <w:lang w:val="de-DE"/>
              </w:rPr>
              <w:t>should be followed in Canadian n77 case.</w:t>
            </w:r>
          </w:p>
        </w:tc>
      </w:tr>
      <w:tr w:rsidR="00546642">
        <w:tc>
          <w:tcPr>
            <w:tcW w:w="1340" w:type="dxa"/>
          </w:tcPr>
          <w:p w:rsidR="00546642" w:rsidRDefault="00E70E27">
            <w:pPr>
              <w:spacing w:after="0"/>
              <w:jc w:val="both"/>
              <w:rPr>
                <w:rFonts w:eastAsia="Yu Mincho"/>
                <w:lang w:val="de-DE"/>
              </w:rPr>
            </w:pPr>
            <w:r>
              <w:rPr>
                <w:rFonts w:eastAsia="Yu Mincho"/>
                <w:lang w:val="de-DE"/>
              </w:rPr>
              <w:t>Samsung</w:t>
            </w:r>
          </w:p>
        </w:tc>
        <w:tc>
          <w:tcPr>
            <w:tcW w:w="1875" w:type="dxa"/>
          </w:tcPr>
          <w:p w:rsidR="00546642" w:rsidRDefault="00E70E27">
            <w:pPr>
              <w:spacing w:after="0"/>
              <w:jc w:val="both"/>
              <w:rPr>
                <w:rFonts w:eastAsia="Yu Mincho"/>
                <w:lang w:val="de-DE"/>
              </w:rPr>
            </w:pPr>
            <w:r>
              <w:rPr>
                <w:rFonts w:eastAsia="Yu Mincho"/>
                <w:lang w:val="de-DE"/>
              </w:rPr>
              <w:t>No</w:t>
            </w:r>
          </w:p>
        </w:tc>
        <w:tc>
          <w:tcPr>
            <w:tcW w:w="6419" w:type="dxa"/>
          </w:tcPr>
          <w:p w:rsidR="00546642" w:rsidRDefault="00E70E27">
            <w:pPr>
              <w:spacing w:after="0"/>
              <w:jc w:val="both"/>
              <w:rPr>
                <w:rFonts w:eastAsia="Yu Mincho"/>
                <w:lang w:val="de-DE"/>
              </w:rPr>
            </w:pPr>
            <w:r>
              <w:rPr>
                <w:rFonts w:eastAsia="Yu Mincho"/>
                <w:lang w:val="de-DE"/>
              </w:rPr>
              <w:t>It should be fine to refer the specific NOTE as the capbility is only about USA. Also, in general, the numbering should not be updated during CR implementation in the future.</w:t>
            </w:r>
          </w:p>
        </w:tc>
      </w:tr>
      <w:tr w:rsidR="00546642">
        <w:tc>
          <w:tcPr>
            <w:tcW w:w="1340" w:type="dxa"/>
          </w:tcPr>
          <w:p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w:t>
            </w:r>
          </w:p>
        </w:tc>
        <w:tc>
          <w:tcPr>
            <w:tcW w:w="6419" w:type="dxa"/>
          </w:tcPr>
          <w:p w:rsidR="00546642" w:rsidRDefault="00546642">
            <w:pPr>
              <w:spacing w:after="0"/>
              <w:jc w:val="both"/>
              <w:rPr>
                <w:rFonts w:eastAsia="Yu Mincho"/>
                <w:lang w:val="de-DE"/>
              </w:rPr>
            </w:pPr>
          </w:p>
        </w:tc>
      </w:tr>
      <w:tr w:rsidR="00546642">
        <w:tc>
          <w:tcPr>
            <w:tcW w:w="1340" w:type="dxa"/>
          </w:tcPr>
          <w:p w:rsidR="00546642" w:rsidRDefault="00E70E27">
            <w:pPr>
              <w:spacing w:after="0"/>
              <w:jc w:val="center"/>
              <w:rPr>
                <w:rFonts w:eastAsia="宋体"/>
                <w:lang w:val="en-US" w:eastAsia="zh-CN"/>
              </w:rPr>
            </w:pPr>
            <w:r>
              <w:rPr>
                <w:rFonts w:eastAsia="宋体" w:hint="eastAsia"/>
                <w:lang w:val="en-US" w:eastAsia="zh-CN"/>
              </w:rPr>
              <w:t>ZTE</w:t>
            </w:r>
          </w:p>
        </w:tc>
        <w:tc>
          <w:tcPr>
            <w:tcW w:w="1875" w:type="dxa"/>
          </w:tcPr>
          <w:p w:rsidR="00546642" w:rsidRDefault="00546642">
            <w:pPr>
              <w:spacing w:after="0"/>
              <w:jc w:val="both"/>
              <w:rPr>
                <w:rFonts w:eastAsia="宋体"/>
                <w:lang w:val="en-US" w:eastAsia="zh-CN"/>
              </w:rPr>
            </w:pPr>
          </w:p>
        </w:tc>
        <w:tc>
          <w:tcPr>
            <w:tcW w:w="6419" w:type="dxa"/>
          </w:tcPr>
          <w:p w:rsidR="00546642" w:rsidRDefault="00E70E27">
            <w:pPr>
              <w:spacing w:after="0"/>
              <w:jc w:val="both"/>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it</w:t>
            </w:r>
            <w:r>
              <w:rPr>
                <w:rFonts w:eastAsia="宋体"/>
                <w:lang w:val="en-US" w:eastAsia="zh-CN"/>
              </w:rPr>
              <w:t>’</w:t>
            </w:r>
            <w:r>
              <w:rPr>
                <w:rFonts w:eastAsia="宋体" w:hint="eastAsia"/>
                <w:lang w:val="en-US" w:eastAsia="zh-CN"/>
              </w:rPr>
              <w:t>s an essential correction. We are also open to discuss.</w:t>
            </w:r>
          </w:p>
        </w:tc>
      </w:tr>
      <w:tr w:rsidR="00760D93">
        <w:tc>
          <w:tcPr>
            <w:tcW w:w="1340" w:type="dxa"/>
          </w:tcPr>
          <w:p w:rsidR="00760D93" w:rsidRDefault="00760D93">
            <w:pPr>
              <w:spacing w:after="0"/>
              <w:jc w:val="cente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875" w:type="dxa"/>
          </w:tcPr>
          <w:p w:rsidR="00760D93" w:rsidRDefault="00E1328C">
            <w:pPr>
              <w:spacing w:after="0"/>
              <w:jc w:val="both"/>
              <w:rPr>
                <w:rFonts w:eastAsia="宋体"/>
                <w:lang w:val="en-US" w:eastAsia="zh-CN"/>
              </w:rPr>
            </w:pPr>
            <w:r>
              <w:rPr>
                <w:rFonts w:eastAsia="宋体" w:hint="eastAsia"/>
                <w:lang w:val="en-US" w:eastAsia="zh-CN"/>
              </w:rPr>
              <w:t>N</w:t>
            </w:r>
            <w:r>
              <w:rPr>
                <w:rFonts w:eastAsia="宋体"/>
                <w:lang w:val="en-US" w:eastAsia="zh-CN"/>
              </w:rPr>
              <w:t>ot sure</w:t>
            </w:r>
            <w:bookmarkStart w:id="13" w:name="_GoBack"/>
            <w:bookmarkEnd w:id="13"/>
          </w:p>
        </w:tc>
        <w:tc>
          <w:tcPr>
            <w:tcW w:w="6419" w:type="dxa"/>
          </w:tcPr>
          <w:p w:rsidR="00760D93" w:rsidRDefault="00760D93">
            <w:pPr>
              <w:spacing w:after="0"/>
              <w:jc w:val="both"/>
              <w:rPr>
                <w:rFonts w:eastAsia="宋体" w:hint="eastAsia"/>
                <w:lang w:val="en-US" w:eastAsia="zh-CN"/>
              </w:rPr>
            </w:pPr>
            <w:r>
              <w:rPr>
                <w:rFonts w:eastAsia="宋体"/>
                <w:lang w:val="en-US" w:eastAsia="zh-CN"/>
              </w:rPr>
              <w:t xml:space="preserve">Agree </w:t>
            </w:r>
            <w:r w:rsidR="00E1328C">
              <w:rPr>
                <w:rFonts w:eastAsia="宋体"/>
                <w:lang w:val="en-US" w:eastAsia="zh-CN"/>
              </w:rPr>
              <w:t>with Apple.</w:t>
            </w:r>
          </w:p>
        </w:tc>
      </w:tr>
    </w:tbl>
    <w:p w:rsidR="00546642" w:rsidRDefault="00546642">
      <w:pPr>
        <w:rPr>
          <w:rFonts w:ascii="Arial" w:hAnsi="Arial" w:cs="Arial"/>
        </w:rPr>
      </w:pPr>
    </w:p>
    <w:p w:rsidR="00546642" w:rsidRDefault="00E70E27">
      <w:pPr>
        <w:pStyle w:val="31"/>
      </w:pPr>
      <w:r>
        <w:t>2.1.3</w:t>
      </w:r>
      <w:r>
        <w:tab/>
        <w:t>Clarifying relation between the UE capability and NS-value</w:t>
      </w:r>
    </w:p>
    <w:p w:rsidR="00546642" w:rsidRDefault="00E70E27">
      <w:pPr>
        <w:rPr>
          <w:rFonts w:ascii="Arial" w:hAnsi="Arial" w:cs="Arial"/>
        </w:rPr>
      </w:pPr>
      <w:r>
        <w:rPr>
          <w:rFonts w:ascii="Arial" w:hAnsi="Arial" w:cs="Arial"/>
        </w:rPr>
        <w:t>The third thing that this CR changes is to clarify that a UE which supports the NS-value also supports the capability bit.</w:t>
      </w:r>
      <w:r>
        <w:rPr>
          <w:rFonts w:ascii="Arial" w:hAnsi="Arial" w:cs="Arial"/>
        </w:rPr>
        <w:t xml:space="preserve"> It is argued that if a UE supports NS value 55 </w:t>
      </w:r>
      <w:r>
        <w:rPr>
          <w:rFonts w:ascii="Arial" w:hAnsi="Arial" w:cs="Arial"/>
          <w:b/>
          <w:bCs/>
        </w:rPr>
        <w:t>without</w:t>
      </w:r>
      <w:r>
        <w:rPr>
          <w:rFonts w:ascii="Arial" w:hAnsi="Arial" w:cs="Arial"/>
        </w:rPr>
        <w:t xml:space="preserve"> supporting the extendedBand-n77 capability bit, the UE may connect to the cell without indicating the capability bit would cause errors in the network. This because the network could not (based on rep</w:t>
      </w:r>
      <w:r>
        <w:rPr>
          <w:rFonts w:ascii="Arial" w:hAnsi="Arial" w:cs="Arial"/>
        </w:rPr>
        <w:t>orted UE capabilities) serve such a UE.</w:t>
      </w:r>
    </w:p>
    <w:p w:rsidR="00546642" w:rsidRDefault="00E70E27">
      <w:pPr>
        <w:rPr>
          <w:rFonts w:ascii="Arial" w:hAnsi="Arial" w:cs="Arial"/>
          <w:b/>
          <w:bCs/>
        </w:rPr>
      </w:pPr>
      <w:r>
        <w:rPr>
          <w:rFonts w:ascii="Arial" w:hAnsi="Arial" w:cs="Arial"/>
          <w:b/>
          <w:bCs/>
        </w:rPr>
        <w:t>Q3: Do you agree to clarify that a UE which supports the NS-value shall also report the UE capability bit extendedBand-n77-r16?</w:t>
      </w:r>
    </w:p>
    <w:tbl>
      <w:tblPr>
        <w:tblStyle w:val="af5"/>
        <w:tblW w:w="9634" w:type="dxa"/>
        <w:tblLook w:val="04A0" w:firstRow="1" w:lastRow="0" w:firstColumn="1" w:lastColumn="0" w:noHBand="0" w:noVBand="1"/>
      </w:tblPr>
      <w:tblGrid>
        <w:gridCol w:w="1340"/>
        <w:gridCol w:w="1875"/>
        <w:gridCol w:w="6419"/>
      </w:tblGrid>
      <w:tr w:rsidR="00546642">
        <w:tc>
          <w:tcPr>
            <w:tcW w:w="1340" w:type="dxa"/>
            <w:shd w:val="clear" w:color="auto" w:fill="00B0F0"/>
          </w:tcPr>
          <w:p w:rsidR="00546642" w:rsidRDefault="00E70E27">
            <w:pPr>
              <w:spacing w:after="0"/>
              <w:jc w:val="both"/>
              <w:rPr>
                <w:rFonts w:eastAsia="Calibri"/>
                <w:b/>
                <w:bCs/>
                <w:lang w:val="de-DE"/>
              </w:rPr>
            </w:pPr>
            <w:r>
              <w:rPr>
                <w:rFonts w:eastAsia="Calibri"/>
                <w:b/>
                <w:bCs/>
                <w:lang w:val="de-DE"/>
              </w:rPr>
              <w:t>Company</w:t>
            </w:r>
          </w:p>
        </w:tc>
        <w:tc>
          <w:tcPr>
            <w:tcW w:w="1875" w:type="dxa"/>
            <w:shd w:val="clear" w:color="auto" w:fill="00B0F0"/>
          </w:tcPr>
          <w:p w:rsidR="00546642" w:rsidRDefault="00E70E27">
            <w:pPr>
              <w:spacing w:after="0"/>
              <w:jc w:val="both"/>
              <w:rPr>
                <w:rFonts w:eastAsia="Calibri"/>
                <w:b/>
                <w:bCs/>
                <w:lang w:val="de-DE"/>
              </w:rPr>
            </w:pPr>
            <w:r>
              <w:rPr>
                <w:rFonts w:eastAsia="Calibri"/>
                <w:b/>
                <w:bCs/>
                <w:lang w:val="de-DE"/>
              </w:rPr>
              <w:t>Answer</w:t>
            </w:r>
          </w:p>
        </w:tc>
        <w:tc>
          <w:tcPr>
            <w:tcW w:w="6419" w:type="dxa"/>
            <w:shd w:val="clear" w:color="auto" w:fill="00B0F0"/>
          </w:tcPr>
          <w:p w:rsidR="00546642" w:rsidRDefault="00E70E27">
            <w:pPr>
              <w:spacing w:after="0"/>
              <w:jc w:val="both"/>
              <w:rPr>
                <w:rFonts w:eastAsia="Calibri"/>
                <w:b/>
                <w:bCs/>
                <w:lang w:val="de-DE"/>
              </w:rPr>
            </w:pPr>
            <w:r>
              <w:rPr>
                <w:rFonts w:eastAsia="Calibri"/>
                <w:b/>
                <w:bCs/>
                <w:lang w:val="de-DE"/>
              </w:rPr>
              <w:t>Comments</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rsidR="00546642" w:rsidRDefault="00E70E27">
            <w:pPr>
              <w:spacing w:after="0"/>
              <w:jc w:val="both"/>
              <w:rPr>
                <w:rFonts w:eastAsia="Calibri"/>
                <w:lang w:val="de-DE"/>
              </w:rPr>
            </w:pPr>
            <w:r>
              <w:rPr>
                <w:rFonts w:eastAsia="Calibri"/>
                <w:lang w:val="de-DE"/>
              </w:rPr>
              <w:t>Yes</w:t>
            </w:r>
          </w:p>
        </w:tc>
        <w:tc>
          <w:tcPr>
            <w:tcW w:w="6419" w:type="dxa"/>
          </w:tcPr>
          <w:p w:rsidR="00546642" w:rsidRDefault="00E70E27">
            <w:pPr>
              <w:spacing w:after="0"/>
              <w:jc w:val="both"/>
              <w:rPr>
                <w:rFonts w:eastAsia="Calibri"/>
                <w:lang w:val="de-DE"/>
              </w:rPr>
            </w:pPr>
            <w:r>
              <w:rPr>
                <w:rFonts w:eastAsia="Calibri"/>
                <w:lang w:val="de-DE"/>
              </w:rPr>
              <w:t xml:space="preserve">It is important that Ues supporting NS-value 55 </w:t>
            </w:r>
            <w:r>
              <w:rPr>
                <w:rFonts w:eastAsia="Calibri"/>
                <w:lang w:val="de-DE"/>
              </w:rPr>
              <w:t xml:space="preserve">also indicates the capability bit. If the UE supports NS-value 55 it means the UE would </w:t>
            </w:r>
            <w:r>
              <w:rPr>
                <w:rFonts w:eastAsia="Calibri"/>
                <w:lang w:val="de-DE"/>
              </w:rPr>
              <w:lastRenderedPageBreak/>
              <w:t>accept accessing a cell broadcasting NS-value 55. The network will use NS-value 55 to bar Ues which do not indicate the capability bit and hence Ues shall not be allowe</w:t>
            </w:r>
            <w:r>
              <w:rPr>
                <w:rFonts w:eastAsia="Calibri"/>
                <w:lang w:val="de-DE"/>
              </w:rPr>
              <w:t>d to connect to the cells (i.e. allowed to support NS-value 55) unless they also indicate the capability bit.</w:t>
            </w:r>
          </w:p>
          <w:p w:rsidR="00546642" w:rsidRDefault="00546642">
            <w:pPr>
              <w:spacing w:after="0"/>
              <w:jc w:val="both"/>
              <w:rPr>
                <w:rFonts w:eastAsia="Calibri"/>
                <w:lang w:val="de-DE"/>
              </w:rPr>
            </w:pPr>
          </w:p>
          <w:p w:rsidR="00546642" w:rsidRDefault="00E70E27">
            <w:pPr>
              <w:spacing w:after="0"/>
              <w:jc w:val="both"/>
              <w:rPr>
                <w:rFonts w:eastAsia="Calibri"/>
                <w:lang w:val="de-DE"/>
              </w:rPr>
            </w:pPr>
            <w:r>
              <w:rPr>
                <w:rFonts w:eastAsia="Calibri"/>
                <w:lang w:val="de-DE"/>
              </w:rPr>
              <w:t xml:space="preserve">The CR clarifies that either the UE supports both NS-value 55 and the capability bit, or none of them. Current wording would does not preclude </w:t>
            </w:r>
            <w:r>
              <w:rPr>
                <w:rFonts w:eastAsia="Calibri"/>
                <w:lang w:val="de-DE"/>
              </w:rPr>
              <w:t>that a UE can support the NS-value without the capability bit, and this is important to clarify.</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lastRenderedPageBreak/>
              <w:t>Apple</w:t>
            </w:r>
          </w:p>
        </w:tc>
        <w:tc>
          <w:tcPr>
            <w:tcW w:w="1875" w:type="dxa"/>
          </w:tcPr>
          <w:p w:rsidR="00546642" w:rsidRDefault="00E70E27">
            <w:pPr>
              <w:spacing w:after="0"/>
              <w:jc w:val="both"/>
              <w:rPr>
                <w:rFonts w:eastAsia="Calibri"/>
                <w:lang w:val="de-DE"/>
              </w:rPr>
            </w:pPr>
            <w:r>
              <w:rPr>
                <w:rFonts w:eastAsia="Calibri"/>
                <w:lang w:val="de-DE"/>
              </w:rPr>
              <w:t>Not sure</w:t>
            </w:r>
          </w:p>
        </w:tc>
        <w:tc>
          <w:tcPr>
            <w:tcW w:w="6419" w:type="dxa"/>
          </w:tcPr>
          <w:p w:rsidR="00546642" w:rsidRDefault="00E70E27">
            <w:pPr>
              <w:spacing w:after="0"/>
              <w:jc w:val="both"/>
              <w:rPr>
                <w:rFonts w:eastAsia="Calibri"/>
                <w:lang w:val="de-DE"/>
              </w:rPr>
            </w:pPr>
            <w:r>
              <w:rPr>
                <w:rFonts w:eastAsia="Calibri"/>
                <w:lang w:val="de-DE"/>
              </w:rPr>
              <w:t>Ues implementations will anyway do this, so we think this is not really essential. Open to views from other companies.</w:t>
            </w:r>
          </w:p>
        </w:tc>
      </w:tr>
      <w:tr w:rsidR="00546642">
        <w:tc>
          <w:tcPr>
            <w:tcW w:w="1340" w:type="dxa"/>
          </w:tcPr>
          <w:p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rsidR="00546642" w:rsidRDefault="00E70E27">
            <w:pPr>
              <w:spacing w:after="0"/>
              <w:jc w:val="both"/>
              <w:rPr>
                <w:rFonts w:eastAsia="Yu Mincho"/>
                <w:lang w:val="de-DE"/>
              </w:rPr>
            </w:pPr>
            <w:r>
              <w:rPr>
                <w:rFonts w:eastAsia="Yu Mincho" w:hint="eastAsia"/>
                <w:lang w:val="de-DE"/>
              </w:rPr>
              <w:t>N</w:t>
            </w:r>
            <w:r>
              <w:rPr>
                <w:rFonts w:eastAsia="Yu Mincho"/>
                <w:lang w:val="de-DE"/>
              </w:rPr>
              <w:t>o</w:t>
            </w:r>
          </w:p>
        </w:tc>
        <w:tc>
          <w:tcPr>
            <w:tcW w:w="6419" w:type="dxa"/>
          </w:tcPr>
          <w:p w:rsidR="00546642" w:rsidRDefault="00E70E27">
            <w:pPr>
              <w:spacing w:after="0"/>
              <w:jc w:val="both"/>
              <w:rPr>
                <w:rFonts w:eastAsia="Yu Mincho"/>
                <w:lang w:val="de-DE"/>
              </w:rPr>
            </w:pPr>
            <w:r>
              <w:rPr>
                <w:rFonts w:eastAsia="Yu Mincho" w:hint="eastAsia"/>
                <w:lang w:val="de-DE"/>
              </w:rPr>
              <w:t>N</w:t>
            </w:r>
            <w:r>
              <w:rPr>
                <w:rFonts w:eastAsia="Yu Mincho"/>
                <w:lang w:val="de-DE"/>
              </w:rPr>
              <w:t>o essential correction. Misunderstanding very unlikely.</w:t>
            </w:r>
          </w:p>
        </w:tc>
      </w:tr>
      <w:tr w:rsidR="00546642">
        <w:tc>
          <w:tcPr>
            <w:tcW w:w="1340" w:type="dxa"/>
          </w:tcPr>
          <w:p w:rsidR="00546642" w:rsidRDefault="00E70E27">
            <w:pPr>
              <w:spacing w:after="0"/>
              <w:jc w:val="both"/>
              <w:rPr>
                <w:rFonts w:eastAsia="Yu Mincho"/>
                <w:lang w:val="de-DE"/>
              </w:rPr>
            </w:pPr>
            <w:r>
              <w:rPr>
                <w:rFonts w:eastAsia="Yu Mincho"/>
                <w:lang w:val="de-DE"/>
              </w:rPr>
              <w:t>Samsung</w:t>
            </w:r>
          </w:p>
        </w:tc>
        <w:tc>
          <w:tcPr>
            <w:tcW w:w="1875" w:type="dxa"/>
          </w:tcPr>
          <w:p w:rsidR="00546642" w:rsidRDefault="00E70E27">
            <w:pPr>
              <w:spacing w:after="0"/>
              <w:jc w:val="both"/>
              <w:rPr>
                <w:rFonts w:eastAsia="Yu Mincho"/>
                <w:lang w:val="de-DE"/>
              </w:rPr>
            </w:pPr>
            <w:r>
              <w:rPr>
                <w:rFonts w:eastAsia="Yu Mincho"/>
                <w:lang w:val="de-DE"/>
              </w:rPr>
              <w:t>No</w:t>
            </w:r>
          </w:p>
        </w:tc>
        <w:tc>
          <w:tcPr>
            <w:tcW w:w="6419" w:type="dxa"/>
          </w:tcPr>
          <w:p w:rsidR="00546642" w:rsidRDefault="00E70E27">
            <w:pPr>
              <w:spacing w:after="0"/>
              <w:jc w:val="both"/>
              <w:rPr>
                <w:rFonts w:eastAsia="Yu Mincho"/>
                <w:lang w:val="de-DE"/>
              </w:rPr>
            </w:pPr>
            <w:r>
              <w:rPr>
                <w:rFonts w:eastAsia="Yu Mincho"/>
                <w:lang w:val="de-DE"/>
              </w:rPr>
              <w:t>Not essential correction.</w:t>
            </w:r>
          </w:p>
        </w:tc>
      </w:tr>
      <w:tr w:rsidR="00546642">
        <w:tc>
          <w:tcPr>
            <w:tcW w:w="1340" w:type="dxa"/>
          </w:tcPr>
          <w:p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rsidR="00546642" w:rsidRDefault="00E70E27">
            <w:pPr>
              <w:spacing w:after="0"/>
              <w:jc w:val="both"/>
              <w:rPr>
                <w:rFonts w:eastAsia="Yu Mincho"/>
                <w:lang w:val="de-DE"/>
              </w:rPr>
            </w:pPr>
            <w:r>
              <w:rPr>
                <w:rFonts w:eastAsia="PMingLiU"/>
                <w:lang w:val="de-DE" w:eastAsia="zh-TW"/>
              </w:rPr>
              <w:t>No</w:t>
            </w:r>
          </w:p>
        </w:tc>
        <w:tc>
          <w:tcPr>
            <w:tcW w:w="6419" w:type="dxa"/>
          </w:tcPr>
          <w:p w:rsidR="00546642" w:rsidRDefault="00E70E27">
            <w:pPr>
              <w:spacing w:after="0"/>
              <w:jc w:val="both"/>
              <w:rPr>
                <w:rFonts w:eastAsia="Yu Mincho"/>
                <w:lang w:val="de-DE"/>
              </w:rPr>
            </w:pPr>
            <w:r>
              <w:rPr>
                <w:rFonts w:eastAsia="PMingLiU"/>
                <w:lang w:val="de-DE" w:eastAsia="zh-TW"/>
              </w:rPr>
              <w:t>By past agreement and 38.307 regarding to the n77 it’s again an early implementation requirement so the text modification in Table C-1 of 38.331 s</w:t>
            </w:r>
            <w:r>
              <w:rPr>
                <w:rFonts w:eastAsia="PMingLiU"/>
                <w:lang w:val="de-DE" w:eastAsia="zh-TW"/>
              </w:rPr>
              <w:t>hall be included. Suggest to wait for the conclusion of Q1.</w:t>
            </w:r>
          </w:p>
        </w:tc>
      </w:tr>
      <w:tr w:rsidR="00546642">
        <w:tc>
          <w:tcPr>
            <w:tcW w:w="1340" w:type="dxa"/>
          </w:tcPr>
          <w:p w:rsidR="00546642" w:rsidRDefault="00E70E27">
            <w:pPr>
              <w:spacing w:after="0"/>
              <w:jc w:val="both"/>
              <w:rPr>
                <w:rFonts w:eastAsia="宋体"/>
                <w:lang w:val="en-US" w:eastAsia="zh-CN"/>
              </w:rPr>
            </w:pPr>
            <w:r>
              <w:rPr>
                <w:rFonts w:eastAsia="宋体" w:hint="eastAsia"/>
                <w:lang w:val="en-US" w:eastAsia="zh-CN"/>
              </w:rPr>
              <w:t>ZTE</w:t>
            </w:r>
          </w:p>
        </w:tc>
        <w:tc>
          <w:tcPr>
            <w:tcW w:w="1875" w:type="dxa"/>
          </w:tcPr>
          <w:p w:rsidR="00546642" w:rsidRDefault="00E70E27">
            <w:pPr>
              <w:spacing w:after="0"/>
              <w:jc w:val="both"/>
              <w:rPr>
                <w:rFonts w:eastAsia="宋体"/>
                <w:lang w:val="en-US" w:eastAsia="zh-CN"/>
              </w:rPr>
            </w:pPr>
            <w:r>
              <w:rPr>
                <w:rFonts w:eastAsia="宋体" w:hint="eastAsia"/>
                <w:lang w:val="en-US" w:eastAsia="zh-CN"/>
              </w:rPr>
              <w:t>No</w:t>
            </w:r>
          </w:p>
        </w:tc>
        <w:tc>
          <w:tcPr>
            <w:tcW w:w="6419" w:type="dxa"/>
          </w:tcPr>
          <w:p w:rsidR="00546642" w:rsidRDefault="00E70E27">
            <w:pPr>
              <w:spacing w:after="0"/>
              <w:jc w:val="both"/>
              <w:rPr>
                <w:rFonts w:eastAsia="PMingLiU"/>
                <w:lang w:val="de-DE" w:eastAsia="zh-TW"/>
              </w:rPr>
            </w:pPr>
            <w:r>
              <w:rPr>
                <w:rFonts w:eastAsia="Yu Mincho"/>
                <w:lang w:val="de-DE"/>
              </w:rPr>
              <w:t>Not essential correction.</w:t>
            </w:r>
          </w:p>
        </w:tc>
      </w:tr>
      <w:tr w:rsidR="00760D93">
        <w:tc>
          <w:tcPr>
            <w:tcW w:w="1340" w:type="dxa"/>
          </w:tcPr>
          <w:p w:rsidR="00760D93" w:rsidRDefault="00760D93">
            <w:pPr>
              <w:spacing w:after="0"/>
              <w:jc w:val="both"/>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875" w:type="dxa"/>
          </w:tcPr>
          <w:p w:rsidR="00760D93" w:rsidRDefault="00760D93">
            <w:pPr>
              <w:spacing w:after="0"/>
              <w:jc w:val="both"/>
              <w:rPr>
                <w:rFonts w:eastAsia="宋体" w:hint="eastAsia"/>
                <w:lang w:val="en-US" w:eastAsia="zh-CN"/>
              </w:rPr>
            </w:pPr>
            <w:r>
              <w:rPr>
                <w:rFonts w:eastAsia="宋体" w:hint="eastAsia"/>
                <w:lang w:val="en-US" w:eastAsia="zh-CN"/>
              </w:rPr>
              <w:t>N</w:t>
            </w:r>
            <w:r>
              <w:rPr>
                <w:rFonts w:eastAsia="宋体"/>
                <w:lang w:val="en-US" w:eastAsia="zh-CN"/>
              </w:rPr>
              <w:t>o</w:t>
            </w:r>
          </w:p>
        </w:tc>
        <w:tc>
          <w:tcPr>
            <w:tcW w:w="6419" w:type="dxa"/>
          </w:tcPr>
          <w:p w:rsidR="00760D93" w:rsidRPr="00760D93" w:rsidRDefault="00760D93">
            <w:pPr>
              <w:spacing w:after="0"/>
              <w:jc w:val="both"/>
              <w:rPr>
                <w:rFonts w:eastAsiaTheme="minorEastAsia" w:hint="eastAsia"/>
                <w:lang w:val="de-DE" w:eastAsia="zh-CN"/>
              </w:rPr>
            </w:pPr>
            <w:r>
              <w:rPr>
                <w:rFonts w:eastAsiaTheme="minorEastAsia"/>
                <w:lang w:val="de-DE" w:eastAsia="zh-CN"/>
              </w:rPr>
              <w:t>Agree with Qualcomm.</w:t>
            </w:r>
          </w:p>
        </w:tc>
      </w:tr>
    </w:tbl>
    <w:p w:rsidR="00546642" w:rsidRDefault="00546642">
      <w:pPr>
        <w:rPr>
          <w:rFonts w:ascii="Arial" w:hAnsi="Arial" w:cs="Arial"/>
        </w:rPr>
      </w:pPr>
    </w:p>
    <w:p w:rsidR="00546642" w:rsidRDefault="00546642">
      <w:pPr>
        <w:rPr>
          <w:rFonts w:ascii="Arial" w:hAnsi="Arial" w:cs="Arial"/>
        </w:rPr>
      </w:pPr>
    </w:p>
    <w:p w:rsidR="00546642" w:rsidRDefault="00E70E27">
      <w:pPr>
        <w:pStyle w:val="21"/>
      </w:pPr>
      <w:r>
        <w:t>2.1</w:t>
      </w:r>
      <w:r>
        <w:tab/>
        <w:t>DSS</w:t>
      </w:r>
    </w:p>
    <w:p w:rsidR="00546642" w:rsidRDefault="00E70E27">
      <w:pPr>
        <w:spacing w:after="0"/>
        <w:rPr>
          <w:rFonts w:ascii="Arial" w:hAnsi="Arial" w:cs="Arial"/>
        </w:rPr>
      </w:pPr>
      <w:r>
        <w:rPr>
          <w:rFonts w:ascii="Arial" w:hAnsi="Arial" w:cs="Arial"/>
        </w:rPr>
        <w:t xml:space="preserve">The CR </w:t>
      </w:r>
      <w:hyperlink r:id="rId23" w:history="1">
        <w:r>
          <w:rPr>
            <w:rStyle w:val="afb"/>
            <w:rFonts w:ascii="Arial" w:hAnsi="Arial" w:cs="Arial"/>
          </w:rPr>
          <w:t>R2-2205511</w:t>
        </w:r>
      </w:hyperlink>
      <w:r>
        <w:rPr>
          <w:rFonts w:ascii="Arial" w:hAnsi="Arial" w:cs="Arial"/>
        </w:rPr>
        <w:t xml:space="preserve"> addresses some editorial comments raised by one company in the ASN.1 review (issue number 97, 99): </w:t>
      </w:r>
    </w:p>
    <w:p w:rsidR="00546642" w:rsidRPr="00760D93" w:rsidRDefault="00E70E27">
      <w:pPr>
        <w:pStyle w:val="afe"/>
        <w:numPr>
          <w:ilvl w:val="0"/>
          <w:numId w:val="14"/>
        </w:numPr>
        <w:rPr>
          <w:rFonts w:ascii="Arial" w:hAnsi="Arial" w:cs="Arial"/>
          <w:sz w:val="20"/>
          <w:szCs w:val="20"/>
          <w:lang w:val="en-US"/>
        </w:rPr>
      </w:pPr>
      <w:r>
        <w:rPr>
          <w:rFonts w:ascii="Arial" w:hAnsi="Arial" w:cs="Arial"/>
          <w:sz w:val="20"/>
          <w:szCs w:val="20"/>
          <w:lang w:val="en-US"/>
        </w:rPr>
        <w:t xml:space="preserve">Correct a grammar error to use “an” instead of “a” in the </w:t>
      </w:r>
      <w:r w:rsidRPr="00760D93">
        <w:rPr>
          <w:rFonts w:ascii="Arial" w:hAnsi="Arial" w:cs="Arial"/>
          <w:sz w:val="20"/>
          <w:szCs w:val="20"/>
          <w:lang w:val="en-US"/>
        </w:rPr>
        <w:t xml:space="preserve">field description of IE </w:t>
      </w:r>
      <w:r w:rsidRPr="00760D93">
        <w:rPr>
          <w:rFonts w:ascii="Arial" w:hAnsi="Arial" w:cs="Arial"/>
          <w:i/>
          <w:sz w:val="20"/>
          <w:szCs w:val="20"/>
          <w:lang w:val="en-US"/>
        </w:rPr>
        <w:t>crossCarrierSchedulingConfig</w:t>
      </w:r>
      <w:r>
        <w:rPr>
          <w:rFonts w:ascii="Arial" w:hAnsi="Arial" w:cs="Arial"/>
          <w:i/>
          <w:iCs/>
          <w:sz w:val="20"/>
          <w:szCs w:val="20"/>
          <w:lang w:val="en-US"/>
        </w:rPr>
        <w:t>;</w:t>
      </w:r>
    </w:p>
    <w:p w:rsidR="00546642" w:rsidRPr="00760D93" w:rsidRDefault="00E70E27">
      <w:pPr>
        <w:pStyle w:val="afe"/>
        <w:numPr>
          <w:ilvl w:val="0"/>
          <w:numId w:val="14"/>
        </w:numPr>
        <w:rPr>
          <w:rFonts w:ascii="Arial" w:hAnsi="Arial" w:cs="Arial"/>
          <w:sz w:val="20"/>
          <w:szCs w:val="20"/>
          <w:lang w:val="en-US"/>
        </w:rPr>
      </w:pPr>
      <w:r>
        <w:rPr>
          <w:rFonts w:ascii="Arial" w:hAnsi="Arial" w:cs="Arial"/>
          <w:sz w:val="20"/>
          <w:szCs w:val="20"/>
          <w:lang w:val="en-US"/>
        </w:rPr>
        <w:t>Clarify the legacy field description for IA</w:t>
      </w:r>
      <w:r>
        <w:rPr>
          <w:rFonts w:ascii="Arial" w:hAnsi="Arial" w:cs="Arial"/>
          <w:sz w:val="20"/>
          <w:szCs w:val="20"/>
          <w:lang w:val="en-US"/>
        </w:rPr>
        <w:t>B-MT so that what was added previously for IAB-MT applied only to IAB-MT, i.e., no impact from or to the newly introduced cross carrier scheduling in Rel-17.</w:t>
      </w:r>
    </w:p>
    <w:p w:rsidR="00546642" w:rsidRPr="00760D93" w:rsidRDefault="00546642">
      <w:pPr>
        <w:pStyle w:val="afe"/>
        <w:rPr>
          <w:rFonts w:ascii="Arial" w:hAnsi="Arial" w:cs="Arial"/>
          <w:sz w:val="20"/>
          <w:szCs w:val="20"/>
          <w:lang w:val="en-US"/>
        </w:rPr>
      </w:pPr>
    </w:p>
    <w:p w:rsidR="00546642" w:rsidRDefault="00E70E27">
      <w:pPr>
        <w:rPr>
          <w:rFonts w:ascii="Arial" w:hAnsi="Arial" w:cs="Arial"/>
          <w:b/>
          <w:bCs/>
        </w:rPr>
      </w:pPr>
      <w:r>
        <w:rPr>
          <w:rFonts w:ascii="Arial" w:hAnsi="Arial" w:cs="Arial"/>
          <w:b/>
          <w:bCs/>
        </w:rPr>
        <w:t>Q4: Do you agree the editorial changes proposed in the CR R2-2205511 ?</w:t>
      </w:r>
    </w:p>
    <w:tbl>
      <w:tblPr>
        <w:tblStyle w:val="af5"/>
        <w:tblW w:w="9634" w:type="dxa"/>
        <w:tblLook w:val="04A0" w:firstRow="1" w:lastRow="0" w:firstColumn="1" w:lastColumn="0" w:noHBand="0" w:noVBand="1"/>
      </w:tblPr>
      <w:tblGrid>
        <w:gridCol w:w="1340"/>
        <w:gridCol w:w="1872"/>
        <w:gridCol w:w="6422"/>
      </w:tblGrid>
      <w:tr w:rsidR="00546642">
        <w:tc>
          <w:tcPr>
            <w:tcW w:w="1340" w:type="dxa"/>
            <w:shd w:val="clear" w:color="auto" w:fill="00B0F0"/>
          </w:tcPr>
          <w:p w:rsidR="00546642" w:rsidRDefault="00E70E27">
            <w:pPr>
              <w:spacing w:after="0"/>
              <w:jc w:val="both"/>
              <w:rPr>
                <w:rFonts w:eastAsia="Calibri"/>
                <w:b/>
                <w:bCs/>
                <w:lang w:val="de-DE"/>
              </w:rPr>
            </w:pPr>
            <w:r>
              <w:rPr>
                <w:rFonts w:eastAsia="Calibri"/>
                <w:b/>
                <w:bCs/>
                <w:lang w:val="de-DE"/>
              </w:rPr>
              <w:t>Company</w:t>
            </w:r>
          </w:p>
        </w:tc>
        <w:tc>
          <w:tcPr>
            <w:tcW w:w="1872" w:type="dxa"/>
            <w:shd w:val="clear" w:color="auto" w:fill="00B0F0"/>
          </w:tcPr>
          <w:p w:rsidR="00546642" w:rsidRDefault="00E70E27">
            <w:pPr>
              <w:spacing w:after="0"/>
              <w:jc w:val="both"/>
              <w:rPr>
                <w:rFonts w:eastAsia="Calibri"/>
                <w:b/>
                <w:bCs/>
                <w:lang w:val="de-DE"/>
              </w:rPr>
            </w:pPr>
            <w:r>
              <w:rPr>
                <w:rFonts w:eastAsia="Calibri"/>
                <w:b/>
                <w:bCs/>
                <w:lang w:val="de-DE"/>
              </w:rPr>
              <w:t>Answer</w:t>
            </w:r>
          </w:p>
        </w:tc>
        <w:tc>
          <w:tcPr>
            <w:tcW w:w="6422" w:type="dxa"/>
            <w:shd w:val="clear" w:color="auto" w:fill="00B0F0"/>
          </w:tcPr>
          <w:p w:rsidR="00546642" w:rsidRDefault="00E70E27">
            <w:pPr>
              <w:spacing w:after="0"/>
              <w:jc w:val="both"/>
              <w:rPr>
                <w:rFonts w:eastAsia="Calibri"/>
                <w:b/>
                <w:bCs/>
                <w:lang w:val="de-DE"/>
              </w:rPr>
            </w:pPr>
            <w:r>
              <w:rPr>
                <w:rFonts w:eastAsia="Calibri"/>
                <w:b/>
                <w:bCs/>
                <w:lang w:val="de-DE"/>
              </w:rPr>
              <w:t>Comments</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 xml:space="preserve">Ericsson  </w:t>
            </w:r>
          </w:p>
        </w:tc>
        <w:tc>
          <w:tcPr>
            <w:tcW w:w="1872" w:type="dxa"/>
          </w:tcPr>
          <w:p w:rsidR="00546642" w:rsidRDefault="00E70E27">
            <w:pPr>
              <w:spacing w:after="0"/>
              <w:jc w:val="both"/>
              <w:rPr>
                <w:rFonts w:eastAsia="Calibri"/>
                <w:lang w:val="de-DE"/>
              </w:rPr>
            </w:pPr>
            <w:r>
              <w:rPr>
                <w:rFonts w:eastAsia="Calibri"/>
                <w:lang w:val="de-DE"/>
              </w:rPr>
              <w:t xml:space="preserve">Yes </w:t>
            </w:r>
          </w:p>
        </w:tc>
        <w:tc>
          <w:tcPr>
            <w:tcW w:w="6422" w:type="dxa"/>
          </w:tcPr>
          <w:p w:rsidR="00546642" w:rsidRDefault="00E70E27">
            <w:pPr>
              <w:spacing w:after="0"/>
              <w:jc w:val="both"/>
              <w:rPr>
                <w:rFonts w:eastAsia="Calibri"/>
                <w:lang w:val="de-DE"/>
              </w:rPr>
            </w:pPr>
            <w:r>
              <w:rPr>
                <w:rFonts w:eastAsia="Calibri"/>
                <w:lang w:val="de-DE"/>
              </w:rPr>
              <w:t xml:space="preserve">The editorial comments by 97 and 99 (not from Ericsson) make sense and help improving the spec quality. Further wording suggestion/improvement (if any) are appreciated. </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Apple</w:t>
            </w:r>
          </w:p>
        </w:tc>
        <w:tc>
          <w:tcPr>
            <w:tcW w:w="1872" w:type="dxa"/>
          </w:tcPr>
          <w:p w:rsidR="00546642" w:rsidRDefault="00E70E27">
            <w:pPr>
              <w:spacing w:after="0"/>
              <w:jc w:val="both"/>
              <w:rPr>
                <w:rFonts w:eastAsia="Calibri"/>
                <w:lang w:val="de-DE"/>
              </w:rPr>
            </w:pPr>
            <w:r>
              <w:rPr>
                <w:rFonts w:eastAsia="Calibri"/>
                <w:lang w:val="de-DE"/>
              </w:rPr>
              <w:t>Yes</w:t>
            </w:r>
          </w:p>
        </w:tc>
        <w:tc>
          <w:tcPr>
            <w:tcW w:w="6422" w:type="dxa"/>
          </w:tcPr>
          <w:p w:rsidR="00546642" w:rsidRDefault="00E70E27">
            <w:pPr>
              <w:spacing w:after="0"/>
              <w:jc w:val="both"/>
              <w:rPr>
                <w:rFonts w:eastAsia="Calibri"/>
                <w:lang w:val="de-DE"/>
              </w:rPr>
            </w:pPr>
            <w:r>
              <w:rPr>
                <w:rFonts w:eastAsia="Calibri"/>
                <w:lang w:val="de-DE"/>
              </w:rPr>
              <w:t>We agree with the changes, also the IAB part is not only ed</w:t>
            </w:r>
            <w:r>
              <w:rPr>
                <w:rFonts w:eastAsia="Calibri"/>
                <w:lang w:val="de-DE"/>
              </w:rPr>
              <w:t>itorial.</w:t>
            </w:r>
          </w:p>
        </w:tc>
      </w:tr>
      <w:tr w:rsidR="00546642">
        <w:tc>
          <w:tcPr>
            <w:tcW w:w="1340" w:type="dxa"/>
          </w:tcPr>
          <w:p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2" w:type="dxa"/>
          </w:tcPr>
          <w:p w:rsidR="00546642" w:rsidRDefault="00E70E27">
            <w:pPr>
              <w:spacing w:after="0"/>
              <w:jc w:val="both"/>
              <w:rPr>
                <w:rFonts w:eastAsia="Yu Mincho"/>
                <w:lang w:val="de-DE"/>
              </w:rPr>
            </w:pPr>
            <w:r>
              <w:rPr>
                <w:rFonts w:eastAsia="Yu Mincho" w:hint="eastAsia"/>
                <w:lang w:val="de-DE"/>
              </w:rPr>
              <w:t>Y</w:t>
            </w:r>
            <w:r>
              <w:rPr>
                <w:rFonts w:eastAsia="Yu Mincho"/>
                <w:lang w:val="de-DE"/>
              </w:rPr>
              <w:t>es</w:t>
            </w:r>
          </w:p>
        </w:tc>
        <w:tc>
          <w:tcPr>
            <w:tcW w:w="6422" w:type="dxa"/>
          </w:tcPr>
          <w:p w:rsidR="00546642" w:rsidRDefault="00546642">
            <w:pPr>
              <w:spacing w:after="0"/>
              <w:jc w:val="both"/>
              <w:rPr>
                <w:rFonts w:eastAsia="Calibri"/>
                <w:lang w:val="de-DE"/>
              </w:rPr>
            </w:pPr>
          </w:p>
        </w:tc>
      </w:tr>
      <w:tr w:rsidR="00546642">
        <w:tc>
          <w:tcPr>
            <w:tcW w:w="1340" w:type="dxa"/>
          </w:tcPr>
          <w:p w:rsidR="00546642" w:rsidRDefault="00E70E27">
            <w:pPr>
              <w:spacing w:after="0"/>
              <w:jc w:val="both"/>
              <w:rPr>
                <w:rFonts w:eastAsia="Yu Mincho"/>
                <w:lang w:val="de-DE"/>
              </w:rPr>
            </w:pPr>
            <w:r>
              <w:rPr>
                <w:rFonts w:eastAsia="Yu Mincho"/>
                <w:lang w:val="de-DE"/>
              </w:rPr>
              <w:t>vivo</w:t>
            </w:r>
          </w:p>
        </w:tc>
        <w:tc>
          <w:tcPr>
            <w:tcW w:w="1872" w:type="dxa"/>
          </w:tcPr>
          <w:p w:rsidR="00546642" w:rsidRDefault="00E70E27">
            <w:pPr>
              <w:spacing w:after="0"/>
              <w:jc w:val="both"/>
              <w:rPr>
                <w:rFonts w:eastAsia="Yu Mincho"/>
                <w:lang w:val="de-DE"/>
              </w:rPr>
            </w:pPr>
            <w:r>
              <w:rPr>
                <w:rFonts w:eastAsia="Yu Mincho"/>
                <w:lang w:val="de-DE"/>
              </w:rPr>
              <w:t>Yes</w:t>
            </w:r>
          </w:p>
        </w:tc>
        <w:tc>
          <w:tcPr>
            <w:tcW w:w="6422" w:type="dxa"/>
          </w:tcPr>
          <w:p w:rsidR="00546642" w:rsidRDefault="00E70E27">
            <w:pPr>
              <w:spacing w:after="0"/>
              <w:jc w:val="both"/>
              <w:rPr>
                <w:rFonts w:eastAsia="Calibri"/>
                <w:lang w:val="de-DE"/>
              </w:rPr>
            </w:pPr>
            <w:r>
              <w:rPr>
                <w:rFonts w:eastAsia="Calibri"/>
                <w:lang w:val="de-DE"/>
              </w:rPr>
              <w:t>The editorial corrections are fine, and the IAB part fairly introduces the new feature.</w:t>
            </w:r>
          </w:p>
        </w:tc>
      </w:tr>
      <w:tr w:rsidR="00546642">
        <w:tc>
          <w:tcPr>
            <w:tcW w:w="1340" w:type="dxa"/>
          </w:tcPr>
          <w:p w:rsidR="00546642" w:rsidRDefault="00E70E27">
            <w:pPr>
              <w:spacing w:after="0"/>
              <w:jc w:val="both"/>
              <w:rPr>
                <w:rFonts w:eastAsia="Yu Mincho"/>
                <w:lang w:val="de-DE"/>
              </w:rPr>
            </w:pPr>
            <w:r>
              <w:rPr>
                <w:rFonts w:eastAsia="Yu Mincho"/>
                <w:lang w:val="de-DE"/>
              </w:rPr>
              <w:t>Samsung</w:t>
            </w:r>
          </w:p>
        </w:tc>
        <w:tc>
          <w:tcPr>
            <w:tcW w:w="1872" w:type="dxa"/>
          </w:tcPr>
          <w:p w:rsidR="00546642" w:rsidRDefault="00E70E27">
            <w:pPr>
              <w:spacing w:after="0"/>
              <w:jc w:val="both"/>
              <w:rPr>
                <w:rFonts w:eastAsia="Yu Mincho"/>
                <w:lang w:val="de-DE"/>
              </w:rPr>
            </w:pPr>
            <w:r>
              <w:rPr>
                <w:rFonts w:eastAsia="Yu Mincho"/>
                <w:lang w:val="de-DE"/>
              </w:rPr>
              <w:t>Yes</w:t>
            </w:r>
          </w:p>
        </w:tc>
        <w:tc>
          <w:tcPr>
            <w:tcW w:w="6422" w:type="dxa"/>
          </w:tcPr>
          <w:p w:rsidR="00546642" w:rsidRDefault="00546642">
            <w:pPr>
              <w:spacing w:after="0"/>
              <w:jc w:val="both"/>
              <w:rPr>
                <w:rFonts w:eastAsia="Calibri"/>
                <w:lang w:val="de-DE"/>
              </w:rPr>
            </w:pPr>
          </w:p>
        </w:tc>
      </w:tr>
      <w:tr w:rsidR="00546642">
        <w:tc>
          <w:tcPr>
            <w:tcW w:w="1340" w:type="dxa"/>
          </w:tcPr>
          <w:p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2" w:type="dxa"/>
          </w:tcPr>
          <w:p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w:t>
            </w:r>
          </w:p>
        </w:tc>
        <w:tc>
          <w:tcPr>
            <w:tcW w:w="6422" w:type="dxa"/>
          </w:tcPr>
          <w:p w:rsidR="00546642" w:rsidRDefault="00546642">
            <w:pPr>
              <w:spacing w:after="0"/>
              <w:jc w:val="both"/>
              <w:rPr>
                <w:rFonts w:eastAsia="Calibri"/>
                <w:lang w:val="de-DE"/>
              </w:rPr>
            </w:pPr>
          </w:p>
        </w:tc>
      </w:tr>
      <w:tr w:rsidR="00546642">
        <w:tc>
          <w:tcPr>
            <w:tcW w:w="1340" w:type="dxa"/>
          </w:tcPr>
          <w:p w:rsidR="00546642" w:rsidRDefault="00E70E27">
            <w:pPr>
              <w:spacing w:after="0"/>
              <w:jc w:val="both"/>
              <w:rPr>
                <w:rFonts w:eastAsia="宋体"/>
                <w:lang w:val="en-US" w:eastAsia="zh-CN"/>
              </w:rPr>
            </w:pPr>
            <w:r>
              <w:rPr>
                <w:rFonts w:eastAsia="宋体" w:hint="eastAsia"/>
                <w:lang w:val="en-US" w:eastAsia="zh-CN"/>
              </w:rPr>
              <w:t>ZTE</w:t>
            </w:r>
          </w:p>
        </w:tc>
        <w:tc>
          <w:tcPr>
            <w:tcW w:w="1872" w:type="dxa"/>
          </w:tcPr>
          <w:p w:rsidR="00546642" w:rsidRDefault="00E70E27">
            <w:pPr>
              <w:spacing w:after="0"/>
              <w:jc w:val="both"/>
              <w:rPr>
                <w:rFonts w:eastAsia="宋体"/>
                <w:lang w:val="en-US" w:eastAsia="zh-CN"/>
              </w:rPr>
            </w:pPr>
            <w:r>
              <w:rPr>
                <w:rFonts w:eastAsia="宋体" w:hint="eastAsia"/>
                <w:lang w:val="en-US" w:eastAsia="zh-CN"/>
              </w:rPr>
              <w:t>Yes</w:t>
            </w:r>
          </w:p>
        </w:tc>
        <w:tc>
          <w:tcPr>
            <w:tcW w:w="6422" w:type="dxa"/>
          </w:tcPr>
          <w:p w:rsidR="00546642" w:rsidRDefault="00546642">
            <w:pPr>
              <w:spacing w:after="0"/>
              <w:jc w:val="both"/>
              <w:rPr>
                <w:rFonts w:eastAsia="Calibri"/>
                <w:lang w:val="de-DE"/>
              </w:rPr>
            </w:pPr>
          </w:p>
        </w:tc>
      </w:tr>
      <w:tr w:rsidR="00760D93">
        <w:tc>
          <w:tcPr>
            <w:tcW w:w="1340" w:type="dxa"/>
          </w:tcPr>
          <w:p w:rsidR="00760D93" w:rsidRDefault="00760D93">
            <w:pPr>
              <w:spacing w:after="0"/>
              <w:jc w:val="both"/>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1872" w:type="dxa"/>
          </w:tcPr>
          <w:p w:rsidR="00760D93" w:rsidRDefault="00760D93">
            <w:pPr>
              <w:spacing w:after="0"/>
              <w:jc w:val="both"/>
              <w:rPr>
                <w:rFonts w:eastAsia="宋体" w:hint="eastAsia"/>
                <w:lang w:val="en-US" w:eastAsia="zh-CN"/>
              </w:rPr>
            </w:pPr>
            <w:r>
              <w:rPr>
                <w:rFonts w:eastAsia="宋体" w:hint="eastAsia"/>
                <w:lang w:val="en-US" w:eastAsia="zh-CN"/>
              </w:rPr>
              <w:t>Y</w:t>
            </w:r>
            <w:r>
              <w:rPr>
                <w:rFonts w:eastAsia="宋体"/>
                <w:lang w:val="en-US" w:eastAsia="zh-CN"/>
              </w:rPr>
              <w:t>es</w:t>
            </w:r>
          </w:p>
        </w:tc>
        <w:tc>
          <w:tcPr>
            <w:tcW w:w="6422" w:type="dxa"/>
          </w:tcPr>
          <w:p w:rsidR="00760D93" w:rsidRDefault="00760D93">
            <w:pPr>
              <w:spacing w:after="0"/>
              <w:jc w:val="both"/>
              <w:rPr>
                <w:rFonts w:eastAsia="Calibri"/>
                <w:lang w:val="de-DE"/>
              </w:rPr>
            </w:pPr>
          </w:p>
        </w:tc>
      </w:tr>
    </w:tbl>
    <w:p w:rsidR="00546642" w:rsidRDefault="00546642">
      <w:pPr>
        <w:rPr>
          <w:rFonts w:ascii="Arial" w:hAnsi="Arial" w:cs="Arial"/>
        </w:rPr>
      </w:pPr>
    </w:p>
    <w:p w:rsidR="00546642" w:rsidRDefault="00E70E27">
      <w:pPr>
        <w:pStyle w:val="1"/>
      </w:pPr>
      <w:r>
        <w:t>3</w:t>
      </w:r>
      <w:r>
        <w:tab/>
        <w:t>Conclusion</w:t>
      </w:r>
    </w:p>
    <w:p w:rsidR="00546642" w:rsidRDefault="00E70E27">
      <w:pPr>
        <w:rPr>
          <w:rFonts w:ascii="Arial" w:hAnsi="Arial"/>
          <w:lang w:eastAsia="zh-CN"/>
        </w:rPr>
      </w:pPr>
      <w:r>
        <w:rPr>
          <w:rFonts w:ascii="Arial" w:hAnsi="Arial"/>
          <w:lang w:eastAsia="zh-CN"/>
        </w:rPr>
        <w:t>Based on the discussion above we propose:</w:t>
      </w:r>
    </w:p>
    <w:p w:rsidR="00546642" w:rsidRDefault="00E70E27">
      <w:pPr>
        <w:pStyle w:val="a6"/>
        <w:rPr>
          <w:b/>
          <w:bCs/>
          <w:lang w:val="en-US"/>
        </w:rPr>
      </w:pPr>
      <w:r>
        <w:rPr>
          <w:bCs/>
          <w:lang w:val="en-US"/>
        </w:rPr>
        <w:lastRenderedPageBreak/>
        <w:fldChar w:fldCharType="begin"/>
      </w:r>
      <w:r>
        <w:rPr>
          <w:bCs/>
          <w:lang w:val="en-US"/>
        </w:rPr>
        <w:instrText xml:space="preserve"> TOC \n \h \z \t "</w:instrText>
      </w:r>
      <w:r>
        <w:rPr>
          <w:bCs/>
          <w:lang w:val="en-US"/>
        </w:rPr>
        <w:instrText xml:space="preserve">Proposal" \c </w:instrText>
      </w:r>
      <w:r>
        <w:rPr>
          <w:bCs/>
          <w:lang w:val="en-US"/>
        </w:rPr>
        <w:fldChar w:fldCharType="separate"/>
      </w:r>
      <w:r>
        <w:rPr>
          <w:b/>
          <w:lang w:val="en-US"/>
        </w:rPr>
        <w:t>No table of figures entries found.</w:t>
      </w:r>
      <w:r>
        <w:rPr>
          <w:b/>
          <w:bCs/>
          <w:lang w:val="en-US"/>
        </w:rPr>
        <w:fldChar w:fldCharType="end"/>
      </w:r>
    </w:p>
    <w:sectPr w:rsidR="005466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E27" w:rsidRDefault="00E70E27">
      <w:pPr>
        <w:spacing w:after="0"/>
      </w:pPr>
      <w:r>
        <w:separator/>
      </w:r>
    </w:p>
  </w:endnote>
  <w:endnote w:type="continuationSeparator" w:id="0">
    <w:p w:rsidR="00E70E27" w:rsidRDefault="00E70E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E27" w:rsidRDefault="00E70E27">
      <w:pPr>
        <w:spacing w:after="0"/>
      </w:pPr>
      <w:r>
        <w:separator/>
      </w:r>
    </w:p>
  </w:footnote>
  <w:footnote w:type="continuationSeparator" w:id="0">
    <w:p w:rsidR="00E70E27" w:rsidRDefault="00E70E2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DD3A6F"/>
    <w:multiLevelType w:val="multilevel"/>
    <w:tmpl w:val="0CDD3A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AA2353A"/>
    <w:multiLevelType w:val="multilevel"/>
    <w:tmpl w:val="2AA2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1"/>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085A"/>
    <w:rsid w:val="00001C22"/>
    <w:rsid w:val="00002A37"/>
    <w:rsid w:val="000032B5"/>
    <w:rsid w:val="000042F5"/>
    <w:rsid w:val="0000564C"/>
    <w:rsid w:val="00006446"/>
    <w:rsid w:val="00006896"/>
    <w:rsid w:val="00007CDC"/>
    <w:rsid w:val="000100CE"/>
    <w:rsid w:val="00011B28"/>
    <w:rsid w:val="00015D15"/>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E9"/>
    <w:rsid w:val="000F3F6C"/>
    <w:rsid w:val="000F6DF3"/>
    <w:rsid w:val="001005FF"/>
    <w:rsid w:val="00105219"/>
    <w:rsid w:val="001062FB"/>
    <w:rsid w:val="001063E6"/>
    <w:rsid w:val="00110793"/>
    <w:rsid w:val="00113CF4"/>
    <w:rsid w:val="00113DFF"/>
    <w:rsid w:val="00114E03"/>
    <w:rsid w:val="001153EA"/>
    <w:rsid w:val="00115643"/>
    <w:rsid w:val="00116765"/>
    <w:rsid w:val="00117B84"/>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38B1"/>
    <w:rsid w:val="001659C1"/>
    <w:rsid w:val="0017051E"/>
    <w:rsid w:val="00171B7D"/>
    <w:rsid w:val="00171E8C"/>
    <w:rsid w:val="00173A8E"/>
    <w:rsid w:val="0017502C"/>
    <w:rsid w:val="0018143F"/>
    <w:rsid w:val="00181FF8"/>
    <w:rsid w:val="00190330"/>
    <w:rsid w:val="00190AC1"/>
    <w:rsid w:val="0019341A"/>
    <w:rsid w:val="00195C4D"/>
    <w:rsid w:val="00197DF9"/>
    <w:rsid w:val="001A1987"/>
    <w:rsid w:val="001A2564"/>
    <w:rsid w:val="001A6173"/>
    <w:rsid w:val="001A6CBA"/>
    <w:rsid w:val="001B0D97"/>
    <w:rsid w:val="001B5A5D"/>
    <w:rsid w:val="001C015B"/>
    <w:rsid w:val="001C1CE5"/>
    <w:rsid w:val="001C2C2B"/>
    <w:rsid w:val="001C3D2A"/>
    <w:rsid w:val="001D4907"/>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69B2"/>
    <w:rsid w:val="00207FA3"/>
    <w:rsid w:val="00211205"/>
    <w:rsid w:val="00214DA8"/>
    <w:rsid w:val="00215423"/>
    <w:rsid w:val="002158FA"/>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070"/>
    <w:rsid w:val="00286245"/>
    <w:rsid w:val="00286ACD"/>
    <w:rsid w:val="00287838"/>
    <w:rsid w:val="002907B5"/>
    <w:rsid w:val="00292EB7"/>
    <w:rsid w:val="00294B22"/>
    <w:rsid w:val="00295BCC"/>
    <w:rsid w:val="00295F9F"/>
    <w:rsid w:val="00296227"/>
    <w:rsid w:val="00296F44"/>
    <w:rsid w:val="002973A5"/>
    <w:rsid w:val="0029777D"/>
    <w:rsid w:val="00297C16"/>
    <w:rsid w:val="002A055E"/>
    <w:rsid w:val="002A1D4E"/>
    <w:rsid w:val="002A2869"/>
    <w:rsid w:val="002A6894"/>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3980"/>
    <w:rsid w:val="00367C42"/>
    <w:rsid w:val="00370E47"/>
    <w:rsid w:val="003742AC"/>
    <w:rsid w:val="00377CE1"/>
    <w:rsid w:val="00383CA7"/>
    <w:rsid w:val="00385BF0"/>
    <w:rsid w:val="00387619"/>
    <w:rsid w:val="0039371A"/>
    <w:rsid w:val="003939FF"/>
    <w:rsid w:val="00394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429"/>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517AA"/>
    <w:rsid w:val="00452CAC"/>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B1019"/>
    <w:rsid w:val="004B2B52"/>
    <w:rsid w:val="004B6F6A"/>
    <w:rsid w:val="004B7C0C"/>
    <w:rsid w:val="004C3898"/>
    <w:rsid w:val="004C3B71"/>
    <w:rsid w:val="004C5647"/>
    <w:rsid w:val="004C7B9B"/>
    <w:rsid w:val="004D1DD8"/>
    <w:rsid w:val="004D36B1"/>
    <w:rsid w:val="004D3918"/>
    <w:rsid w:val="004D7792"/>
    <w:rsid w:val="004D7EBD"/>
    <w:rsid w:val="004E2680"/>
    <w:rsid w:val="004E28F9"/>
    <w:rsid w:val="004E36E1"/>
    <w:rsid w:val="004E462E"/>
    <w:rsid w:val="004E56DC"/>
    <w:rsid w:val="004E6432"/>
    <w:rsid w:val="004E76F4"/>
    <w:rsid w:val="004F0B4E"/>
    <w:rsid w:val="004F0B6C"/>
    <w:rsid w:val="004F2078"/>
    <w:rsid w:val="004F48A0"/>
    <w:rsid w:val="004F4DA3"/>
    <w:rsid w:val="00506557"/>
    <w:rsid w:val="0050677A"/>
    <w:rsid w:val="00507867"/>
    <w:rsid w:val="005108D8"/>
    <w:rsid w:val="005116F9"/>
    <w:rsid w:val="0051410C"/>
    <w:rsid w:val="005153A7"/>
    <w:rsid w:val="00515CF0"/>
    <w:rsid w:val="005208B2"/>
    <w:rsid w:val="00520C36"/>
    <w:rsid w:val="005219CF"/>
    <w:rsid w:val="00524C4D"/>
    <w:rsid w:val="005256E3"/>
    <w:rsid w:val="00533A8D"/>
    <w:rsid w:val="00534B59"/>
    <w:rsid w:val="00536759"/>
    <w:rsid w:val="0053736D"/>
    <w:rsid w:val="00537C62"/>
    <w:rsid w:val="00546642"/>
    <w:rsid w:val="00546970"/>
    <w:rsid w:val="005549F0"/>
    <w:rsid w:val="00554E19"/>
    <w:rsid w:val="005561B4"/>
    <w:rsid w:val="0056121F"/>
    <w:rsid w:val="00565988"/>
    <w:rsid w:val="00572505"/>
    <w:rsid w:val="00582809"/>
    <w:rsid w:val="00584C5F"/>
    <w:rsid w:val="00586B15"/>
    <w:rsid w:val="0058798C"/>
    <w:rsid w:val="005900FA"/>
    <w:rsid w:val="00591AF0"/>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635"/>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A3"/>
    <w:rsid w:val="00683ECE"/>
    <w:rsid w:val="00685FBF"/>
    <w:rsid w:val="00692A8D"/>
    <w:rsid w:val="00695FC2"/>
    <w:rsid w:val="00696949"/>
    <w:rsid w:val="00697052"/>
    <w:rsid w:val="00697C4D"/>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72F"/>
    <w:rsid w:val="007571E1"/>
    <w:rsid w:val="00757A16"/>
    <w:rsid w:val="007604B2"/>
    <w:rsid w:val="00760D93"/>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5901"/>
    <w:rsid w:val="007D7526"/>
    <w:rsid w:val="007E4610"/>
    <w:rsid w:val="007E4715"/>
    <w:rsid w:val="007E505B"/>
    <w:rsid w:val="007E6053"/>
    <w:rsid w:val="007E7091"/>
    <w:rsid w:val="007F013D"/>
    <w:rsid w:val="007F1EA5"/>
    <w:rsid w:val="007F508A"/>
    <w:rsid w:val="00800CF8"/>
    <w:rsid w:val="00803FAE"/>
    <w:rsid w:val="0080605F"/>
    <w:rsid w:val="00807786"/>
    <w:rsid w:val="0081160E"/>
    <w:rsid w:val="00811FCB"/>
    <w:rsid w:val="00813976"/>
    <w:rsid w:val="00814AAE"/>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8637B"/>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BD2"/>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4DCA"/>
    <w:rsid w:val="0099592E"/>
    <w:rsid w:val="00995C07"/>
    <w:rsid w:val="009960EC"/>
    <w:rsid w:val="009970DD"/>
    <w:rsid w:val="009A0FBA"/>
    <w:rsid w:val="009A1601"/>
    <w:rsid w:val="009A19A2"/>
    <w:rsid w:val="009A3BB6"/>
    <w:rsid w:val="009A462D"/>
    <w:rsid w:val="009A4B54"/>
    <w:rsid w:val="009A5CBA"/>
    <w:rsid w:val="009A6AE6"/>
    <w:rsid w:val="009B0EB1"/>
    <w:rsid w:val="009B1F30"/>
    <w:rsid w:val="009B3AC2"/>
    <w:rsid w:val="009B4D14"/>
    <w:rsid w:val="009B4DF4"/>
    <w:rsid w:val="009B564E"/>
    <w:rsid w:val="009B7E87"/>
    <w:rsid w:val="009C0169"/>
    <w:rsid w:val="009C18D1"/>
    <w:rsid w:val="009C35C5"/>
    <w:rsid w:val="009C403E"/>
    <w:rsid w:val="009C62D6"/>
    <w:rsid w:val="009C63B8"/>
    <w:rsid w:val="009C703D"/>
    <w:rsid w:val="009D4FF0"/>
    <w:rsid w:val="009D5C01"/>
    <w:rsid w:val="009D703C"/>
    <w:rsid w:val="009D718F"/>
    <w:rsid w:val="009E068F"/>
    <w:rsid w:val="009E14E0"/>
    <w:rsid w:val="009E35DB"/>
    <w:rsid w:val="009E47A3"/>
    <w:rsid w:val="009E5012"/>
    <w:rsid w:val="009F08F3"/>
    <w:rsid w:val="009F344F"/>
    <w:rsid w:val="009F7D03"/>
    <w:rsid w:val="00A031B1"/>
    <w:rsid w:val="00A031D8"/>
    <w:rsid w:val="00A048A8"/>
    <w:rsid w:val="00A04F49"/>
    <w:rsid w:val="00A05C57"/>
    <w:rsid w:val="00A107EF"/>
    <w:rsid w:val="00A13E54"/>
    <w:rsid w:val="00A1712A"/>
    <w:rsid w:val="00A17F63"/>
    <w:rsid w:val="00A2193B"/>
    <w:rsid w:val="00A231AA"/>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0CFE"/>
    <w:rsid w:val="00B01D02"/>
    <w:rsid w:val="00B02AA9"/>
    <w:rsid w:val="00B02FA3"/>
    <w:rsid w:val="00B036AD"/>
    <w:rsid w:val="00B05084"/>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B7"/>
    <w:rsid w:val="00B553B0"/>
    <w:rsid w:val="00B567DD"/>
    <w:rsid w:val="00B664C7"/>
    <w:rsid w:val="00B674CE"/>
    <w:rsid w:val="00B70209"/>
    <w:rsid w:val="00B739F6"/>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A25"/>
    <w:rsid w:val="00BB51E9"/>
    <w:rsid w:val="00BC0FDC"/>
    <w:rsid w:val="00BC12C1"/>
    <w:rsid w:val="00BC3053"/>
    <w:rsid w:val="00BC4D2E"/>
    <w:rsid w:val="00BC6A4F"/>
    <w:rsid w:val="00BD48AC"/>
    <w:rsid w:val="00BD5F1A"/>
    <w:rsid w:val="00BE1234"/>
    <w:rsid w:val="00BE2893"/>
    <w:rsid w:val="00BE2FA6"/>
    <w:rsid w:val="00BE333F"/>
    <w:rsid w:val="00BE3494"/>
    <w:rsid w:val="00BE3A4F"/>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15E82"/>
    <w:rsid w:val="00C268E6"/>
    <w:rsid w:val="00C279B5"/>
    <w:rsid w:val="00C27C45"/>
    <w:rsid w:val="00C3719D"/>
    <w:rsid w:val="00C37CB2"/>
    <w:rsid w:val="00C46649"/>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B69"/>
    <w:rsid w:val="00D0349B"/>
    <w:rsid w:val="00D10249"/>
    <w:rsid w:val="00D115C3"/>
    <w:rsid w:val="00D11897"/>
    <w:rsid w:val="00D127B9"/>
    <w:rsid w:val="00D13135"/>
    <w:rsid w:val="00D13E4E"/>
    <w:rsid w:val="00D16427"/>
    <w:rsid w:val="00D20965"/>
    <w:rsid w:val="00D225DF"/>
    <w:rsid w:val="00D239A7"/>
    <w:rsid w:val="00D23F47"/>
    <w:rsid w:val="00D25EB6"/>
    <w:rsid w:val="00D27F29"/>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6CA3"/>
    <w:rsid w:val="00D871CE"/>
    <w:rsid w:val="00D9196D"/>
    <w:rsid w:val="00D92982"/>
    <w:rsid w:val="00D96101"/>
    <w:rsid w:val="00DA305E"/>
    <w:rsid w:val="00DA5417"/>
    <w:rsid w:val="00DA56E8"/>
    <w:rsid w:val="00DA7244"/>
    <w:rsid w:val="00DB0A9F"/>
    <w:rsid w:val="00DB3043"/>
    <w:rsid w:val="00DB34B1"/>
    <w:rsid w:val="00DB377D"/>
    <w:rsid w:val="00DC2039"/>
    <w:rsid w:val="00DC2D36"/>
    <w:rsid w:val="00DC472F"/>
    <w:rsid w:val="00DC53EF"/>
    <w:rsid w:val="00DD19CB"/>
    <w:rsid w:val="00DD79D3"/>
    <w:rsid w:val="00DE1A16"/>
    <w:rsid w:val="00DE5608"/>
    <w:rsid w:val="00DE58D0"/>
    <w:rsid w:val="00DE654F"/>
    <w:rsid w:val="00DF0B6E"/>
    <w:rsid w:val="00DF15E0"/>
    <w:rsid w:val="00DF1A7A"/>
    <w:rsid w:val="00DF37A0"/>
    <w:rsid w:val="00DF65BA"/>
    <w:rsid w:val="00E110E7"/>
    <w:rsid w:val="00E11B20"/>
    <w:rsid w:val="00E12761"/>
    <w:rsid w:val="00E1328C"/>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009"/>
    <w:rsid w:val="00E446F1"/>
    <w:rsid w:val="00E451AE"/>
    <w:rsid w:val="00E467EF"/>
    <w:rsid w:val="00E46886"/>
    <w:rsid w:val="00E47AEF"/>
    <w:rsid w:val="00E53B75"/>
    <w:rsid w:val="00E54E3B"/>
    <w:rsid w:val="00E5579A"/>
    <w:rsid w:val="00E57565"/>
    <w:rsid w:val="00E63838"/>
    <w:rsid w:val="00E64434"/>
    <w:rsid w:val="00E67C51"/>
    <w:rsid w:val="00E70E27"/>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4BA"/>
    <w:rsid w:val="00E93FFE"/>
    <w:rsid w:val="00E94F8A"/>
    <w:rsid w:val="00EA194C"/>
    <w:rsid w:val="00EA5ECE"/>
    <w:rsid w:val="00EA7A41"/>
    <w:rsid w:val="00EB077B"/>
    <w:rsid w:val="00EB088D"/>
    <w:rsid w:val="00EB45D8"/>
    <w:rsid w:val="00EB4EA2"/>
    <w:rsid w:val="00EC0F4B"/>
    <w:rsid w:val="00EC24D5"/>
    <w:rsid w:val="00EC27C6"/>
    <w:rsid w:val="00EC4207"/>
    <w:rsid w:val="00EC5653"/>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86EE2"/>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42D"/>
    <w:rsid w:val="00FE0655"/>
    <w:rsid w:val="00FE067D"/>
    <w:rsid w:val="00FE2365"/>
    <w:rsid w:val="00FE37D7"/>
    <w:rsid w:val="00FE4C7B"/>
    <w:rsid w:val="00FE7336"/>
    <w:rsid w:val="00FE787C"/>
    <w:rsid w:val="00FF05FC"/>
    <w:rsid w:val="00FF2C0D"/>
    <w:rsid w:val="00FF45A5"/>
    <w:rsid w:val="00FF5247"/>
    <w:rsid w:val="00FF5C91"/>
    <w:rsid w:val="00FF679A"/>
    <w:rsid w:val="161F5D03"/>
    <w:rsid w:val="75213B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DFA566-C664-4CC4-AD2D-6807BFF6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tex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endnote text"/>
    <w:basedOn w:val="a1"/>
    <w:link w:val="Char3"/>
    <w:qFormat/>
    <w:pPr>
      <w:spacing w:after="0"/>
    </w:pPr>
  </w:style>
  <w:style w:type="paragraph" w:styleId="ad">
    <w:name w:val="Balloon Text"/>
    <w:basedOn w:val="a1"/>
    <w:link w:val="Char4"/>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Title"/>
    <w:basedOn w:val="a1"/>
    <w:next w:val="a1"/>
    <w:link w:val="Char8"/>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4">
    <w:name w:val="annotation subject"/>
    <w:basedOn w:val="a9"/>
    <w:next w:val="a9"/>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endnote reference"/>
    <w:basedOn w:val="a2"/>
    <w:rPr>
      <w:vertAlign w:val="superscript"/>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qFormat/>
    <w:rPr>
      <w:sz w:val="16"/>
      <w:szCs w:val="16"/>
    </w:rPr>
  </w:style>
  <w:style w:type="character" w:styleId="afd">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e">
    <w:name w:val="List Paragraph"/>
    <w:basedOn w:val="a1"/>
    <w:link w:val="Chara"/>
    <w:uiPriority w:val="34"/>
    <w:qFormat/>
    <w:pPr>
      <w:spacing w:after="0"/>
      <w:ind w:left="720"/>
    </w:pPr>
    <w:rPr>
      <w:rFonts w:ascii="Calibri" w:eastAsia="Calibri" w:hAnsi="Calibri"/>
      <w:sz w:val="22"/>
      <w:szCs w:val="22"/>
      <w:lang w:val="zh-CN" w:eastAsia="en-US"/>
    </w:rPr>
  </w:style>
  <w:style w:type="character" w:customStyle="1" w:styleId="Chara">
    <w:name w:val="列出段落 Char"/>
    <w:link w:val="afe"/>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析的提及1"/>
    <w:basedOn w:val="a2"/>
    <w:uiPriority w:val="99"/>
    <w:semiHidden/>
    <w:unhideWhenUsed/>
    <w:qFormat/>
    <w:rPr>
      <w:color w:val="808080"/>
      <w:shd w:val="clear" w:color="auto" w:fill="E6E6E6"/>
    </w:rPr>
  </w:style>
  <w:style w:type="character" w:customStyle="1" w:styleId="Char3">
    <w:name w:val="尾注文本 Char"/>
    <w:basedOn w:val="a2"/>
    <w:link w:val="ac"/>
    <w:qFormat/>
    <w:rPr>
      <w:rFonts w:ascii="Times New Roman" w:hAnsi="Times New Roman"/>
      <w:lang w:eastAsia="ja-JP"/>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qFormat/>
    <w:rPr>
      <w:rFonts w:eastAsia="Times New Roman"/>
    </w:rPr>
  </w:style>
  <w:style w:type="character" w:customStyle="1" w:styleId="Char8">
    <w:name w:val="标题 Char"/>
    <w:basedOn w:val="a2"/>
    <w:link w:val="af3"/>
    <w:uiPriority w:val="10"/>
    <w:qFormat/>
    <w:rPr>
      <w:rFonts w:ascii="Arial" w:hAnsi="Arial" w:cs="Arial"/>
      <w:b/>
      <w:bCs/>
      <w:kern w:val="28"/>
      <w:lang w:eastAsia="en-US"/>
    </w:rPr>
  </w:style>
  <w:style w:type="paragraph" w:customStyle="1" w:styleId="Source">
    <w:name w:val="Source"/>
    <w:basedOn w:val="a1"/>
    <w:qFormat/>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40"/>
    <w:qFormat/>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qFormat/>
    <w:rPr>
      <w:lang w:eastAsia="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13">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ng.mengjie@zte.com.cn" TargetMode="External"/><Relationship Id="rId18" Type="http://schemas.openxmlformats.org/officeDocument/2006/relationships/hyperlink" Target="http://www.3gpp.org/ftp//tsg_ran/WG2_RL2/TSGR2_118-e/Docs//R2-220587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2_RL2/TSGR2_118-e/Docs//R2-2205870.zip" TargetMode="Externa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hyperlink" Target="http://www.3gpp.org/ftp//tsg_ran/WG2_RL2/TSGR2_118-e/Docs//R2-220587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18-e/Docs//R2-2205872.zip" TargetMode="External"/><Relationship Id="rId20" Type="http://schemas.openxmlformats.org/officeDocument/2006/relationships/hyperlink" Target="http://www.3gpp.org/ftp//tsg_ran/WG2_RL2/TSGR2_118-e/Docs//R2-22055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8-e/Docs//R2-2205871.zip" TargetMode="External"/><Relationship Id="rId23" Type="http://schemas.openxmlformats.org/officeDocument/2006/relationships/hyperlink" Target="http://www.3gpp.org/ftp//tsg_ran/WG2_RL2/TSGR2_118-e/Docs//R2-2205511.zip" TargetMode="External"/><Relationship Id="rId10" Type="http://schemas.openxmlformats.org/officeDocument/2006/relationships/footnotes" Target="footnotes.xml"/><Relationship Id="rId19" Type="http://schemas.openxmlformats.org/officeDocument/2006/relationships/hyperlink" Target="http://www.3gpp.org/ftp//tsg_ran/WG2_RL2/TSGR2_118-e/Docs//R2-22058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70.zip" TargetMode="External"/><Relationship Id="rId22" Type="http://schemas.openxmlformats.org/officeDocument/2006/relationships/hyperlink" Target="http://www.3gpp.org/ftp//tsg_ran/WG2_RL2/TSGR2_118-e/Docs//R2-22058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33BE2641-BF0C-4530-A983-157A2732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3</TotalTime>
  <Pages>5</Pages>
  <Words>1435</Words>
  <Characters>8182</Characters>
  <Application>Microsoft Office Word</Application>
  <DocSecurity>0</DocSecurity>
  <Lines>68</Lines>
  <Paragraphs>19</Paragraphs>
  <ScaleCrop>false</ScaleCrop>
  <Company>Ericsson</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Zhaoyang</cp:lastModifiedBy>
  <cp:revision>3</cp:revision>
  <cp:lastPrinted>2008-01-31T16:09:00Z</cp:lastPrinted>
  <dcterms:created xsi:type="dcterms:W3CDTF">2022-05-11T07:13:00Z</dcterms:created>
  <dcterms:modified xsi:type="dcterms:W3CDTF">2022-05-11T07:16:00Z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