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
        <w:tblW w:w="0" w:type="auto"/>
        <w:tblLook w:val="0420" w:firstRow="1" w:lastRow="0" w:firstColumn="0" w:lastColumn="0" w:noHBand="0" w:noVBand="1"/>
      </w:tblPr>
      <w:tblGrid>
        <w:gridCol w:w="1555"/>
        <w:gridCol w:w="3118"/>
        <w:gridCol w:w="4956"/>
      </w:tblGrid>
      <w:tr w:rsidR="0038055F" w14:paraId="00E8381A" w14:textId="77777777" w:rsidTr="00AD7C0C">
        <w:trPr>
          <w:cnfStyle w:val="100000000000" w:firstRow="1" w:lastRow="0" w:firstColumn="0" w:lastColumn="0" w:oddVBand="0" w:evenVBand="0" w:oddHBand="0" w:evenHBand="0" w:firstRowFirstColumn="0" w:firstRowLastColumn="0" w:lastRowFirstColumn="0" w:lastRowLastColumn="0"/>
        </w:trPr>
        <w:tc>
          <w:tcPr>
            <w:tcW w:w="1555"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3118"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AD7C0C">
        <w:tc>
          <w:tcPr>
            <w:tcW w:w="1555"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3118"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AD7C0C">
        <w:tc>
          <w:tcPr>
            <w:tcW w:w="1555"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3118"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AD7C0C">
        <w:tc>
          <w:tcPr>
            <w:tcW w:w="1555" w:type="dxa"/>
          </w:tcPr>
          <w:p w14:paraId="500B1995" w14:textId="77777777" w:rsidR="0038055F" w:rsidRDefault="0038055F" w:rsidP="00F61E2D">
            <w:pPr>
              <w:spacing w:after="120"/>
              <w:jc w:val="both"/>
              <w:rPr>
                <w:rFonts w:ascii="Arial" w:hAnsi="Arial" w:cs="Arial"/>
                <w:sz w:val="20"/>
                <w:szCs w:val="20"/>
                <w:lang w:val="en-GB"/>
              </w:rPr>
            </w:pPr>
          </w:p>
        </w:tc>
        <w:tc>
          <w:tcPr>
            <w:tcW w:w="3118" w:type="dxa"/>
          </w:tcPr>
          <w:p w14:paraId="54E15660" w14:textId="77777777" w:rsidR="0038055F" w:rsidRDefault="0038055F" w:rsidP="00F61E2D">
            <w:pPr>
              <w:spacing w:after="120"/>
              <w:jc w:val="both"/>
              <w:rPr>
                <w:rFonts w:ascii="Arial" w:hAnsi="Arial" w:cs="Arial"/>
                <w:sz w:val="20"/>
                <w:szCs w:val="20"/>
                <w:lang w:val="en-GB"/>
              </w:rPr>
            </w:pPr>
          </w:p>
        </w:tc>
        <w:tc>
          <w:tcPr>
            <w:tcW w:w="4956" w:type="dxa"/>
          </w:tcPr>
          <w:p w14:paraId="63BB7445" w14:textId="77777777" w:rsidR="0038055F" w:rsidRDefault="0038055F" w:rsidP="00F61E2D">
            <w:pPr>
              <w:spacing w:after="120"/>
              <w:jc w:val="both"/>
              <w:rPr>
                <w:rFonts w:ascii="Arial" w:hAnsi="Arial" w:cs="Arial"/>
                <w:sz w:val="20"/>
                <w:szCs w:val="20"/>
                <w:lang w:val="en-GB"/>
              </w:rPr>
            </w:pPr>
          </w:p>
        </w:tc>
      </w:tr>
      <w:tr w:rsidR="0038055F" w14:paraId="6D127A77" w14:textId="77777777" w:rsidTr="00AD7C0C">
        <w:tc>
          <w:tcPr>
            <w:tcW w:w="1555" w:type="dxa"/>
          </w:tcPr>
          <w:p w14:paraId="23826EF6" w14:textId="77777777" w:rsidR="0038055F" w:rsidRDefault="0038055F" w:rsidP="00F61E2D">
            <w:pPr>
              <w:spacing w:after="120"/>
              <w:jc w:val="both"/>
              <w:rPr>
                <w:rFonts w:ascii="Arial" w:hAnsi="Arial" w:cs="Arial"/>
                <w:sz w:val="20"/>
                <w:szCs w:val="20"/>
                <w:lang w:val="en-GB"/>
              </w:rPr>
            </w:pPr>
          </w:p>
        </w:tc>
        <w:tc>
          <w:tcPr>
            <w:tcW w:w="3118" w:type="dxa"/>
          </w:tcPr>
          <w:p w14:paraId="5DE7A7BC" w14:textId="77777777" w:rsidR="0038055F" w:rsidRDefault="0038055F" w:rsidP="00F61E2D">
            <w:pPr>
              <w:spacing w:after="120"/>
              <w:jc w:val="both"/>
              <w:rPr>
                <w:rFonts w:ascii="Arial" w:hAnsi="Arial" w:cs="Arial"/>
                <w:sz w:val="20"/>
                <w:szCs w:val="20"/>
                <w:lang w:val="en-GB"/>
              </w:rPr>
            </w:pPr>
          </w:p>
        </w:tc>
        <w:tc>
          <w:tcPr>
            <w:tcW w:w="4956" w:type="dxa"/>
          </w:tcPr>
          <w:p w14:paraId="1B1AC55E" w14:textId="77777777" w:rsidR="0038055F" w:rsidRDefault="0038055F" w:rsidP="00F61E2D">
            <w:pPr>
              <w:spacing w:after="120"/>
              <w:jc w:val="both"/>
              <w:rPr>
                <w:rFonts w:ascii="Arial" w:hAnsi="Arial" w:cs="Arial"/>
                <w:sz w:val="20"/>
                <w:szCs w:val="20"/>
                <w:lang w:val="en-GB"/>
              </w:rPr>
            </w:pP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
        <w:tblW w:w="0" w:type="auto"/>
        <w:tblLook w:val="04A0" w:firstRow="1" w:lastRow="0" w:firstColumn="1" w:lastColumn="0" w:noHBand="0" w:noVBand="1"/>
      </w:tblPr>
      <w:tblGrid>
        <w:gridCol w:w="1555"/>
        <w:gridCol w:w="1842"/>
        <w:gridCol w:w="6232"/>
      </w:tblGrid>
      <w:tr w:rsidR="00AD7C0C" w14:paraId="6F244E21" w14:textId="77777777" w:rsidTr="00804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3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5E1ACBDB" w14:textId="72AE993E"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3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lastRenderedPageBreak/>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21E24A24" w14:textId="5129DAEE" w:rsidR="00AD7C0C" w:rsidRDefault="00A06978" w:rsidP="00E0596E">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842"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3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62C7BAC5" w14:textId="77777777" w:rsidR="00AD7C0C" w:rsidRDefault="00AD7C0C" w:rsidP="00E0596E">
            <w:pPr>
              <w:spacing w:after="120"/>
              <w:jc w:val="both"/>
              <w:rPr>
                <w:rFonts w:ascii="Arial" w:hAnsi="Arial" w:cs="Arial"/>
                <w:sz w:val="20"/>
                <w:szCs w:val="20"/>
                <w:lang w:val="en-GB"/>
              </w:rPr>
            </w:pPr>
          </w:p>
        </w:tc>
        <w:tc>
          <w:tcPr>
            <w:tcW w:w="1842" w:type="dxa"/>
          </w:tcPr>
          <w:p w14:paraId="2354F378"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3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0DFD0528" w14:textId="77777777" w:rsidR="00AD7C0C" w:rsidRDefault="00AD7C0C" w:rsidP="00E0596E">
            <w:pPr>
              <w:spacing w:after="120"/>
              <w:jc w:val="both"/>
              <w:rPr>
                <w:rFonts w:ascii="Arial" w:hAnsi="Arial" w:cs="Arial"/>
                <w:sz w:val="20"/>
                <w:szCs w:val="20"/>
                <w:lang w:val="en-GB"/>
              </w:rPr>
            </w:pPr>
          </w:p>
        </w:tc>
        <w:tc>
          <w:tcPr>
            <w:tcW w:w="1842" w:type="dxa"/>
          </w:tcPr>
          <w:p w14:paraId="3EBB875A"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23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F61E2D" w14:paraId="0A8D1A95" w14:textId="77777777" w:rsidTr="00F6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0DB365E" w14:textId="7D784B78" w:rsidR="00F61E2D" w:rsidRDefault="00FE2BE1" w:rsidP="00D01677">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FE3A897" w14:textId="2A4C4F42" w:rsidR="00F61E2D" w:rsidRDefault="00F61E2D" w:rsidP="00D01677">
            <w:pPr>
              <w:spacing w:after="120"/>
              <w:jc w:val="both"/>
              <w:rPr>
                <w:rFonts w:ascii="Arial" w:hAnsi="Arial" w:cs="Arial"/>
                <w:sz w:val="20"/>
                <w:szCs w:val="20"/>
                <w:lang w:val="en-GB"/>
              </w:rPr>
            </w:pPr>
          </w:p>
        </w:tc>
        <w:tc>
          <w:tcPr>
            <w:tcW w:w="1417" w:type="dxa"/>
          </w:tcPr>
          <w:p w14:paraId="5BC7AC6E" w14:textId="416DBF2F" w:rsidR="00F61E2D" w:rsidRDefault="00F61E2D"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162ED04E" w14:textId="69FA4674" w:rsidR="00F61E2D" w:rsidRDefault="00F61E2D"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61E2D" w14:paraId="471F81A9"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CEE5A05" w14:textId="612E5178" w:rsidR="00F61E2D" w:rsidRDefault="00F61E2D" w:rsidP="00D01677">
            <w:pPr>
              <w:spacing w:after="120"/>
              <w:jc w:val="both"/>
              <w:rPr>
                <w:rFonts w:ascii="Arial" w:hAnsi="Arial" w:cs="Arial"/>
                <w:sz w:val="20"/>
                <w:szCs w:val="20"/>
                <w:lang w:val="en-GB"/>
              </w:rPr>
            </w:pPr>
          </w:p>
        </w:tc>
        <w:tc>
          <w:tcPr>
            <w:tcW w:w="1417" w:type="dxa"/>
          </w:tcPr>
          <w:p w14:paraId="1F00388D" w14:textId="675C762C" w:rsidR="00F61E2D" w:rsidRDefault="00F61E2D"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66863EAE" w14:textId="365148A3" w:rsidR="008F1336"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EF3141" w14:paraId="7FD8F386"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w:t>
            </w:r>
            <w:r w:rsidR="00E349E4">
              <w:rPr>
                <w:rFonts w:ascii="Arial" w:hAnsi="Arial" w:cs="Arial"/>
                <w:sz w:val="20"/>
                <w:szCs w:val="20"/>
                <w:lang w:val="en-GB"/>
              </w:rPr>
              <w:lastRenderedPageBreak/>
              <w:t>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7BC5A98" w14:textId="77777777" w:rsidR="00CB35D1" w:rsidRDefault="00CB35D1" w:rsidP="00CB35D1">
            <w:pPr>
              <w:spacing w:after="120"/>
              <w:jc w:val="both"/>
              <w:rPr>
                <w:rFonts w:ascii="Arial" w:hAnsi="Arial" w:cs="Arial"/>
                <w:sz w:val="20"/>
                <w:szCs w:val="20"/>
                <w:lang w:val="en-GB"/>
              </w:rPr>
            </w:pPr>
          </w:p>
        </w:tc>
        <w:tc>
          <w:tcPr>
            <w:tcW w:w="1417" w:type="dxa"/>
          </w:tcPr>
          <w:p w14:paraId="4FEC404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3569B895"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6AD5EDF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438EFFF" w14:textId="77777777" w:rsidR="00CB35D1" w:rsidRDefault="00CB35D1" w:rsidP="00CB35D1">
            <w:pPr>
              <w:spacing w:after="120"/>
              <w:jc w:val="both"/>
              <w:rPr>
                <w:rFonts w:ascii="Arial" w:hAnsi="Arial" w:cs="Arial"/>
                <w:sz w:val="20"/>
                <w:szCs w:val="20"/>
                <w:lang w:val="en-GB"/>
              </w:rPr>
            </w:pPr>
          </w:p>
        </w:tc>
        <w:tc>
          <w:tcPr>
            <w:tcW w:w="1417" w:type="dxa"/>
          </w:tcPr>
          <w:p w14:paraId="475BFD53"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2F12446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E216C2" w14:paraId="155412AC"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A62FEBE" w14:textId="77777777" w:rsidR="00CB35D1" w:rsidRDefault="00CB35D1" w:rsidP="00CB35D1">
            <w:pPr>
              <w:spacing w:after="120"/>
              <w:jc w:val="both"/>
              <w:rPr>
                <w:rFonts w:ascii="Arial" w:hAnsi="Arial" w:cs="Arial"/>
                <w:sz w:val="20"/>
                <w:szCs w:val="20"/>
                <w:lang w:val="en-GB"/>
              </w:rPr>
            </w:pPr>
          </w:p>
        </w:tc>
        <w:tc>
          <w:tcPr>
            <w:tcW w:w="1417" w:type="dxa"/>
          </w:tcPr>
          <w:p w14:paraId="42D3BD21"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870EBF1" w14:textId="77777777" w:rsidR="00CB35D1" w:rsidRDefault="00CB35D1" w:rsidP="00CB35D1">
            <w:pPr>
              <w:spacing w:after="120"/>
              <w:jc w:val="both"/>
              <w:rPr>
                <w:rFonts w:ascii="Arial" w:hAnsi="Arial" w:cs="Arial"/>
                <w:sz w:val="20"/>
                <w:szCs w:val="20"/>
                <w:lang w:val="en-GB"/>
              </w:rPr>
            </w:pPr>
          </w:p>
        </w:tc>
        <w:tc>
          <w:tcPr>
            <w:tcW w:w="1417" w:type="dxa"/>
          </w:tcPr>
          <w:p w14:paraId="1F1884EC"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0AB01BB1"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E216C2" w14:paraId="435AE9C4"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4EDA5AC" w14:textId="77777777" w:rsidR="00CB35D1" w:rsidRDefault="00CB35D1" w:rsidP="00CB35D1">
            <w:pPr>
              <w:spacing w:after="120"/>
              <w:jc w:val="both"/>
              <w:rPr>
                <w:rFonts w:ascii="Arial" w:hAnsi="Arial" w:cs="Arial"/>
                <w:sz w:val="20"/>
                <w:szCs w:val="20"/>
                <w:lang w:val="en-GB"/>
              </w:rPr>
            </w:pPr>
          </w:p>
        </w:tc>
        <w:tc>
          <w:tcPr>
            <w:tcW w:w="1417" w:type="dxa"/>
          </w:tcPr>
          <w:p w14:paraId="3BF98FAD"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7009B1A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60E8762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E7005D5" w14:textId="77777777" w:rsidR="00CB35D1" w:rsidRDefault="00CB35D1" w:rsidP="00CB35D1">
            <w:pPr>
              <w:spacing w:after="120"/>
              <w:jc w:val="both"/>
              <w:rPr>
                <w:rFonts w:ascii="Arial" w:hAnsi="Arial" w:cs="Arial"/>
                <w:sz w:val="20"/>
                <w:szCs w:val="20"/>
                <w:lang w:val="en-GB"/>
              </w:rPr>
            </w:pPr>
          </w:p>
        </w:tc>
        <w:tc>
          <w:tcPr>
            <w:tcW w:w="1417" w:type="dxa"/>
          </w:tcPr>
          <w:p w14:paraId="0A9CB637"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657" w:type="dxa"/>
          </w:tcPr>
          <w:p w14:paraId="39071CC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
        <w:tblW w:w="9634" w:type="dxa"/>
        <w:tblLook w:val="04A0" w:firstRow="1" w:lastRow="0" w:firstColumn="1" w:lastColumn="0" w:noHBand="0" w:noVBand="1"/>
      </w:tblPr>
      <w:tblGrid>
        <w:gridCol w:w="1555"/>
        <w:gridCol w:w="8079"/>
      </w:tblGrid>
      <w:tr w:rsidR="00E216C2" w14:paraId="65DFB5BE" w14:textId="77777777" w:rsidTr="00E2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lastRenderedPageBreak/>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C6D6D3" w14:textId="06470B6C" w:rsidR="00E216C2" w:rsidRDefault="008A1B63" w:rsidP="00C40D56">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00C28D" w14:textId="77777777" w:rsidR="00E216C2" w:rsidRDefault="00E216C2" w:rsidP="00C40D56">
            <w:pPr>
              <w:spacing w:after="120"/>
              <w:jc w:val="both"/>
              <w:rPr>
                <w:rFonts w:ascii="Arial" w:hAnsi="Arial" w:cs="Arial"/>
                <w:sz w:val="20"/>
                <w:szCs w:val="20"/>
                <w:lang w:val="en-GB"/>
              </w:rPr>
            </w:pPr>
          </w:p>
        </w:tc>
        <w:tc>
          <w:tcPr>
            <w:tcW w:w="8079" w:type="dxa"/>
          </w:tcPr>
          <w:p w14:paraId="0BBB4CA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216C2" w14:paraId="3EBA5ED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572548" w14:textId="77777777" w:rsidR="00E216C2" w:rsidRDefault="00E216C2" w:rsidP="00C40D56">
            <w:pPr>
              <w:spacing w:after="120"/>
              <w:jc w:val="both"/>
              <w:rPr>
                <w:rFonts w:ascii="Arial" w:hAnsi="Arial" w:cs="Arial"/>
                <w:sz w:val="20"/>
                <w:szCs w:val="20"/>
                <w:lang w:val="en-GB"/>
              </w:rPr>
            </w:pPr>
          </w:p>
        </w:tc>
        <w:tc>
          <w:tcPr>
            <w:tcW w:w="8079" w:type="dxa"/>
          </w:tcPr>
          <w:p w14:paraId="0C734F6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
        <w:tblW w:w="9634" w:type="dxa"/>
        <w:tblLook w:val="04A0" w:firstRow="1" w:lastRow="0" w:firstColumn="1" w:lastColumn="0" w:noHBand="0" w:noVBand="1"/>
      </w:tblPr>
      <w:tblGrid>
        <w:gridCol w:w="1555"/>
        <w:gridCol w:w="8079"/>
      </w:tblGrid>
      <w:tr w:rsidR="007B0458" w14:paraId="544AB92F"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D3F8A">
        <w:trPr>
          <w:trHeight w:val="4108"/>
        </w:trPr>
        <w:tc>
          <w:tcPr>
            <w:cnfStyle w:val="001000000000" w:firstRow="0" w:lastRow="0" w:firstColumn="1" w:lastColumn="0" w:oddVBand="0" w:evenVBand="0" w:oddHBand="0" w:evenHBand="0" w:firstRowFirstColumn="0" w:firstRowLastColumn="0" w:lastRowFirstColumn="0" w:lastRowLastColumn="0"/>
            <w:tcW w:w="1555"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F4D334E" w14:textId="2ED7F9A9" w:rsidR="007B0458" w:rsidRDefault="004D3F8A"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36D914" w14:textId="77777777" w:rsidR="007B0458" w:rsidRDefault="007B0458" w:rsidP="00C40D56">
            <w:pPr>
              <w:spacing w:after="120"/>
              <w:jc w:val="both"/>
              <w:rPr>
                <w:rFonts w:ascii="Arial" w:hAnsi="Arial" w:cs="Arial"/>
                <w:sz w:val="20"/>
                <w:szCs w:val="20"/>
                <w:lang w:val="en-GB"/>
              </w:rPr>
            </w:pPr>
          </w:p>
        </w:tc>
        <w:tc>
          <w:tcPr>
            <w:tcW w:w="8079" w:type="dxa"/>
          </w:tcPr>
          <w:p w14:paraId="2B32B1DA" w14:textId="77777777" w:rsidR="007B0458" w:rsidRDefault="007B0458"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B0458" w14:paraId="6D0B603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0EDD9C" w14:textId="77777777" w:rsidR="007B0458" w:rsidRDefault="007B0458" w:rsidP="00C40D56">
            <w:pPr>
              <w:spacing w:after="120"/>
              <w:jc w:val="both"/>
              <w:rPr>
                <w:rFonts w:ascii="Arial" w:hAnsi="Arial" w:cs="Arial"/>
                <w:sz w:val="20"/>
                <w:szCs w:val="20"/>
                <w:lang w:val="en-GB"/>
              </w:rPr>
            </w:pPr>
          </w:p>
        </w:tc>
        <w:tc>
          <w:tcPr>
            <w:tcW w:w="8079" w:type="dxa"/>
          </w:tcPr>
          <w:p w14:paraId="2F586444" w14:textId="77777777" w:rsidR="007B0458" w:rsidRDefault="007B0458"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6F56" w14:textId="77777777" w:rsidR="00FF4ED5" w:rsidRDefault="00FF4ED5">
      <w:pPr>
        <w:pStyle w:val="TAL"/>
      </w:pPr>
      <w:r>
        <w:separator/>
      </w:r>
    </w:p>
  </w:endnote>
  <w:endnote w:type="continuationSeparator" w:id="0">
    <w:p w14:paraId="777E4DE9" w14:textId="77777777" w:rsidR="00FF4ED5" w:rsidRDefault="00FF4ED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5E2223" w:rsidRDefault="005E2223">
    <w:pPr>
      <w:pStyle w:val="Footer"/>
    </w:pPr>
    <w:r>
      <w:fldChar w:fldCharType="begin"/>
    </w:r>
    <w:r>
      <w:instrText xml:space="preserve"> PAGE   \* MERGEFORMAT </w:instrText>
    </w:r>
    <w:r>
      <w:fldChar w:fldCharType="separate"/>
    </w:r>
    <w:r w:rsidR="0036126D">
      <w:t>7</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FB75" w14:textId="77777777" w:rsidR="00FF4ED5" w:rsidRDefault="00FF4ED5">
      <w:pPr>
        <w:pStyle w:val="TAL"/>
      </w:pPr>
      <w:r>
        <w:separator/>
      </w:r>
    </w:p>
  </w:footnote>
  <w:footnote w:type="continuationSeparator" w:id="0">
    <w:p w14:paraId="19EFC230" w14:textId="77777777" w:rsidR="00FF4ED5" w:rsidRDefault="00FF4ED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3"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2"/>
  </w:num>
  <w:num w:numId="4">
    <w:abstractNumId w:val="14"/>
  </w:num>
  <w:num w:numId="5">
    <w:abstractNumId w:val="2"/>
  </w:num>
  <w:num w:numId="6">
    <w:abstractNumId w:val="11"/>
  </w:num>
  <w:num w:numId="7">
    <w:abstractNumId w:val="3"/>
  </w:num>
  <w:num w:numId="8">
    <w:abstractNumId w:val="24"/>
  </w:num>
  <w:num w:numId="9">
    <w:abstractNumId w:val="4"/>
  </w:num>
  <w:num w:numId="10">
    <w:abstractNumId w:val="5"/>
  </w:num>
  <w:num w:numId="11">
    <w:abstractNumId w:val="19"/>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1"/>
  </w:num>
  <w:num w:numId="23">
    <w:abstractNumId w:val="14"/>
  </w:num>
  <w:num w:numId="24">
    <w:abstractNumId w:val="9"/>
  </w:num>
  <w:num w:numId="25">
    <w:abstractNumId w:val="0"/>
  </w:num>
  <w:num w:numId="26">
    <w:abstractNumId w:val="6"/>
  </w:num>
  <w:num w:numId="27">
    <w:abstractNumId w:val="8"/>
  </w:num>
  <w:num w:numId="28">
    <w:abstractNumId w:val="23"/>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76F"/>
    <w:rsid w:val="00333816"/>
    <w:rsid w:val="00333BC7"/>
    <w:rsid w:val="00333BF1"/>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4E"/>
    <w:rsid w:val="00347EED"/>
    <w:rsid w:val="0035071B"/>
    <w:rsid w:val="0035092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70D8"/>
    <w:rsid w:val="004C7288"/>
    <w:rsid w:val="004C7333"/>
    <w:rsid w:val="004C766B"/>
    <w:rsid w:val="004C771F"/>
    <w:rsid w:val="004C77A2"/>
    <w:rsid w:val="004D0445"/>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5D"/>
    <w:rsid w:val="004E3883"/>
    <w:rsid w:val="004E3FEB"/>
    <w:rsid w:val="004E4932"/>
    <w:rsid w:val="004E4BFF"/>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46C"/>
    <w:rsid w:val="00D775A3"/>
    <w:rsid w:val="00D815CA"/>
    <w:rsid w:val="00D81B5C"/>
    <w:rsid w:val="00D82314"/>
    <w:rsid w:val="00D82882"/>
    <w:rsid w:val="00D828D0"/>
    <w:rsid w:val="00D829D5"/>
    <w:rsid w:val="00D82A8F"/>
    <w:rsid w:val="00D82AF7"/>
    <w:rsid w:val="00D82F37"/>
    <w:rsid w:val="00D83E17"/>
    <w:rsid w:val="00D84763"/>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75D"/>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E72106-1E27-417A-B6FE-B7B165C3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1573</TotalTime>
  <Pages>4</Pages>
  <Words>1531</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keywords/>
  <dc:description/>
  <cp:lastModifiedBy>Brian Martin</cp:lastModifiedBy>
  <cp:revision>289</cp:revision>
  <cp:lastPrinted>2007-12-21T04:58:00Z</cp:lastPrinted>
  <dcterms:created xsi:type="dcterms:W3CDTF">2021-10-22T03:10:00Z</dcterms:created>
  <dcterms:modified xsi:type="dcterms:W3CDTF">2022-02-09T13:30:00Z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