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 xml:space="preserve">IIoT]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 xml:space="preserve">Sherif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77777777" w:rsidR="00D63732" w:rsidRPr="00863337" w:rsidRDefault="00D63732" w:rsidP="00D63732"/>
        </w:tc>
        <w:tc>
          <w:tcPr>
            <w:tcW w:w="2835" w:type="dxa"/>
            <w:tcMar>
              <w:top w:w="0" w:type="dxa"/>
              <w:left w:w="108" w:type="dxa"/>
              <w:bottom w:w="0" w:type="dxa"/>
              <w:right w:w="108" w:type="dxa"/>
            </w:tcMar>
          </w:tcPr>
          <w:p w14:paraId="7A783729" w14:textId="77777777" w:rsidR="00D63732" w:rsidRPr="00863337" w:rsidRDefault="00D63732" w:rsidP="00D63732"/>
        </w:tc>
        <w:tc>
          <w:tcPr>
            <w:tcW w:w="5108" w:type="dxa"/>
          </w:tcPr>
          <w:p w14:paraId="70E91574" w14:textId="77777777" w:rsidR="00D63732" w:rsidRPr="00863337" w:rsidRDefault="00D63732" w:rsidP="00D63732"/>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E012CE">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E012CE">
        <w:tc>
          <w:tcPr>
            <w:tcW w:w="1555" w:type="dxa"/>
            <w:shd w:val="clear" w:color="auto" w:fill="auto"/>
            <w:vAlign w:val="center"/>
          </w:tcPr>
          <w:p w14:paraId="66D991CD" w14:textId="77777777" w:rsidR="00472687" w:rsidRPr="00F65910" w:rsidRDefault="00472687" w:rsidP="00472687">
            <w:pPr>
              <w:spacing w:after="0" w:line="276" w:lineRule="auto"/>
              <w:rPr>
                <w:bCs/>
              </w:rPr>
            </w:pPr>
          </w:p>
        </w:tc>
        <w:tc>
          <w:tcPr>
            <w:tcW w:w="1417" w:type="dxa"/>
            <w:shd w:val="clear" w:color="auto" w:fill="auto"/>
            <w:vAlign w:val="center"/>
          </w:tcPr>
          <w:p w14:paraId="43BB54E4" w14:textId="77777777" w:rsidR="00472687" w:rsidRPr="00F65910" w:rsidRDefault="00472687" w:rsidP="00472687">
            <w:pPr>
              <w:spacing w:after="0" w:line="276" w:lineRule="auto"/>
              <w:rPr>
                <w:bCs/>
              </w:rPr>
            </w:pPr>
          </w:p>
        </w:tc>
        <w:tc>
          <w:tcPr>
            <w:tcW w:w="6662" w:type="dxa"/>
            <w:shd w:val="clear" w:color="auto" w:fill="auto"/>
            <w:vAlign w:val="center"/>
          </w:tcPr>
          <w:p w14:paraId="04B48C7E" w14:textId="77777777" w:rsidR="00472687" w:rsidRPr="00F65910" w:rsidRDefault="00472687" w:rsidP="00472687">
            <w:pPr>
              <w:spacing w:after="0" w:line="276" w:lineRule="auto"/>
              <w:rPr>
                <w:bCs/>
              </w:rPr>
            </w:pPr>
          </w:p>
        </w:tc>
      </w:tr>
      <w:tr w:rsidR="00472687" w14:paraId="5A2567B8" w14:textId="77777777" w:rsidTr="00E012CE">
        <w:tc>
          <w:tcPr>
            <w:tcW w:w="1555" w:type="dxa"/>
            <w:shd w:val="clear" w:color="auto" w:fill="auto"/>
            <w:vAlign w:val="center"/>
          </w:tcPr>
          <w:p w14:paraId="4B07C14D" w14:textId="77777777" w:rsidR="00472687" w:rsidRPr="00F65910" w:rsidRDefault="00472687" w:rsidP="00472687">
            <w:pPr>
              <w:spacing w:after="0" w:line="276" w:lineRule="auto"/>
              <w:rPr>
                <w:bCs/>
              </w:rPr>
            </w:pPr>
          </w:p>
        </w:tc>
        <w:tc>
          <w:tcPr>
            <w:tcW w:w="1417" w:type="dxa"/>
            <w:shd w:val="clear" w:color="auto" w:fill="auto"/>
            <w:vAlign w:val="center"/>
          </w:tcPr>
          <w:p w14:paraId="038F895C" w14:textId="77777777" w:rsidR="00472687" w:rsidRPr="00F65910" w:rsidRDefault="00472687" w:rsidP="00472687">
            <w:pPr>
              <w:spacing w:after="0" w:line="276" w:lineRule="auto"/>
              <w:rPr>
                <w:bCs/>
              </w:rPr>
            </w:pP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lastRenderedPageBreak/>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E012CE">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F229B8" w14:paraId="1D6748E2" w14:textId="77777777" w:rsidTr="00E012CE">
        <w:tc>
          <w:tcPr>
            <w:tcW w:w="1555" w:type="dxa"/>
            <w:shd w:val="clear" w:color="auto" w:fill="auto"/>
            <w:vAlign w:val="center"/>
          </w:tcPr>
          <w:p w14:paraId="5F056378" w14:textId="77777777" w:rsidR="00F229B8" w:rsidRPr="00B064B6" w:rsidRDefault="00F229B8" w:rsidP="00F229B8">
            <w:pPr>
              <w:spacing w:after="0" w:line="276" w:lineRule="auto"/>
              <w:rPr>
                <w:bCs/>
              </w:rPr>
            </w:pPr>
          </w:p>
        </w:tc>
        <w:tc>
          <w:tcPr>
            <w:tcW w:w="1417" w:type="dxa"/>
            <w:shd w:val="clear" w:color="auto" w:fill="auto"/>
            <w:vAlign w:val="center"/>
          </w:tcPr>
          <w:p w14:paraId="6CC5EEE6" w14:textId="77777777" w:rsidR="00F229B8" w:rsidRPr="00B064B6" w:rsidRDefault="00F229B8" w:rsidP="00F229B8">
            <w:pPr>
              <w:spacing w:after="0" w:line="276" w:lineRule="auto"/>
              <w:rPr>
                <w:bCs/>
              </w:rPr>
            </w:pPr>
          </w:p>
        </w:tc>
        <w:tc>
          <w:tcPr>
            <w:tcW w:w="6662" w:type="dxa"/>
            <w:shd w:val="clear" w:color="auto" w:fill="auto"/>
            <w:vAlign w:val="center"/>
          </w:tcPr>
          <w:p w14:paraId="006AD483" w14:textId="77777777" w:rsidR="00F229B8" w:rsidRPr="00B064B6" w:rsidRDefault="00F229B8" w:rsidP="00F229B8">
            <w:pPr>
              <w:spacing w:after="0" w:line="276" w:lineRule="auto"/>
              <w:rPr>
                <w:bCs/>
              </w:rPr>
            </w:pPr>
          </w:p>
        </w:tc>
      </w:tr>
      <w:tr w:rsidR="00F229B8" w14:paraId="6A8CFC7C" w14:textId="77777777" w:rsidTr="00E012CE">
        <w:tc>
          <w:tcPr>
            <w:tcW w:w="1555" w:type="dxa"/>
            <w:shd w:val="clear" w:color="auto" w:fill="auto"/>
            <w:vAlign w:val="center"/>
          </w:tcPr>
          <w:p w14:paraId="75257E2E" w14:textId="77777777" w:rsidR="00F229B8" w:rsidRPr="00B064B6" w:rsidRDefault="00F229B8" w:rsidP="00F229B8">
            <w:pPr>
              <w:spacing w:after="0" w:line="276" w:lineRule="auto"/>
              <w:rPr>
                <w:bCs/>
              </w:rPr>
            </w:pPr>
          </w:p>
        </w:tc>
        <w:tc>
          <w:tcPr>
            <w:tcW w:w="1417" w:type="dxa"/>
            <w:shd w:val="clear" w:color="auto" w:fill="auto"/>
            <w:vAlign w:val="center"/>
          </w:tcPr>
          <w:p w14:paraId="3A668F7D" w14:textId="77777777" w:rsidR="00F229B8" w:rsidRPr="00B064B6" w:rsidRDefault="00F229B8" w:rsidP="00F229B8">
            <w:pPr>
              <w:spacing w:after="0" w:line="276" w:lineRule="auto"/>
              <w:rPr>
                <w:bCs/>
              </w:rPr>
            </w:pPr>
          </w:p>
        </w:tc>
        <w:tc>
          <w:tcPr>
            <w:tcW w:w="6662" w:type="dxa"/>
            <w:shd w:val="clear" w:color="auto" w:fill="auto"/>
            <w:vAlign w:val="center"/>
          </w:tcPr>
          <w:p w14:paraId="0B9B9417" w14:textId="77777777" w:rsidR="00F229B8" w:rsidRPr="00B064B6" w:rsidRDefault="00F229B8" w:rsidP="00F229B8">
            <w:pPr>
              <w:spacing w:after="0" w:line="276" w:lineRule="auto"/>
              <w:rPr>
                <w:bCs/>
              </w:rPr>
            </w:pP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SimSun"/>
                <w:bCs/>
                <w:lang w:eastAsia="zh-CN"/>
              </w:rPr>
              <w:lastRenderedPageBreak/>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E012CE">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4674CB" w14:paraId="46A691E4" w14:textId="77777777" w:rsidTr="00E012CE">
        <w:tc>
          <w:tcPr>
            <w:tcW w:w="1555" w:type="dxa"/>
            <w:shd w:val="clear" w:color="auto" w:fill="auto"/>
            <w:vAlign w:val="center"/>
          </w:tcPr>
          <w:p w14:paraId="14C493D0" w14:textId="77777777" w:rsidR="004674CB" w:rsidRPr="007414A4" w:rsidRDefault="004674CB" w:rsidP="00DC0E26">
            <w:pPr>
              <w:spacing w:after="0" w:line="276" w:lineRule="auto"/>
              <w:rPr>
                <w:bCs/>
              </w:rPr>
            </w:pPr>
          </w:p>
        </w:tc>
        <w:tc>
          <w:tcPr>
            <w:tcW w:w="1417" w:type="dxa"/>
            <w:shd w:val="clear" w:color="auto" w:fill="auto"/>
            <w:vAlign w:val="center"/>
          </w:tcPr>
          <w:p w14:paraId="54675B2B" w14:textId="77777777" w:rsidR="004674CB" w:rsidRPr="007414A4" w:rsidRDefault="004674CB" w:rsidP="00DC0E26">
            <w:pPr>
              <w:spacing w:after="0" w:line="276" w:lineRule="auto"/>
              <w:rPr>
                <w:bCs/>
              </w:rPr>
            </w:pPr>
          </w:p>
        </w:tc>
        <w:tc>
          <w:tcPr>
            <w:tcW w:w="6662" w:type="dxa"/>
            <w:shd w:val="clear" w:color="auto" w:fill="auto"/>
            <w:vAlign w:val="center"/>
          </w:tcPr>
          <w:p w14:paraId="1C215AD6" w14:textId="77777777" w:rsidR="004674CB" w:rsidRPr="007414A4" w:rsidRDefault="004674CB" w:rsidP="00DC0E26">
            <w:pPr>
              <w:spacing w:after="0" w:line="276" w:lineRule="auto"/>
              <w:rPr>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lastRenderedPageBreak/>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177A33" w14:paraId="559F8E0B" w14:textId="77777777" w:rsidTr="00E012CE">
        <w:tc>
          <w:tcPr>
            <w:tcW w:w="1555" w:type="dxa"/>
            <w:shd w:val="clear" w:color="auto" w:fill="auto"/>
            <w:vAlign w:val="center"/>
          </w:tcPr>
          <w:p w14:paraId="3889EB8A" w14:textId="77777777" w:rsidR="00177A33" w:rsidRPr="00DC0E26" w:rsidRDefault="00177A33" w:rsidP="00DC0E26">
            <w:pPr>
              <w:spacing w:after="0" w:line="276" w:lineRule="auto"/>
              <w:rPr>
                <w:bCs/>
              </w:rPr>
            </w:pPr>
          </w:p>
        </w:tc>
        <w:tc>
          <w:tcPr>
            <w:tcW w:w="1417" w:type="dxa"/>
            <w:shd w:val="clear" w:color="auto" w:fill="auto"/>
            <w:vAlign w:val="center"/>
          </w:tcPr>
          <w:p w14:paraId="1E1DD8D0" w14:textId="77777777" w:rsidR="00177A33" w:rsidRPr="00DC0E26" w:rsidRDefault="00177A33" w:rsidP="00DC0E26">
            <w:pPr>
              <w:spacing w:after="0" w:line="276" w:lineRule="auto"/>
              <w:rPr>
                <w:bCs/>
              </w:rPr>
            </w:pPr>
          </w:p>
        </w:tc>
        <w:tc>
          <w:tcPr>
            <w:tcW w:w="6662" w:type="dxa"/>
            <w:shd w:val="clear" w:color="auto" w:fill="auto"/>
            <w:vAlign w:val="center"/>
          </w:tcPr>
          <w:p w14:paraId="7A136891" w14:textId="77777777" w:rsidR="00177A33" w:rsidRPr="00DC0E26" w:rsidRDefault="00177A33" w:rsidP="00DC0E26">
            <w:pPr>
              <w:spacing w:after="0" w:line="276" w:lineRule="auto"/>
              <w:rPr>
                <w:bCs/>
              </w:rPr>
            </w:pP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lastRenderedPageBreak/>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745DD0" w14:paraId="0254D80D" w14:textId="77777777" w:rsidTr="00E012CE">
        <w:tc>
          <w:tcPr>
            <w:tcW w:w="1555" w:type="dxa"/>
            <w:shd w:val="clear" w:color="auto" w:fill="auto"/>
            <w:vAlign w:val="center"/>
          </w:tcPr>
          <w:p w14:paraId="4439161C" w14:textId="77777777" w:rsidR="00745DD0" w:rsidRPr="009C58F0" w:rsidRDefault="00745DD0" w:rsidP="009C58F0">
            <w:pPr>
              <w:spacing w:after="0" w:line="276" w:lineRule="auto"/>
              <w:rPr>
                <w:bCs/>
              </w:rPr>
            </w:pPr>
          </w:p>
        </w:tc>
        <w:tc>
          <w:tcPr>
            <w:tcW w:w="1417" w:type="dxa"/>
            <w:shd w:val="clear" w:color="auto" w:fill="auto"/>
            <w:vAlign w:val="center"/>
          </w:tcPr>
          <w:p w14:paraId="5D121519" w14:textId="77777777" w:rsidR="00745DD0" w:rsidRPr="009C58F0" w:rsidRDefault="00745DD0" w:rsidP="009C58F0">
            <w:pPr>
              <w:spacing w:after="0" w:line="276" w:lineRule="auto"/>
              <w:rPr>
                <w:bCs/>
              </w:rPr>
            </w:pPr>
          </w:p>
        </w:tc>
        <w:tc>
          <w:tcPr>
            <w:tcW w:w="6662" w:type="dxa"/>
            <w:shd w:val="clear" w:color="auto" w:fill="auto"/>
            <w:vAlign w:val="center"/>
          </w:tcPr>
          <w:p w14:paraId="19C053A0" w14:textId="77777777" w:rsidR="00745DD0" w:rsidRPr="009C58F0" w:rsidRDefault="00745DD0" w:rsidP="009C58F0">
            <w:pPr>
              <w:spacing w:after="0" w:line="276" w:lineRule="auto"/>
              <w:rPr>
                <w:bCs/>
              </w:rPr>
            </w:pPr>
          </w:p>
        </w:tc>
      </w:tr>
      <w:tr w:rsidR="00745DD0" w14:paraId="2DB8A5AF" w14:textId="77777777" w:rsidTr="00E012CE">
        <w:tc>
          <w:tcPr>
            <w:tcW w:w="1555" w:type="dxa"/>
            <w:shd w:val="clear" w:color="auto" w:fill="auto"/>
            <w:vAlign w:val="center"/>
          </w:tcPr>
          <w:p w14:paraId="0BF123AC" w14:textId="77777777" w:rsidR="00745DD0" w:rsidRPr="009C58F0" w:rsidRDefault="00745DD0" w:rsidP="009C58F0">
            <w:pPr>
              <w:spacing w:after="0" w:line="276" w:lineRule="auto"/>
              <w:rPr>
                <w:bCs/>
              </w:rPr>
            </w:pPr>
          </w:p>
        </w:tc>
        <w:tc>
          <w:tcPr>
            <w:tcW w:w="1417" w:type="dxa"/>
            <w:shd w:val="clear" w:color="auto" w:fill="auto"/>
            <w:vAlign w:val="center"/>
          </w:tcPr>
          <w:p w14:paraId="3CF232C3" w14:textId="77777777" w:rsidR="00745DD0" w:rsidRPr="009C58F0" w:rsidRDefault="00745DD0" w:rsidP="009C58F0">
            <w:pPr>
              <w:spacing w:after="0" w:line="276" w:lineRule="auto"/>
              <w:rPr>
                <w:bCs/>
              </w:rPr>
            </w:pPr>
          </w:p>
        </w:tc>
        <w:tc>
          <w:tcPr>
            <w:tcW w:w="6662" w:type="dxa"/>
            <w:shd w:val="clear" w:color="auto" w:fill="auto"/>
            <w:vAlign w:val="center"/>
          </w:tcPr>
          <w:p w14:paraId="329232EE" w14:textId="77777777" w:rsidR="00745DD0" w:rsidRPr="009C58F0" w:rsidRDefault="00745DD0" w:rsidP="009C58F0">
            <w:pPr>
              <w:spacing w:after="0" w:line="276" w:lineRule="auto"/>
              <w:rPr>
                <w:bCs/>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w:t>
      </w:r>
      <w:proofErr w:type="gramStart"/>
      <w:r w:rsidR="00C45AE3">
        <w:rPr>
          <w:b/>
        </w:rPr>
        <w:t>Similar to</w:t>
      </w:r>
      <w:proofErr w:type="gramEnd"/>
      <w:r w:rsidR="00C45AE3">
        <w:rPr>
          <w:b/>
        </w:rPr>
        <w:t xml:space="preserve">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EA5AE5" w14:paraId="2AB85307" w14:textId="77777777" w:rsidTr="00E012CE">
        <w:tc>
          <w:tcPr>
            <w:tcW w:w="1555" w:type="dxa"/>
            <w:shd w:val="clear" w:color="auto" w:fill="auto"/>
            <w:vAlign w:val="center"/>
          </w:tcPr>
          <w:p w14:paraId="18C3C081" w14:textId="77777777" w:rsidR="00EA5AE5" w:rsidRPr="009C58F0" w:rsidRDefault="00EA5AE5" w:rsidP="009C58F0">
            <w:pPr>
              <w:spacing w:after="0" w:line="276" w:lineRule="auto"/>
              <w:rPr>
                <w:bCs/>
              </w:rPr>
            </w:pPr>
          </w:p>
        </w:tc>
        <w:tc>
          <w:tcPr>
            <w:tcW w:w="1417" w:type="dxa"/>
            <w:shd w:val="clear" w:color="auto" w:fill="auto"/>
            <w:vAlign w:val="center"/>
          </w:tcPr>
          <w:p w14:paraId="28BCC665" w14:textId="77777777" w:rsidR="00EA5AE5" w:rsidRPr="009C58F0" w:rsidRDefault="00EA5AE5" w:rsidP="009C58F0">
            <w:pPr>
              <w:spacing w:after="0" w:line="276" w:lineRule="auto"/>
              <w:rPr>
                <w:bCs/>
              </w:rPr>
            </w:pPr>
          </w:p>
        </w:tc>
        <w:tc>
          <w:tcPr>
            <w:tcW w:w="6662" w:type="dxa"/>
            <w:shd w:val="clear" w:color="auto" w:fill="auto"/>
            <w:vAlign w:val="center"/>
          </w:tcPr>
          <w:p w14:paraId="6D13C6A3" w14:textId="77777777" w:rsidR="00EA5AE5" w:rsidRPr="009C58F0" w:rsidRDefault="00EA5AE5" w:rsidP="009C58F0">
            <w:pPr>
              <w:spacing w:after="0" w:line="276" w:lineRule="auto"/>
              <w:rPr>
                <w:bCs/>
              </w:rPr>
            </w:pPr>
          </w:p>
        </w:tc>
      </w:tr>
      <w:tr w:rsidR="00EA5AE5" w14:paraId="7572D4AB" w14:textId="77777777" w:rsidTr="00E012CE">
        <w:tc>
          <w:tcPr>
            <w:tcW w:w="1555" w:type="dxa"/>
            <w:shd w:val="clear" w:color="auto" w:fill="auto"/>
            <w:vAlign w:val="center"/>
          </w:tcPr>
          <w:p w14:paraId="7C55F819" w14:textId="77777777" w:rsidR="00EA5AE5" w:rsidRPr="009C58F0" w:rsidRDefault="00EA5AE5" w:rsidP="009C58F0">
            <w:pPr>
              <w:spacing w:after="0" w:line="276" w:lineRule="auto"/>
              <w:rPr>
                <w:bCs/>
              </w:rPr>
            </w:pPr>
          </w:p>
        </w:tc>
        <w:tc>
          <w:tcPr>
            <w:tcW w:w="1417" w:type="dxa"/>
            <w:shd w:val="clear" w:color="auto" w:fill="auto"/>
            <w:vAlign w:val="center"/>
          </w:tcPr>
          <w:p w14:paraId="091BDF01" w14:textId="77777777" w:rsidR="00EA5AE5" w:rsidRPr="009C58F0" w:rsidRDefault="00EA5AE5" w:rsidP="009C58F0">
            <w:pPr>
              <w:spacing w:after="0" w:line="276" w:lineRule="auto"/>
              <w:rPr>
                <w:bCs/>
              </w:rPr>
            </w:pPr>
          </w:p>
        </w:tc>
        <w:tc>
          <w:tcPr>
            <w:tcW w:w="6662" w:type="dxa"/>
            <w:shd w:val="clear" w:color="auto" w:fill="auto"/>
            <w:vAlign w:val="center"/>
          </w:tcPr>
          <w:p w14:paraId="0D46F006" w14:textId="77777777" w:rsidR="00EA5AE5" w:rsidRPr="009C58F0" w:rsidRDefault="00EA5AE5" w:rsidP="009C58F0">
            <w:pPr>
              <w:spacing w:after="0" w:line="276" w:lineRule="auto"/>
              <w:rPr>
                <w:bCs/>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lastRenderedPageBreak/>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A822CC" w14:paraId="69C38873" w14:textId="77777777" w:rsidTr="00E012CE">
        <w:tc>
          <w:tcPr>
            <w:tcW w:w="1555" w:type="dxa"/>
            <w:shd w:val="clear" w:color="auto" w:fill="auto"/>
            <w:vAlign w:val="center"/>
          </w:tcPr>
          <w:p w14:paraId="70034606" w14:textId="77777777" w:rsidR="00A822CC" w:rsidRPr="00AB3E8E" w:rsidRDefault="00A822CC" w:rsidP="00AB3E8E">
            <w:pPr>
              <w:spacing w:after="0" w:line="276" w:lineRule="auto"/>
              <w:rPr>
                <w:bCs/>
              </w:rPr>
            </w:pPr>
          </w:p>
        </w:tc>
        <w:tc>
          <w:tcPr>
            <w:tcW w:w="1417" w:type="dxa"/>
            <w:shd w:val="clear" w:color="auto" w:fill="auto"/>
            <w:vAlign w:val="center"/>
          </w:tcPr>
          <w:p w14:paraId="48A244DF" w14:textId="77777777" w:rsidR="00A822CC" w:rsidRPr="00AB3E8E" w:rsidRDefault="00A822CC" w:rsidP="00AB3E8E">
            <w:pPr>
              <w:spacing w:after="0" w:line="276" w:lineRule="auto"/>
              <w:rPr>
                <w:bCs/>
              </w:rPr>
            </w:pPr>
          </w:p>
        </w:tc>
        <w:tc>
          <w:tcPr>
            <w:tcW w:w="6662" w:type="dxa"/>
            <w:shd w:val="clear" w:color="auto" w:fill="auto"/>
            <w:vAlign w:val="center"/>
          </w:tcPr>
          <w:p w14:paraId="1439000C" w14:textId="77777777" w:rsidR="00A822CC" w:rsidRPr="00AB3E8E" w:rsidRDefault="00A822CC" w:rsidP="00AB3E8E">
            <w:pPr>
              <w:spacing w:after="0" w:line="276" w:lineRule="auto"/>
              <w:rPr>
                <w:bCs/>
              </w:rPr>
            </w:pPr>
          </w:p>
        </w:tc>
      </w:tr>
      <w:tr w:rsidR="00A822CC" w14:paraId="115F85D9" w14:textId="77777777" w:rsidTr="00E012CE">
        <w:tc>
          <w:tcPr>
            <w:tcW w:w="1555" w:type="dxa"/>
            <w:shd w:val="clear" w:color="auto" w:fill="auto"/>
            <w:vAlign w:val="center"/>
          </w:tcPr>
          <w:p w14:paraId="0D56978C" w14:textId="77777777" w:rsidR="00A822CC" w:rsidRPr="00AB3E8E" w:rsidRDefault="00A822CC" w:rsidP="00AB3E8E">
            <w:pPr>
              <w:spacing w:after="0" w:line="276" w:lineRule="auto"/>
              <w:rPr>
                <w:bCs/>
              </w:rPr>
            </w:pPr>
          </w:p>
        </w:tc>
        <w:tc>
          <w:tcPr>
            <w:tcW w:w="1417" w:type="dxa"/>
            <w:shd w:val="clear" w:color="auto" w:fill="auto"/>
            <w:vAlign w:val="center"/>
          </w:tcPr>
          <w:p w14:paraId="4E007B53" w14:textId="77777777" w:rsidR="00A822CC" w:rsidRPr="00AB3E8E" w:rsidRDefault="00A822CC" w:rsidP="00AB3E8E">
            <w:pPr>
              <w:spacing w:after="0" w:line="276" w:lineRule="auto"/>
              <w:rPr>
                <w:bCs/>
              </w:rPr>
            </w:pPr>
          </w:p>
        </w:tc>
        <w:tc>
          <w:tcPr>
            <w:tcW w:w="6662" w:type="dxa"/>
            <w:shd w:val="clear" w:color="auto" w:fill="auto"/>
            <w:vAlign w:val="center"/>
          </w:tcPr>
          <w:p w14:paraId="0387F21A" w14:textId="77777777" w:rsidR="00A822CC" w:rsidRPr="00AB3E8E" w:rsidRDefault="00A822CC" w:rsidP="00AB3E8E">
            <w:pPr>
              <w:spacing w:after="0" w:line="276" w:lineRule="auto"/>
              <w:rPr>
                <w:bCs/>
              </w:rPr>
            </w:pP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6F6CF7" w14:paraId="2C49E74E" w14:textId="77777777" w:rsidTr="00E012CE">
        <w:tc>
          <w:tcPr>
            <w:tcW w:w="1555" w:type="dxa"/>
            <w:shd w:val="clear" w:color="auto" w:fill="auto"/>
            <w:vAlign w:val="center"/>
          </w:tcPr>
          <w:p w14:paraId="0B1BE49F" w14:textId="77777777" w:rsidR="006F6CF7" w:rsidRPr="00AB3E8E" w:rsidRDefault="006F6CF7" w:rsidP="00AB3E8E">
            <w:pPr>
              <w:spacing w:after="0" w:line="276" w:lineRule="auto"/>
              <w:rPr>
                <w:bCs/>
              </w:rPr>
            </w:pPr>
          </w:p>
        </w:tc>
        <w:tc>
          <w:tcPr>
            <w:tcW w:w="1417" w:type="dxa"/>
            <w:shd w:val="clear" w:color="auto" w:fill="auto"/>
            <w:vAlign w:val="center"/>
          </w:tcPr>
          <w:p w14:paraId="481E5EFC" w14:textId="77777777" w:rsidR="006F6CF7" w:rsidRPr="00AB3E8E" w:rsidRDefault="006F6CF7" w:rsidP="00AB3E8E">
            <w:pPr>
              <w:spacing w:after="0" w:line="276" w:lineRule="auto"/>
              <w:rPr>
                <w:bCs/>
              </w:rPr>
            </w:pPr>
          </w:p>
        </w:tc>
        <w:tc>
          <w:tcPr>
            <w:tcW w:w="6662" w:type="dxa"/>
            <w:shd w:val="clear" w:color="auto" w:fill="auto"/>
            <w:vAlign w:val="center"/>
          </w:tcPr>
          <w:p w14:paraId="502EBE5D" w14:textId="77777777" w:rsidR="006F6CF7" w:rsidRPr="00AB3E8E" w:rsidRDefault="006F6CF7" w:rsidP="00AB3E8E">
            <w:pPr>
              <w:spacing w:after="0" w:line="276" w:lineRule="auto"/>
              <w:rPr>
                <w:bCs/>
              </w:rPr>
            </w:pPr>
          </w:p>
        </w:tc>
      </w:tr>
      <w:tr w:rsidR="006F6CF7" w14:paraId="6DAA08EC" w14:textId="77777777" w:rsidTr="00E012CE">
        <w:tc>
          <w:tcPr>
            <w:tcW w:w="1555" w:type="dxa"/>
            <w:shd w:val="clear" w:color="auto" w:fill="auto"/>
            <w:vAlign w:val="center"/>
          </w:tcPr>
          <w:p w14:paraId="2A3B55EE" w14:textId="77777777" w:rsidR="006F6CF7" w:rsidRPr="00AB3E8E" w:rsidRDefault="006F6CF7" w:rsidP="00AB3E8E">
            <w:pPr>
              <w:spacing w:after="0" w:line="276" w:lineRule="auto"/>
              <w:rPr>
                <w:bCs/>
              </w:rPr>
            </w:pPr>
          </w:p>
        </w:tc>
        <w:tc>
          <w:tcPr>
            <w:tcW w:w="1417" w:type="dxa"/>
            <w:shd w:val="clear" w:color="auto" w:fill="auto"/>
            <w:vAlign w:val="center"/>
          </w:tcPr>
          <w:p w14:paraId="415C66F3" w14:textId="77777777" w:rsidR="006F6CF7" w:rsidRPr="00AB3E8E" w:rsidRDefault="006F6CF7" w:rsidP="00AB3E8E">
            <w:pPr>
              <w:spacing w:after="0" w:line="276" w:lineRule="auto"/>
              <w:rPr>
                <w:bCs/>
              </w:rPr>
            </w:pPr>
          </w:p>
        </w:tc>
        <w:tc>
          <w:tcPr>
            <w:tcW w:w="6662" w:type="dxa"/>
            <w:shd w:val="clear" w:color="auto" w:fill="auto"/>
            <w:vAlign w:val="center"/>
          </w:tcPr>
          <w:p w14:paraId="10E649CD" w14:textId="77777777" w:rsidR="006F6CF7" w:rsidRPr="00AB3E8E" w:rsidRDefault="006F6CF7" w:rsidP="00AB3E8E">
            <w:pPr>
              <w:spacing w:after="0" w:line="276" w:lineRule="auto"/>
              <w:rPr>
                <w:bCs/>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lastRenderedPageBreak/>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77777777" w:rsidR="0087525B" w:rsidRPr="00084642" w:rsidRDefault="0087525B" w:rsidP="00084642">
            <w:pPr>
              <w:spacing w:after="0" w:line="276" w:lineRule="auto"/>
              <w:rPr>
                <w:bCs/>
              </w:rPr>
            </w:pPr>
          </w:p>
        </w:tc>
        <w:tc>
          <w:tcPr>
            <w:tcW w:w="1417" w:type="dxa"/>
            <w:shd w:val="clear" w:color="auto" w:fill="auto"/>
            <w:vAlign w:val="center"/>
          </w:tcPr>
          <w:p w14:paraId="269F43B4" w14:textId="77777777" w:rsidR="0087525B" w:rsidRPr="00084642" w:rsidRDefault="0087525B" w:rsidP="00084642">
            <w:pPr>
              <w:spacing w:after="0" w:line="276" w:lineRule="auto"/>
              <w:rPr>
                <w:bCs/>
              </w:rPr>
            </w:pP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77777777" w:rsidR="0087525B" w:rsidRPr="00084642" w:rsidRDefault="0087525B" w:rsidP="00084642">
            <w:pPr>
              <w:spacing w:after="0" w:line="276" w:lineRule="auto"/>
              <w:rPr>
                <w:bCs/>
              </w:rPr>
            </w:pPr>
          </w:p>
        </w:tc>
        <w:tc>
          <w:tcPr>
            <w:tcW w:w="1417" w:type="dxa"/>
            <w:shd w:val="clear" w:color="auto" w:fill="auto"/>
            <w:vAlign w:val="center"/>
          </w:tcPr>
          <w:p w14:paraId="40827EF4" w14:textId="77777777" w:rsidR="0087525B" w:rsidRPr="00084642" w:rsidRDefault="0087525B" w:rsidP="00084642">
            <w:pPr>
              <w:spacing w:after="0" w:line="276" w:lineRule="auto"/>
              <w:rPr>
                <w:bCs/>
              </w:rPr>
            </w:pP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lastRenderedPageBreak/>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w:t>
            </w:r>
            <w:proofErr w:type="gramStart"/>
            <w:r w:rsidR="00D474B1">
              <w:rPr>
                <w:bCs/>
              </w:rPr>
              <w:t>it is clear that the</w:t>
            </w:r>
            <w:proofErr w:type="gramEnd"/>
            <w:r w:rsidR="00D474B1">
              <w:rPr>
                <w:bCs/>
              </w:rPr>
              <w:t xml:space="preserv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 xml:space="preserve">addressed by one or two companies. The goal of this section is to present these views to other </w:t>
      </w:r>
      <w:proofErr w:type="gramStart"/>
      <w:r w:rsidR="00417E34">
        <w:rPr>
          <w:lang w:val="en-GB" w:eastAsia="zh-CN"/>
        </w:rPr>
        <w:t>companies, and</w:t>
      </w:r>
      <w:proofErr w:type="gramEnd"/>
      <w:r w:rsidR="00417E34">
        <w:rPr>
          <w:lang w:val="en-GB" w:eastAsia="zh-CN"/>
        </w:rPr>
        <w:t xml:space="preserve">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lastRenderedPageBreak/>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6F499292" w14:textId="77777777" w:rsidR="00910112" w:rsidRDefault="00213A0A" w:rsidP="00E012CE">
            <w:pPr>
              <w:rPr>
                <w:lang w:val="en-GB"/>
              </w:rPr>
            </w:pPr>
            <w:r>
              <w:rPr>
                <w:lang w:val="en-GB"/>
              </w:rPr>
              <w:t xml:space="preserve">Ericsson: </w:t>
            </w:r>
          </w:p>
          <w:p w14:paraId="3E2815CD" w14:textId="28F84E5B" w:rsidR="0024039F" w:rsidRDefault="00213A0A" w:rsidP="00E012CE">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E012CE">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maintenance</w:t>
            </w:r>
            <w:r w:rsidR="0068427F" w:rsidRPr="0068427F">
              <w:rPr>
                <w:lang w:val="en-GB"/>
              </w:rPr>
              <w:t xml:space="preserv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E012CE">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77777777" w:rsidR="0024039F" w:rsidRDefault="0024039F" w:rsidP="00E012CE">
            <w:pPr>
              <w:rPr>
                <w:lang w:val="en-GB"/>
              </w:rPr>
            </w:pPr>
          </w:p>
        </w:tc>
        <w:tc>
          <w:tcPr>
            <w:tcW w:w="810" w:type="dxa"/>
          </w:tcPr>
          <w:p w14:paraId="1FE08058" w14:textId="77777777" w:rsidR="0024039F" w:rsidRDefault="0024039F" w:rsidP="00E012CE">
            <w:pPr>
              <w:rPr>
                <w:lang w:val="en-GB"/>
              </w:rPr>
            </w:pPr>
          </w:p>
        </w:tc>
        <w:tc>
          <w:tcPr>
            <w:tcW w:w="900" w:type="dxa"/>
          </w:tcPr>
          <w:p w14:paraId="02A880F8" w14:textId="77777777" w:rsidR="0024039F" w:rsidRDefault="0024039F" w:rsidP="00E012CE">
            <w:pPr>
              <w:rPr>
                <w:lang w:val="en-GB"/>
              </w:rPr>
            </w:pPr>
          </w:p>
        </w:tc>
        <w:tc>
          <w:tcPr>
            <w:tcW w:w="900" w:type="dxa"/>
          </w:tcPr>
          <w:p w14:paraId="15686B22" w14:textId="77777777" w:rsidR="0024039F" w:rsidRDefault="0024039F" w:rsidP="00E012CE">
            <w:pPr>
              <w:rPr>
                <w:lang w:val="en-GB"/>
              </w:rPr>
            </w:pPr>
          </w:p>
        </w:tc>
        <w:tc>
          <w:tcPr>
            <w:tcW w:w="6300" w:type="dxa"/>
          </w:tcPr>
          <w:p w14:paraId="5391C3B8" w14:textId="77777777" w:rsidR="0024039F" w:rsidRDefault="0024039F" w:rsidP="00E012CE">
            <w:pPr>
              <w:rPr>
                <w:lang w:val="en-GB"/>
              </w:rPr>
            </w:pPr>
          </w:p>
        </w:tc>
      </w:tr>
      <w:tr w:rsidR="0024039F" w14:paraId="10A8C3EB" w14:textId="77777777" w:rsidTr="003E68F3">
        <w:tc>
          <w:tcPr>
            <w:tcW w:w="805" w:type="dxa"/>
          </w:tcPr>
          <w:p w14:paraId="3197B31E" w14:textId="77777777" w:rsidR="0024039F" w:rsidRDefault="0024039F" w:rsidP="00E012CE">
            <w:pPr>
              <w:rPr>
                <w:lang w:val="en-GB"/>
              </w:rPr>
            </w:pPr>
          </w:p>
        </w:tc>
        <w:tc>
          <w:tcPr>
            <w:tcW w:w="810" w:type="dxa"/>
          </w:tcPr>
          <w:p w14:paraId="23BF497C" w14:textId="77777777" w:rsidR="0024039F" w:rsidRDefault="0024039F" w:rsidP="00E012CE">
            <w:pPr>
              <w:rPr>
                <w:lang w:val="en-GB"/>
              </w:rPr>
            </w:pPr>
          </w:p>
        </w:tc>
        <w:tc>
          <w:tcPr>
            <w:tcW w:w="900" w:type="dxa"/>
          </w:tcPr>
          <w:p w14:paraId="7C72EDBD" w14:textId="77777777" w:rsidR="0024039F" w:rsidRDefault="0024039F" w:rsidP="00E012CE">
            <w:pPr>
              <w:rPr>
                <w:lang w:val="en-GB"/>
              </w:rPr>
            </w:pPr>
          </w:p>
        </w:tc>
        <w:tc>
          <w:tcPr>
            <w:tcW w:w="900" w:type="dxa"/>
          </w:tcPr>
          <w:p w14:paraId="601767BD" w14:textId="77777777" w:rsidR="0024039F" w:rsidRDefault="0024039F" w:rsidP="00E012CE">
            <w:pPr>
              <w:rPr>
                <w:lang w:val="en-GB"/>
              </w:rPr>
            </w:pPr>
          </w:p>
        </w:tc>
        <w:tc>
          <w:tcPr>
            <w:tcW w:w="6300" w:type="dxa"/>
          </w:tcPr>
          <w:p w14:paraId="2C9CA669" w14:textId="77777777" w:rsidR="0024039F" w:rsidRDefault="0024039F" w:rsidP="00E012CE">
            <w:pPr>
              <w:rPr>
                <w:lang w:val="en-GB"/>
              </w:rPr>
            </w:pPr>
          </w:p>
        </w:tc>
      </w:tr>
      <w:tr w:rsidR="0024039F" w14:paraId="31F089FE" w14:textId="77777777" w:rsidTr="003E68F3">
        <w:tc>
          <w:tcPr>
            <w:tcW w:w="805" w:type="dxa"/>
          </w:tcPr>
          <w:p w14:paraId="3570C392" w14:textId="77777777" w:rsidR="0024039F" w:rsidRDefault="0024039F" w:rsidP="00E012CE">
            <w:pPr>
              <w:rPr>
                <w:lang w:val="en-GB"/>
              </w:rPr>
            </w:pPr>
          </w:p>
        </w:tc>
        <w:tc>
          <w:tcPr>
            <w:tcW w:w="810" w:type="dxa"/>
          </w:tcPr>
          <w:p w14:paraId="420B9088" w14:textId="77777777" w:rsidR="0024039F" w:rsidRDefault="0024039F" w:rsidP="00E012CE">
            <w:pPr>
              <w:rPr>
                <w:lang w:val="en-GB"/>
              </w:rPr>
            </w:pPr>
          </w:p>
        </w:tc>
        <w:tc>
          <w:tcPr>
            <w:tcW w:w="900" w:type="dxa"/>
          </w:tcPr>
          <w:p w14:paraId="50B478BD" w14:textId="77777777" w:rsidR="0024039F" w:rsidRDefault="0024039F" w:rsidP="00E012CE">
            <w:pPr>
              <w:rPr>
                <w:lang w:val="en-GB"/>
              </w:rPr>
            </w:pPr>
          </w:p>
        </w:tc>
        <w:tc>
          <w:tcPr>
            <w:tcW w:w="900" w:type="dxa"/>
          </w:tcPr>
          <w:p w14:paraId="3688C181" w14:textId="77777777" w:rsidR="0024039F" w:rsidRDefault="0024039F" w:rsidP="00E012CE">
            <w:pPr>
              <w:rPr>
                <w:lang w:val="en-GB"/>
              </w:rPr>
            </w:pPr>
          </w:p>
        </w:tc>
        <w:tc>
          <w:tcPr>
            <w:tcW w:w="6300" w:type="dxa"/>
          </w:tcPr>
          <w:p w14:paraId="00C8C9C0" w14:textId="77777777" w:rsidR="0024039F" w:rsidRDefault="0024039F" w:rsidP="00E012CE">
            <w:pPr>
              <w:rPr>
                <w:lang w:val="en-GB"/>
              </w:rPr>
            </w:pPr>
          </w:p>
        </w:tc>
      </w:tr>
      <w:tr w:rsidR="0024039F" w14:paraId="05DD04EB" w14:textId="77777777" w:rsidTr="003E68F3">
        <w:tc>
          <w:tcPr>
            <w:tcW w:w="805" w:type="dxa"/>
          </w:tcPr>
          <w:p w14:paraId="73EA9470" w14:textId="77777777" w:rsidR="0024039F" w:rsidRDefault="0024039F" w:rsidP="00E012CE">
            <w:pPr>
              <w:rPr>
                <w:lang w:val="en-GB"/>
              </w:rPr>
            </w:pPr>
          </w:p>
        </w:tc>
        <w:tc>
          <w:tcPr>
            <w:tcW w:w="810" w:type="dxa"/>
          </w:tcPr>
          <w:p w14:paraId="094D76C1" w14:textId="77777777" w:rsidR="0024039F" w:rsidRDefault="0024039F" w:rsidP="00E012CE">
            <w:pPr>
              <w:rPr>
                <w:lang w:val="en-GB"/>
              </w:rPr>
            </w:pPr>
          </w:p>
        </w:tc>
        <w:tc>
          <w:tcPr>
            <w:tcW w:w="900" w:type="dxa"/>
          </w:tcPr>
          <w:p w14:paraId="7BD16EC0" w14:textId="77777777" w:rsidR="0024039F" w:rsidRDefault="0024039F" w:rsidP="00E012CE">
            <w:pPr>
              <w:rPr>
                <w:lang w:val="en-GB"/>
              </w:rPr>
            </w:pPr>
          </w:p>
        </w:tc>
        <w:tc>
          <w:tcPr>
            <w:tcW w:w="900" w:type="dxa"/>
          </w:tcPr>
          <w:p w14:paraId="2C92B523" w14:textId="77777777" w:rsidR="0024039F" w:rsidRDefault="0024039F" w:rsidP="00E012CE">
            <w:pPr>
              <w:rPr>
                <w:lang w:val="en-GB"/>
              </w:rPr>
            </w:pPr>
          </w:p>
        </w:tc>
        <w:tc>
          <w:tcPr>
            <w:tcW w:w="6300" w:type="dxa"/>
          </w:tcPr>
          <w:p w14:paraId="75D19F66" w14:textId="77777777" w:rsidR="0024039F" w:rsidRDefault="0024039F" w:rsidP="00E012C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FB32BC" w14:paraId="5E94D978" w14:textId="77777777" w:rsidTr="00E012CE">
        <w:tc>
          <w:tcPr>
            <w:tcW w:w="1555" w:type="dxa"/>
            <w:shd w:val="clear" w:color="auto" w:fill="auto"/>
            <w:vAlign w:val="center"/>
          </w:tcPr>
          <w:p w14:paraId="48CF153C" w14:textId="77777777" w:rsidR="00FB32BC" w:rsidRDefault="00FB32BC" w:rsidP="00084642">
            <w:pPr>
              <w:spacing w:after="0" w:line="276" w:lineRule="auto"/>
              <w:rPr>
                <w:b/>
              </w:rPr>
            </w:pPr>
          </w:p>
        </w:tc>
        <w:tc>
          <w:tcPr>
            <w:tcW w:w="1417" w:type="dxa"/>
            <w:shd w:val="clear" w:color="auto" w:fill="auto"/>
            <w:vAlign w:val="center"/>
          </w:tcPr>
          <w:p w14:paraId="4B6E8958" w14:textId="77777777" w:rsidR="00FB32BC" w:rsidRDefault="00FB32BC" w:rsidP="00084642">
            <w:pPr>
              <w:spacing w:after="0" w:line="276" w:lineRule="auto"/>
              <w:rPr>
                <w:b/>
              </w:rPr>
            </w:pPr>
          </w:p>
        </w:tc>
        <w:tc>
          <w:tcPr>
            <w:tcW w:w="6662" w:type="dxa"/>
            <w:shd w:val="clear" w:color="auto" w:fill="auto"/>
            <w:vAlign w:val="center"/>
          </w:tcPr>
          <w:p w14:paraId="6A97DA0B" w14:textId="77777777" w:rsidR="00FB32BC" w:rsidRDefault="00FB32BC" w:rsidP="00084642">
            <w:pPr>
              <w:spacing w:after="0" w:line="276" w:lineRule="auto"/>
              <w:rPr>
                <w:b/>
              </w:rPr>
            </w:pPr>
          </w:p>
        </w:tc>
      </w:tr>
      <w:tr w:rsidR="00FB32BC" w14:paraId="1363A29C" w14:textId="77777777" w:rsidTr="00E012CE">
        <w:tc>
          <w:tcPr>
            <w:tcW w:w="1555" w:type="dxa"/>
            <w:shd w:val="clear" w:color="auto" w:fill="auto"/>
            <w:vAlign w:val="center"/>
          </w:tcPr>
          <w:p w14:paraId="0F67CC01" w14:textId="77777777" w:rsidR="00FB32BC" w:rsidRDefault="00FB32BC" w:rsidP="00084642">
            <w:pPr>
              <w:spacing w:after="0" w:line="276" w:lineRule="auto"/>
              <w:rPr>
                <w:b/>
              </w:rPr>
            </w:pPr>
          </w:p>
        </w:tc>
        <w:tc>
          <w:tcPr>
            <w:tcW w:w="1417" w:type="dxa"/>
            <w:shd w:val="clear" w:color="auto" w:fill="auto"/>
            <w:vAlign w:val="center"/>
          </w:tcPr>
          <w:p w14:paraId="1C09FC10" w14:textId="77777777" w:rsidR="00FB32BC" w:rsidRDefault="00FB32BC" w:rsidP="00084642">
            <w:pPr>
              <w:spacing w:after="0" w:line="276" w:lineRule="auto"/>
              <w:rPr>
                <w:b/>
              </w:rPr>
            </w:pPr>
          </w:p>
        </w:tc>
        <w:tc>
          <w:tcPr>
            <w:tcW w:w="6662" w:type="dxa"/>
            <w:shd w:val="clear" w:color="auto" w:fill="auto"/>
            <w:vAlign w:val="center"/>
          </w:tcPr>
          <w:p w14:paraId="4617A00B" w14:textId="77777777" w:rsidR="00FB32BC" w:rsidRDefault="00FB32BC" w:rsidP="00084642">
            <w:pPr>
              <w:spacing w:after="0" w:line="276" w:lineRule="auto"/>
              <w:rPr>
                <w:b/>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lastRenderedPageBreak/>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E012CE">
        <w:tc>
          <w:tcPr>
            <w:tcW w:w="1555" w:type="dxa"/>
            <w:shd w:val="clear" w:color="auto" w:fill="auto"/>
            <w:vAlign w:val="center"/>
          </w:tcPr>
          <w:p w14:paraId="2C447246" w14:textId="77777777" w:rsidR="00DD7007" w:rsidRPr="00084642" w:rsidRDefault="00DD7007" w:rsidP="00084642">
            <w:pPr>
              <w:spacing w:after="0" w:line="276" w:lineRule="auto"/>
              <w:rPr>
                <w:bCs/>
              </w:rPr>
            </w:pPr>
          </w:p>
        </w:tc>
        <w:tc>
          <w:tcPr>
            <w:tcW w:w="1417" w:type="dxa"/>
            <w:shd w:val="clear" w:color="auto" w:fill="auto"/>
            <w:vAlign w:val="center"/>
          </w:tcPr>
          <w:p w14:paraId="58E0A88B" w14:textId="77777777" w:rsidR="00DD7007" w:rsidRPr="00084642" w:rsidRDefault="00DD7007" w:rsidP="00084642">
            <w:pPr>
              <w:spacing w:after="0" w:line="276" w:lineRule="auto"/>
              <w:rPr>
                <w:bCs/>
              </w:rPr>
            </w:pPr>
          </w:p>
        </w:tc>
        <w:tc>
          <w:tcPr>
            <w:tcW w:w="6662" w:type="dxa"/>
            <w:shd w:val="clear" w:color="auto" w:fill="auto"/>
            <w:vAlign w:val="center"/>
          </w:tcPr>
          <w:p w14:paraId="3DAEB06B" w14:textId="77777777" w:rsidR="00DD7007" w:rsidRPr="00084642" w:rsidRDefault="00DD7007" w:rsidP="00084642">
            <w:pPr>
              <w:spacing w:after="0" w:line="276" w:lineRule="auto"/>
              <w:rPr>
                <w:bCs/>
              </w:rPr>
            </w:pPr>
          </w:p>
        </w:tc>
      </w:tr>
      <w:tr w:rsidR="00DD7007" w14:paraId="0F76F8AB" w14:textId="77777777" w:rsidTr="00E012CE">
        <w:tc>
          <w:tcPr>
            <w:tcW w:w="1555" w:type="dxa"/>
            <w:shd w:val="clear" w:color="auto" w:fill="auto"/>
            <w:vAlign w:val="center"/>
          </w:tcPr>
          <w:p w14:paraId="710E8708" w14:textId="77777777" w:rsidR="00DD7007" w:rsidRPr="00084642" w:rsidRDefault="00DD7007" w:rsidP="00084642">
            <w:pPr>
              <w:spacing w:after="0" w:line="276" w:lineRule="auto"/>
              <w:rPr>
                <w:bCs/>
              </w:rPr>
            </w:pPr>
          </w:p>
        </w:tc>
        <w:tc>
          <w:tcPr>
            <w:tcW w:w="1417" w:type="dxa"/>
            <w:shd w:val="clear" w:color="auto" w:fill="auto"/>
            <w:vAlign w:val="center"/>
          </w:tcPr>
          <w:p w14:paraId="555F3B69" w14:textId="77777777" w:rsidR="00DD7007" w:rsidRPr="00084642" w:rsidRDefault="00DD7007" w:rsidP="00084642">
            <w:pPr>
              <w:spacing w:after="0" w:line="276" w:lineRule="auto"/>
              <w:rPr>
                <w:bCs/>
              </w:rPr>
            </w:pPr>
          </w:p>
        </w:tc>
        <w:tc>
          <w:tcPr>
            <w:tcW w:w="6662" w:type="dxa"/>
            <w:shd w:val="clear" w:color="auto" w:fill="auto"/>
            <w:vAlign w:val="center"/>
          </w:tcPr>
          <w:p w14:paraId="41770E93" w14:textId="77777777" w:rsidR="00DD7007" w:rsidRPr="00084642" w:rsidRDefault="00DD7007" w:rsidP="00084642">
            <w:pPr>
              <w:spacing w:after="0" w:line="276" w:lineRule="auto"/>
              <w:rPr>
                <w:bCs/>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E012CE">
        <w:tc>
          <w:tcPr>
            <w:tcW w:w="1555" w:type="dxa"/>
            <w:shd w:val="clear" w:color="auto" w:fill="auto"/>
            <w:vAlign w:val="center"/>
          </w:tcPr>
          <w:p w14:paraId="032F2695" w14:textId="77777777" w:rsidR="00DD7007" w:rsidRPr="00084642" w:rsidRDefault="00DD7007" w:rsidP="00084642">
            <w:pPr>
              <w:spacing w:after="0" w:line="276" w:lineRule="auto"/>
              <w:rPr>
                <w:bCs/>
              </w:rPr>
            </w:pPr>
          </w:p>
        </w:tc>
        <w:tc>
          <w:tcPr>
            <w:tcW w:w="1417" w:type="dxa"/>
            <w:shd w:val="clear" w:color="auto" w:fill="auto"/>
            <w:vAlign w:val="center"/>
          </w:tcPr>
          <w:p w14:paraId="42E7C5F2" w14:textId="77777777" w:rsidR="00DD7007" w:rsidRPr="00084642" w:rsidRDefault="00DD7007" w:rsidP="00084642">
            <w:pPr>
              <w:spacing w:after="0" w:line="276" w:lineRule="auto"/>
              <w:rPr>
                <w:bCs/>
              </w:rPr>
            </w:pP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DD7007" w14:paraId="067D3A63" w14:textId="77777777" w:rsidTr="00E012CE">
        <w:tc>
          <w:tcPr>
            <w:tcW w:w="1555" w:type="dxa"/>
            <w:shd w:val="clear" w:color="auto" w:fill="auto"/>
            <w:vAlign w:val="center"/>
          </w:tcPr>
          <w:p w14:paraId="687B7D8B" w14:textId="77777777" w:rsidR="00DD7007" w:rsidRPr="00084642" w:rsidRDefault="00DD7007" w:rsidP="00084642">
            <w:pPr>
              <w:spacing w:after="0" w:line="276" w:lineRule="auto"/>
              <w:rPr>
                <w:bCs/>
              </w:rPr>
            </w:pPr>
          </w:p>
        </w:tc>
        <w:tc>
          <w:tcPr>
            <w:tcW w:w="1417" w:type="dxa"/>
            <w:shd w:val="clear" w:color="auto" w:fill="auto"/>
            <w:vAlign w:val="center"/>
          </w:tcPr>
          <w:p w14:paraId="648C378D" w14:textId="77777777" w:rsidR="00DD7007" w:rsidRPr="00084642" w:rsidRDefault="00DD7007" w:rsidP="00084642">
            <w:pPr>
              <w:spacing w:after="0" w:line="276" w:lineRule="auto"/>
              <w:rPr>
                <w:bCs/>
              </w:rPr>
            </w:pPr>
          </w:p>
        </w:tc>
        <w:tc>
          <w:tcPr>
            <w:tcW w:w="6662" w:type="dxa"/>
            <w:shd w:val="clear" w:color="auto" w:fill="auto"/>
            <w:vAlign w:val="center"/>
          </w:tcPr>
          <w:p w14:paraId="723C184D" w14:textId="77777777" w:rsidR="00DD7007" w:rsidRPr="00084642" w:rsidRDefault="00DD7007" w:rsidP="00084642">
            <w:pPr>
              <w:spacing w:after="0" w:line="276" w:lineRule="auto"/>
              <w:rPr>
                <w:bCs/>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7E73" w14:textId="77777777" w:rsidR="00CB6E9C" w:rsidRDefault="00CB6E9C">
      <w:pPr>
        <w:spacing w:after="0"/>
      </w:pPr>
      <w:r>
        <w:separator/>
      </w:r>
    </w:p>
  </w:endnote>
  <w:endnote w:type="continuationSeparator" w:id="0">
    <w:p w14:paraId="36A79E1C" w14:textId="77777777" w:rsidR="00CB6E9C" w:rsidRDefault="00CB6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C8EC" w14:textId="77777777" w:rsidR="00CB6E9C" w:rsidRDefault="00CB6E9C">
      <w:pPr>
        <w:spacing w:after="0"/>
      </w:pPr>
      <w:r>
        <w:separator/>
      </w:r>
    </w:p>
  </w:footnote>
  <w:footnote w:type="continuationSeparator" w:id="0">
    <w:p w14:paraId="5877D3CC" w14:textId="77777777" w:rsidR="00CB6E9C" w:rsidRDefault="00CB6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0"/>
  </w:num>
  <w:num w:numId="3">
    <w:abstractNumId w:val="15"/>
  </w:num>
  <w:num w:numId="4">
    <w:abstractNumId w:val="28"/>
  </w:num>
  <w:num w:numId="5">
    <w:abstractNumId w:val="22"/>
  </w:num>
  <w:num w:numId="6">
    <w:abstractNumId w:val="7"/>
  </w:num>
  <w:num w:numId="7">
    <w:abstractNumId w:val="8"/>
  </w:num>
  <w:num w:numId="8">
    <w:abstractNumId w:val="14"/>
  </w:num>
  <w:num w:numId="9">
    <w:abstractNumId w:val="21"/>
  </w:num>
  <w:num w:numId="10">
    <w:abstractNumId w:val="2"/>
  </w:num>
  <w:num w:numId="11">
    <w:abstractNumId w:val="20"/>
  </w:num>
  <w:num w:numId="12">
    <w:abstractNumId w:val="4"/>
  </w:num>
  <w:num w:numId="13">
    <w:abstractNumId w:val="24"/>
  </w:num>
  <w:num w:numId="14">
    <w:abstractNumId w:val="19"/>
  </w:num>
  <w:num w:numId="15">
    <w:abstractNumId w:val="17"/>
  </w:num>
  <w:num w:numId="16">
    <w:abstractNumId w:val="3"/>
  </w:num>
  <w:num w:numId="17">
    <w:abstractNumId w:val="25"/>
  </w:num>
  <w:num w:numId="18">
    <w:abstractNumId w:val="13"/>
  </w:num>
  <w:num w:numId="19">
    <w:abstractNumId w:val="29"/>
  </w:num>
  <w:num w:numId="20">
    <w:abstractNumId w:val="16"/>
  </w:num>
  <w:num w:numId="21">
    <w:abstractNumId w:val="12"/>
  </w:num>
  <w:num w:numId="22">
    <w:abstractNumId w:val="6"/>
  </w:num>
  <w:num w:numId="23">
    <w:abstractNumId w:val="23"/>
  </w:num>
  <w:num w:numId="24">
    <w:abstractNumId w:val="5"/>
  </w:num>
  <w:num w:numId="25">
    <w:abstractNumId w:val="11"/>
  </w:num>
  <w:num w:numId="26">
    <w:abstractNumId w:val="9"/>
  </w:num>
  <w:num w:numId="27">
    <w:abstractNumId w:val="18"/>
  </w:num>
  <w:num w:numId="28">
    <w:abstractNumId w:val="10"/>
  </w:num>
  <w:num w:numId="29">
    <w:abstractNumId w:val="2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styleId="UnresolvedMention">
    <w:name w:val="Unresolved Mention"/>
    <w:basedOn w:val="DefaultParagraphFont"/>
    <w:uiPriority w:val="99"/>
    <w:semiHidden/>
    <w:unhideWhenUsed/>
    <w:rsid w:val="00D6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9089868D-43ED-40D5-BFB8-CD8B537A27FC}">
  <ds:schemaRefs>
    <ds:schemaRef ds:uri="http://schemas.openxmlformats.org/officeDocument/2006/bibliography"/>
  </ds:schemaRefs>
</ds:datastoreItem>
</file>

<file path=customXml/itemProps5.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5650</Words>
  <Characters>29948</Characters>
  <Application>Microsoft Office Word</Application>
  <DocSecurity>0</DocSecurity>
  <Lines>249</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Zhenhua Zou</cp:lastModifiedBy>
  <cp:revision>119</cp:revision>
  <cp:lastPrinted>2017-03-22T08:13:00Z</cp:lastPrinted>
  <dcterms:created xsi:type="dcterms:W3CDTF">2022-02-23T19:17:00Z</dcterms:created>
  <dcterms:modified xsi:type="dcterms:W3CDTF">2022-02-24T09:51:00Z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