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af3"/>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eMTC).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Pavan Nuggehalli</w:t>
            </w:r>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3330" w:type="dxa"/>
          </w:tcPr>
          <w:p w14:paraId="47B51506" w14:textId="77777777" w:rsidR="00637B5D" w:rsidRDefault="001702E2">
            <w:pPr>
              <w:spacing w:after="0"/>
              <w:jc w:val="center"/>
              <w:rPr>
                <w:rFonts w:eastAsia="MS Mincho"/>
                <w:bCs/>
                <w:lang w:eastAsia="ja-JP"/>
              </w:rPr>
            </w:pPr>
            <w:r>
              <w:rPr>
                <w:rFonts w:eastAsia="宋体" w:hint="eastAsia"/>
                <w:bCs/>
                <w:lang w:val="en-US" w:eastAsia="zh-CN"/>
              </w:rPr>
              <w:t>Wen wu</w:t>
            </w:r>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宋体"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Huawei, HiSilicon</w:t>
            </w:r>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trPr>
          <w:trHeight w:val="127"/>
        </w:trPr>
        <w:tc>
          <w:tcPr>
            <w:tcW w:w="2155" w:type="dxa"/>
            <w:shd w:val="clear" w:color="auto" w:fill="auto"/>
          </w:tcPr>
          <w:p w14:paraId="353D3D13" w14:textId="2291F2E7" w:rsidR="007F0EBD" w:rsidRDefault="007F0EBD" w:rsidP="007F0EBD">
            <w:pPr>
              <w:spacing w:after="0"/>
              <w:jc w:val="center"/>
              <w:rPr>
                <w:rFonts w:eastAsia="MS Mincho"/>
                <w:bCs/>
                <w:lang w:eastAsia="ja-JP"/>
              </w:rPr>
            </w:pPr>
            <w:r>
              <w:rPr>
                <w:rFonts w:eastAsiaTheme="minorEastAsia" w:hint="eastAsia"/>
                <w:bCs/>
                <w:lang w:eastAsia="zh-CN"/>
              </w:rPr>
              <w:lastRenderedPageBreak/>
              <w:t>S</w:t>
            </w:r>
            <w:r>
              <w:rPr>
                <w:rFonts w:eastAsiaTheme="minorEastAsia"/>
                <w:bCs/>
                <w:lang w:eastAsia="zh-CN"/>
              </w:rPr>
              <w:t>preadtrum</w:t>
            </w:r>
          </w:p>
        </w:tc>
        <w:tc>
          <w:tcPr>
            <w:tcW w:w="3330"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1"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trPr>
          <w:trHeight w:val="127"/>
        </w:trPr>
        <w:tc>
          <w:tcPr>
            <w:tcW w:w="2155"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0"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1"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trPr>
          <w:trHeight w:val="127"/>
        </w:trPr>
        <w:tc>
          <w:tcPr>
            <w:tcW w:w="2155" w:type="dxa"/>
            <w:shd w:val="clear" w:color="auto" w:fill="auto"/>
          </w:tcPr>
          <w:p w14:paraId="36EAEA4D" w14:textId="77777777" w:rsidR="00A541CA" w:rsidRDefault="00A541CA" w:rsidP="00A541CA">
            <w:pPr>
              <w:spacing w:after="0"/>
              <w:jc w:val="center"/>
              <w:rPr>
                <w:rFonts w:eastAsia="MS Mincho"/>
                <w:bCs/>
                <w:lang w:eastAsia="ja-JP"/>
              </w:rPr>
            </w:pPr>
          </w:p>
        </w:tc>
        <w:tc>
          <w:tcPr>
            <w:tcW w:w="3330" w:type="dxa"/>
          </w:tcPr>
          <w:p w14:paraId="6D2B5B2B" w14:textId="77777777" w:rsidR="00A541CA" w:rsidRDefault="00A541CA" w:rsidP="00A541CA">
            <w:pPr>
              <w:spacing w:after="0"/>
              <w:jc w:val="center"/>
              <w:rPr>
                <w:rFonts w:eastAsia="MS Mincho"/>
                <w:bCs/>
                <w:lang w:eastAsia="ja-JP"/>
              </w:rPr>
            </w:pPr>
          </w:p>
        </w:tc>
        <w:tc>
          <w:tcPr>
            <w:tcW w:w="4111" w:type="dxa"/>
            <w:shd w:val="clear" w:color="auto" w:fill="auto"/>
          </w:tcPr>
          <w:p w14:paraId="3355809A" w14:textId="77777777" w:rsidR="00A541CA" w:rsidRDefault="00A541CA" w:rsidP="00A541CA">
            <w:pPr>
              <w:spacing w:after="0"/>
              <w:jc w:val="center"/>
              <w:rPr>
                <w:rFonts w:eastAsia="MS Mincho"/>
                <w:bCs/>
                <w:lang w:eastAsia="ja-JP"/>
              </w:rPr>
            </w:pPr>
          </w:p>
        </w:tc>
      </w:tr>
      <w:tr w:rsidR="00A541CA" w14:paraId="53E33768" w14:textId="77777777">
        <w:trPr>
          <w:trHeight w:val="127"/>
        </w:trPr>
        <w:tc>
          <w:tcPr>
            <w:tcW w:w="2155" w:type="dxa"/>
            <w:shd w:val="clear" w:color="auto" w:fill="auto"/>
          </w:tcPr>
          <w:p w14:paraId="35AC3BDF" w14:textId="77777777" w:rsidR="00A541CA" w:rsidRDefault="00A541CA" w:rsidP="00A541CA">
            <w:pPr>
              <w:spacing w:after="0"/>
              <w:jc w:val="center"/>
              <w:rPr>
                <w:rFonts w:eastAsia="MS Mincho"/>
                <w:bCs/>
                <w:lang w:eastAsia="ja-JP"/>
              </w:rPr>
            </w:pPr>
          </w:p>
        </w:tc>
        <w:tc>
          <w:tcPr>
            <w:tcW w:w="3330" w:type="dxa"/>
          </w:tcPr>
          <w:p w14:paraId="2B81A744" w14:textId="77777777" w:rsidR="00A541CA" w:rsidRDefault="00A541CA" w:rsidP="00A541CA">
            <w:pPr>
              <w:spacing w:after="0"/>
              <w:jc w:val="center"/>
              <w:rPr>
                <w:rFonts w:eastAsia="MS Mincho"/>
                <w:bCs/>
                <w:lang w:eastAsia="ja-JP"/>
              </w:rPr>
            </w:pPr>
          </w:p>
        </w:tc>
        <w:tc>
          <w:tcPr>
            <w:tcW w:w="4111" w:type="dxa"/>
            <w:shd w:val="clear" w:color="auto" w:fill="auto"/>
          </w:tcPr>
          <w:p w14:paraId="27FA9998" w14:textId="77777777" w:rsidR="00A541CA" w:rsidRDefault="00A541CA" w:rsidP="00A541CA">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af4"/>
          <w:rFonts w:ascii="Arial" w:hAnsi="Arial" w:cs="Arial"/>
        </w:rPr>
        <w:t>“2.</w:t>
      </w:r>
      <w:r>
        <w:rPr>
          <w:rStyle w:val="af4"/>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af4"/>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6AFCD5EA"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E83164">
        <w:trPr>
          <w:trHeight w:val="127"/>
        </w:trPr>
        <w:tc>
          <w:tcPr>
            <w:tcW w:w="2155" w:type="dxa"/>
            <w:shd w:val="clear" w:color="auto" w:fill="auto"/>
          </w:tcPr>
          <w:p w14:paraId="3BA4C93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E83164">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hint="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hint="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A541CA" w14:paraId="42B26F80" w14:textId="77777777">
        <w:trPr>
          <w:trHeight w:val="127"/>
        </w:trPr>
        <w:tc>
          <w:tcPr>
            <w:tcW w:w="2155" w:type="dxa"/>
            <w:shd w:val="clear" w:color="auto" w:fill="auto"/>
          </w:tcPr>
          <w:p w14:paraId="541EC876" w14:textId="77777777" w:rsidR="00A541CA" w:rsidRDefault="00A541CA" w:rsidP="00A541CA">
            <w:pPr>
              <w:spacing w:after="0"/>
              <w:jc w:val="center"/>
              <w:rPr>
                <w:rFonts w:eastAsia="MS Mincho"/>
                <w:bCs/>
                <w:lang w:eastAsia="ja-JP"/>
              </w:rPr>
            </w:pPr>
          </w:p>
        </w:tc>
        <w:tc>
          <w:tcPr>
            <w:tcW w:w="2070" w:type="dxa"/>
          </w:tcPr>
          <w:p w14:paraId="3BFD2A30" w14:textId="77777777" w:rsidR="00A541CA" w:rsidRDefault="00A541CA" w:rsidP="00A541CA">
            <w:pPr>
              <w:spacing w:after="0"/>
              <w:jc w:val="center"/>
              <w:rPr>
                <w:rFonts w:eastAsia="MS Mincho"/>
                <w:bCs/>
                <w:lang w:eastAsia="ja-JP"/>
              </w:rPr>
            </w:pPr>
          </w:p>
        </w:tc>
        <w:tc>
          <w:tcPr>
            <w:tcW w:w="5371" w:type="dxa"/>
            <w:shd w:val="clear" w:color="auto" w:fill="auto"/>
          </w:tcPr>
          <w:p w14:paraId="7A484CAD" w14:textId="77777777" w:rsidR="00A541CA" w:rsidRDefault="00A541CA" w:rsidP="00A541CA">
            <w:pPr>
              <w:spacing w:after="0"/>
              <w:jc w:val="center"/>
              <w:rPr>
                <w:rFonts w:eastAsia="MS Mincho"/>
                <w:bCs/>
                <w:lang w:eastAsia="ja-JP"/>
              </w:rPr>
            </w:pPr>
          </w:p>
        </w:tc>
      </w:tr>
      <w:tr w:rsidR="00A541CA" w14:paraId="7BB42CE3" w14:textId="77777777">
        <w:trPr>
          <w:trHeight w:val="127"/>
        </w:trPr>
        <w:tc>
          <w:tcPr>
            <w:tcW w:w="2155" w:type="dxa"/>
            <w:shd w:val="clear" w:color="auto" w:fill="auto"/>
          </w:tcPr>
          <w:p w14:paraId="526C55A5" w14:textId="77777777" w:rsidR="00A541CA" w:rsidRDefault="00A541CA" w:rsidP="00A541CA">
            <w:pPr>
              <w:spacing w:after="0"/>
              <w:jc w:val="center"/>
              <w:rPr>
                <w:rFonts w:eastAsia="MS Mincho"/>
                <w:bCs/>
                <w:lang w:eastAsia="ja-JP"/>
              </w:rPr>
            </w:pPr>
          </w:p>
        </w:tc>
        <w:tc>
          <w:tcPr>
            <w:tcW w:w="2070" w:type="dxa"/>
          </w:tcPr>
          <w:p w14:paraId="211E741C" w14:textId="77777777" w:rsidR="00A541CA" w:rsidRDefault="00A541CA" w:rsidP="00A541CA">
            <w:pPr>
              <w:spacing w:after="0"/>
              <w:jc w:val="center"/>
              <w:rPr>
                <w:rFonts w:eastAsia="MS Mincho"/>
                <w:bCs/>
                <w:lang w:eastAsia="ja-JP"/>
              </w:rPr>
            </w:pP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lastRenderedPageBreak/>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information associated with this valid duration to the network via RRC signalling.</w:t>
        </w:r>
      </w:ins>
    </w:p>
    <w:p w14:paraId="5B82D6B6" w14:textId="77777777" w:rsidR="00637B5D" w:rsidRDefault="001702E2">
      <w:pPr>
        <w:pStyle w:val="af8"/>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5FD90547"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lastRenderedPageBreak/>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r>
              <w:rPr>
                <w:rFonts w:eastAsiaTheme="minorEastAsia" w:hint="eastAsia"/>
                <w:bCs/>
                <w:lang w:eastAsia="zh-CN"/>
              </w:rPr>
              <w:lastRenderedPageBreak/>
              <w:t>S</w:t>
            </w:r>
            <w:r>
              <w:rPr>
                <w:rFonts w:eastAsiaTheme="minorEastAsia"/>
                <w:bCs/>
                <w:lang w:eastAsia="zh-CN"/>
              </w:rPr>
              <w:t>preadtrum</w:t>
            </w:r>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E83164">
        <w:trPr>
          <w:trHeight w:val="127"/>
        </w:trPr>
        <w:tc>
          <w:tcPr>
            <w:tcW w:w="2155" w:type="dxa"/>
            <w:shd w:val="clear" w:color="auto" w:fill="auto"/>
          </w:tcPr>
          <w:p w14:paraId="6F95839A" w14:textId="77777777" w:rsidR="00BD51E9" w:rsidRDefault="00BD51E9" w:rsidP="00E83164">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E83164">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E83164">
            <w:pPr>
              <w:spacing w:after="0"/>
              <w:rPr>
                <w:rFonts w:eastAsiaTheme="minorEastAsia"/>
                <w:bCs/>
                <w:lang w:eastAsia="zh-CN"/>
              </w:rPr>
            </w:pPr>
            <w:r>
              <w:rPr>
                <w:rFonts w:eastAsiaTheme="minorEastAsia"/>
                <w:bCs/>
                <w:lang w:eastAsia="zh-CN"/>
              </w:rPr>
              <w:t>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way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n RAN2#116bis meeting, the agreements was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 xml:space="preserve">UE need to have a valid GNSS fix before going to connected. RAN2 assumes that the UE may need to re-aquire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A541CA" w14:paraId="30063020" w14:textId="77777777">
        <w:trPr>
          <w:trHeight w:val="127"/>
        </w:trPr>
        <w:tc>
          <w:tcPr>
            <w:tcW w:w="2155" w:type="dxa"/>
            <w:shd w:val="clear" w:color="auto" w:fill="auto"/>
          </w:tcPr>
          <w:p w14:paraId="48EA6CAF" w14:textId="77777777" w:rsidR="00A541CA" w:rsidRDefault="00A541CA" w:rsidP="00A541CA">
            <w:pPr>
              <w:spacing w:after="0"/>
              <w:jc w:val="center"/>
              <w:rPr>
                <w:rFonts w:eastAsia="MS Mincho"/>
                <w:bCs/>
                <w:lang w:eastAsia="ja-JP"/>
              </w:rPr>
            </w:pPr>
          </w:p>
        </w:tc>
        <w:tc>
          <w:tcPr>
            <w:tcW w:w="2070" w:type="dxa"/>
          </w:tcPr>
          <w:p w14:paraId="64584260" w14:textId="77777777" w:rsidR="00A541CA" w:rsidRDefault="00A541CA" w:rsidP="00A541CA">
            <w:pPr>
              <w:spacing w:after="0"/>
              <w:jc w:val="center"/>
              <w:rPr>
                <w:rFonts w:eastAsia="MS Mincho"/>
                <w:bCs/>
                <w:lang w:eastAsia="ja-JP"/>
              </w:rPr>
            </w:pPr>
          </w:p>
        </w:tc>
        <w:tc>
          <w:tcPr>
            <w:tcW w:w="5371" w:type="dxa"/>
            <w:shd w:val="clear" w:color="auto" w:fill="auto"/>
          </w:tcPr>
          <w:p w14:paraId="28F73DAF" w14:textId="77777777" w:rsidR="00A541CA" w:rsidRDefault="00A541CA" w:rsidP="00A541CA">
            <w:pPr>
              <w:spacing w:after="0"/>
              <w:jc w:val="center"/>
              <w:rPr>
                <w:rFonts w:eastAsia="MS Mincho"/>
                <w:bCs/>
                <w:lang w:eastAsia="ja-JP"/>
              </w:rPr>
            </w:pPr>
          </w:p>
        </w:tc>
      </w:tr>
      <w:tr w:rsidR="00A541CA" w14:paraId="4AF32E98" w14:textId="77777777">
        <w:trPr>
          <w:trHeight w:val="127"/>
        </w:trPr>
        <w:tc>
          <w:tcPr>
            <w:tcW w:w="2155" w:type="dxa"/>
            <w:shd w:val="clear" w:color="auto" w:fill="auto"/>
          </w:tcPr>
          <w:p w14:paraId="78711563" w14:textId="77777777" w:rsidR="00A541CA" w:rsidRDefault="00A541CA" w:rsidP="00A541CA">
            <w:pPr>
              <w:spacing w:after="0"/>
              <w:jc w:val="center"/>
              <w:rPr>
                <w:rFonts w:eastAsia="MS Mincho"/>
                <w:bCs/>
                <w:lang w:eastAsia="ja-JP"/>
              </w:rPr>
            </w:pPr>
          </w:p>
        </w:tc>
        <w:tc>
          <w:tcPr>
            <w:tcW w:w="2070" w:type="dxa"/>
          </w:tcPr>
          <w:p w14:paraId="254E6809" w14:textId="77777777" w:rsidR="00A541CA" w:rsidRDefault="00A541CA" w:rsidP="00A541CA">
            <w:pPr>
              <w:spacing w:after="0"/>
              <w:jc w:val="center"/>
              <w:rPr>
                <w:rFonts w:eastAsia="MS Mincho"/>
                <w:bCs/>
                <w:lang w:eastAsia="ja-JP"/>
              </w:rPr>
            </w:pPr>
          </w:p>
        </w:tc>
        <w:tc>
          <w:tcPr>
            <w:tcW w:w="5371" w:type="dxa"/>
            <w:shd w:val="clear" w:color="auto" w:fill="auto"/>
          </w:tcPr>
          <w:p w14:paraId="4BF9D87E" w14:textId="77777777" w:rsidR="00A541CA" w:rsidRDefault="00A541CA" w:rsidP="00A541CA">
            <w:pPr>
              <w:spacing w:after="0"/>
              <w:jc w:val="center"/>
              <w:rPr>
                <w:rFonts w:eastAsia="MS Mincho"/>
                <w:bCs/>
                <w:lang w:eastAsia="ja-JP"/>
              </w:rPr>
            </w:pP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af3"/>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lastRenderedPageBreak/>
        <w:t>Hence, based on the above agreement, n order to make some progress on the FFS, the rapporteur would like to ask the following question:</w:t>
      </w:r>
    </w:p>
    <w:p w14:paraId="58D41EB8" w14:textId="77777777" w:rsidR="00637B5D" w:rsidRDefault="001702E2">
      <w:pPr>
        <w:jc w:val="both"/>
        <w:rPr>
          <w:rFonts w:ascii="Arial" w:hAnsi="Arial" w:cs="Arial"/>
          <w:b/>
          <w:bCs/>
          <w:szCs w:val="22"/>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59184007" w14:textId="77777777" w:rsidR="00637B5D" w:rsidRDefault="001702E2">
            <w:pPr>
              <w:spacing w:after="0"/>
              <w:jc w:val="center"/>
              <w:rPr>
                <w:rFonts w:eastAsia="MS Mincho"/>
                <w:bCs/>
                <w:lang w:eastAsia="ja-JP"/>
              </w:rPr>
            </w:pPr>
            <w:r>
              <w:rPr>
                <w:rFonts w:eastAsia="宋体"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宋体"/>
                <w:bCs/>
                <w:lang w:val="en-US" w:eastAsia="zh-CN"/>
              </w:rPr>
            </w:pPr>
            <w:r>
              <w:rPr>
                <w:rFonts w:eastAsia="宋体" w:hint="eastAsia"/>
                <w:bCs/>
                <w:lang w:val="en-US" w:eastAsia="zh-CN"/>
              </w:rPr>
              <w:t xml:space="preserve">We are not sure how the additional </w:t>
            </w:r>
            <w:r>
              <w:rPr>
                <w:rFonts w:eastAsia="宋体"/>
                <w:bCs/>
                <w:lang w:val="en-US" w:eastAsia="zh-CN"/>
              </w:rPr>
              <w:t>“</w:t>
            </w:r>
            <w:r>
              <w:rPr>
                <w:rFonts w:eastAsia="宋体" w:hint="eastAsia"/>
                <w:bCs/>
                <w:lang w:val="en-US" w:eastAsia="zh-CN"/>
              </w:rPr>
              <w:t>mean</w:t>
            </w:r>
            <w:r>
              <w:rPr>
                <w:rFonts w:eastAsia="宋体"/>
                <w:bCs/>
                <w:lang w:val="en-US" w:eastAsia="zh-CN"/>
              </w:rPr>
              <w:t>”</w:t>
            </w:r>
            <w:r>
              <w:rPr>
                <w:rFonts w:eastAsia="宋体"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an be considered if nedded</w:t>
            </w:r>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r>
              <w:rPr>
                <w:lang w:eastAsia="zh-CN"/>
              </w:rPr>
              <w:t>signaling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E83164">
        <w:trPr>
          <w:trHeight w:val="127"/>
        </w:trPr>
        <w:tc>
          <w:tcPr>
            <w:tcW w:w="2155" w:type="dxa"/>
            <w:shd w:val="clear" w:color="auto" w:fill="auto"/>
          </w:tcPr>
          <w:p w14:paraId="668D92E8"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E83164">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E83164">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77777777" w:rsidR="00A541CA" w:rsidRDefault="00A541CA" w:rsidP="00A541CA">
            <w:pPr>
              <w:spacing w:after="0"/>
              <w:jc w:val="center"/>
              <w:rPr>
                <w:rFonts w:eastAsia="MS Mincho"/>
                <w:bCs/>
                <w:lang w:eastAsia="ja-JP"/>
              </w:rPr>
            </w:pPr>
          </w:p>
        </w:tc>
        <w:tc>
          <w:tcPr>
            <w:tcW w:w="2070" w:type="dxa"/>
          </w:tcPr>
          <w:p w14:paraId="14499144" w14:textId="77777777" w:rsidR="00A541CA" w:rsidRDefault="00A541CA" w:rsidP="00A541CA">
            <w:pPr>
              <w:spacing w:after="0"/>
              <w:jc w:val="center"/>
              <w:rPr>
                <w:rFonts w:eastAsia="MS Mincho"/>
                <w:bCs/>
                <w:lang w:eastAsia="ja-JP"/>
              </w:rPr>
            </w:pPr>
          </w:p>
        </w:tc>
        <w:tc>
          <w:tcPr>
            <w:tcW w:w="5371" w:type="dxa"/>
            <w:shd w:val="clear" w:color="auto" w:fill="auto"/>
          </w:tcPr>
          <w:p w14:paraId="65569FB7" w14:textId="77777777" w:rsidR="00A541CA" w:rsidRDefault="00A541CA" w:rsidP="00A541CA">
            <w:pPr>
              <w:spacing w:after="0"/>
              <w:jc w:val="center"/>
              <w:rPr>
                <w:rFonts w:eastAsia="MS Mincho"/>
                <w:bCs/>
                <w:lang w:eastAsia="ja-JP"/>
              </w:rPr>
            </w:pPr>
          </w:p>
        </w:tc>
      </w:tr>
      <w:tr w:rsidR="00A541CA" w14:paraId="79E0D870" w14:textId="77777777">
        <w:trPr>
          <w:trHeight w:val="127"/>
        </w:trPr>
        <w:tc>
          <w:tcPr>
            <w:tcW w:w="2155" w:type="dxa"/>
            <w:shd w:val="clear" w:color="auto" w:fill="auto"/>
          </w:tcPr>
          <w:p w14:paraId="18A9BEC8" w14:textId="77777777" w:rsidR="00A541CA" w:rsidRDefault="00A541CA" w:rsidP="00A541CA">
            <w:pPr>
              <w:spacing w:after="0"/>
              <w:jc w:val="center"/>
              <w:rPr>
                <w:rFonts w:eastAsia="MS Mincho"/>
                <w:bCs/>
                <w:lang w:eastAsia="ja-JP"/>
              </w:rPr>
            </w:pPr>
          </w:p>
        </w:tc>
        <w:tc>
          <w:tcPr>
            <w:tcW w:w="2070" w:type="dxa"/>
          </w:tcPr>
          <w:p w14:paraId="4308C8D6" w14:textId="77777777" w:rsidR="00A541CA" w:rsidRDefault="00A541CA" w:rsidP="00A541CA">
            <w:pPr>
              <w:spacing w:after="0"/>
              <w:jc w:val="center"/>
              <w:rPr>
                <w:rFonts w:eastAsia="MS Mincho"/>
                <w:bCs/>
                <w:lang w:eastAsia="ja-JP"/>
              </w:rPr>
            </w:pPr>
          </w:p>
        </w:tc>
        <w:tc>
          <w:tcPr>
            <w:tcW w:w="5371" w:type="dxa"/>
            <w:shd w:val="clear" w:color="auto" w:fill="auto"/>
          </w:tcPr>
          <w:p w14:paraId="430D8CD6" w14:textId="77777777" w:rsidR="00A541CA" w:rsidRDefault="00A541CA" w:rsidP="00A541CA">
            <w:pPr>
              <w:spacing w:after="0"/>
              <w:jc w:val="center"/>
              <w:rPr>
                <w:rFonts w:eastAsia="MS Mincho"/>
                <w:bCs/>
                <w:lang w:eastAsia="ja-JP"/>
              </w:rPr>
            </w:pP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0311141B"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宋体"/>
                <w:bCs/>
                <w:lang w:val="en-US" w:eastAsia="zh-CN"/>
              </w:rPr>
            </w:pPr>
            <w:r>
              <w:rPr>
                <w:rFonts w:eastAsia="宋体" w:hint="eastAsia"/>
                <w:bCs/>
                <w:lang w:val="en-US" w:eastAsia="zh-CN"/>
              </w:rPr>
              <w:t>So far we don</w:t>
            </w:r>
            <w:r>
              <w:rPr>
                <w:rFonts w:eastAsia="宋体"/>
                <w:bCs/>
                <w:lang w:val="en-US" w:eastAsia="zh-CN"/>
              </w:rPr>
              <w:t>’</w:t>
            </w:r>
            <w:r>
              <w:rPr>
                <w:rFonts w:eastAsia="宋体"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E83164">
        <w:trPr>
          <w:trHeight w:val="127"/>
        </w:trPr>
        <w:tc>
          <w:tcPr>
            <w:tcW w:w="2155" w:type="dxa"/>
            <w:shd w:val="clear" w:color="auto" w:fill="auto"/>
          </w:tcPr>
          <w:p w14:paraId="4ABEB3A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E83164">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hint="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hint="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77777777" w:rsidR="00A541CA" w:rsidRDefault="00A541CA" w:rsidP="00A541CA">
            <w:pPr>
              <w:spacing w:after="0"/>
              <w:jc w:val="center"/>
              <w:rPr>
                <w:rFonts w:eastAsia="MS Mincho"/>
                <w:bCs/>
                <w:lang w:eastAsia="ja-JP"/>
              </w:rPr>
            </w:pPr>
          </w:p>
        </w:tc>
        <w:tc>
          <w:tcPr>
            <w:tcW w:w="2070" w:type="dxa"/>
          </w:tcPr>
          <w:p w14:paraId="60939CB5" w14:textId="77777777" w:rsidR="00A541CA" w:rsidRDefault="00A541CA" w:rsidP="00A541CA">
            <w:pPr>
              <w:spacing w:after="0"/>
              <w:jc w:val="center"/>
              <w:rPr>
                <w:rFonts w:eastAsia="MS Mincho"/>
                <w:bCs/>
                <w:lang w:eastAsia="ja-JP"/>
              </w:rPr>
            </w:pP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77777777" w:rsidR="00A541CA" w:rsidRDefault="00A541CA" w:rsidP="00A541CA">
            <w:pPr>
              <w:spacing w:after="0"/>
              <w:jc w:val="center"/>
              <w:rPr>
                <w:rFonts w:eastAsia="MS Mincho"/>
                <w:bCs/>
                <w:lang w:eastAsia="ja-JP"/>
              </w:rPr>
            </w:pPr>
          </w:p>
        </w:tc>
        <w:tc>
          <w:tcPr>
            <w:tcW w:w="2070" w:type="dxa"/>
          </w:tcPr>
          <w:p w14:paraId="74A5738C" w14:textId="77777777" w:rsidR="00A541CA" w:rsidRDefault="00A541CA" w:rsidP="00A541CA">
            <w:pPr>
              <w:spacing w:after="0"/>
              <w:jc w:val="center"/>
              <w:rPr>
                <w:rFonts w:eastAsia="MS Mincho"/>
                <w:bCs/>
                <w:lang w:eastAsia="ja-JP"/>
              </w:rPr>
            </w:pP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 xml:space="preserve">If the answer to Question 4a is “yes” (i.e., no RAN1 involvement), then the companies are requested to mention any such simple, additional parameter(s) and explain how these parameters can be defined and included without any RAN1 involvement. (Possible additional </w:t>
      </w:r>
      <w:r>
        <w:rPr>
          <w:rFonts w:ascii="Arial" w:hAnsi="Arial" w:cs="Arial"/>
          <w:b/>
          <w:bCs/>
          <w:szCs w:val="22"/>
        </w:rPr>
        <w:lastRenderedPageBreak/>
        <w:t>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r>
              <w:rPr>
                <w:rFonts w:eastAsia="宋体" w:hint="eastAsia"/>
                <w:bCs/>
                <w:lang w:val="en-US" w:eastAsia="zh-CN"/>
              </w:rPr>
              <w:t>Transsion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lastRenderedPageBreak/>
              <w:t xml:space="preserve">the </w:t>
            </w:r>
            <w:r>
              <w:rPr>
                <w:rFonts w:eastAsia="Calibri"/>
              </w:rPr>
              <w:t xml:space="preserve">cell footprint size </w:t>
            </w:r>
            <w:r>
              <w:rPr>
                <w:rFonts w:eastAsia="宋体"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宋体"/>
                <w:bCs/>
                <w:lang w:val="en-US" w:eastAsia="zh-CN"/>
              </w:rPr>
            </w:pPr>
            <w:r>
              <w:rPr>
                <w:rFonts w:eastAsia="宋体" w:hint="eastAsia"/>
                <w:bCs/>
                <w:lang w:val="en-US" w:eastAsia="zh-CN"/>
              </w:rPr>
              <w:lastRenderedPageBreak/>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af8"/>
              <w:numPr>
                <w:ilvl w:val="0"/>
                <w:numId w:val="8"/>
              </w:numPr>
              <w:spacing w:after="0"/>
              <w:jc w:val="both"/>
              <w:rPr>
                <w:rFonts w:eastAsia="MS Mincho"/>
                <w:bCs/>
                <w:lang w:eastAsia="ja-JP"/>
              </w:rPr>
            </w:pPr>
            <w:r w:rsidRPr="001702E2">
              <w:rPr>
                <w:rFonts w:eastAsia="MS Mincho"/>
                <w:bCs/>
                <w:lang w:eastAsia="ja-JP"/>
              </w:rPr>
              <w:t>cell’s coverage area information (e.g. cell center, radius)</w:t>
            </w:r>
            <w:r>
              <w:rPr>
                <w:rFonts w:eastAsia="MS Mincho"/>
                <w:bCs/>
                <w:lang w:eastAsia="ja-JP"/>
              </w:rPr>
              <w:t xml:space="preserve"> for quasi-fixed.</w:t>
            </w:r>
          </w:p>
          <w:p w14:paraId="331F7F75" w14:textId="221EBE58" w:rsidR="001702E2" w:rsidRPr="001702E2" w:rsidRDefault="001702E2" w:rsidP="001702E2">
            <w:pPr>
              <w:pStyle w:val="af8"/>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center, and cell center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af8"/>
              <w:numPr>
                <w:ilvl w:val="0"/>
                <w:numId w:val="9"/>
              </w:numPr>
              <w:spacing w:after="0"/>
              <w:rPr>
                <w:rFonts w:eastAsia="MS Mincho"/>
                <w:bCs/>
                <w:lang w:eastAsia="ja-JP"/>
              </w:rPr>
            </w:pPr>
            <w:r>
              <w:rPr>
                <w:rFonts w:eastAsia="MS Mincho"/>
                <w:bCs/>
                <w:lang w:eastAsia="ja-JP"/>
              </w:rPr>
              <w:t>cell center</w:t>
            </w:r>
          </w:p>
          <w:p w14:paraId="4A09B838" w14:textId="7A865D9C" w:rsidR="00E042FC" w:rsidRPr="00E042FC" w:rsidRDefault="0094554A" w:rsidP="0094554A">
            <w:pPr>
              <w:pStyle w:val="af8"/>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center</w:t>
            </w:r>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center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is  if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Huawei, HiSilicon</w:t>
            </w:r>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53" w:type="dxa"/>
          </w:tcPr>
          <w:p w14:paraId="2DA9DF82" w14:textId="77777777" w:rsidR="007F0EBD" w:rsidRDefault="007F0EBD" w:rsidP="007F0EBD">
            <w:pPr>
              <w:pStyle w:val="af8"/>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af8"/>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af8"/>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E83164">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E83164">
            <w:pPr>
              <w:pStyle w:val="af8"/>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E83164">
            <w:pPr>
              <w:pStyle w:val="af8"/>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E83164">
            <w:pPr>
              <w:pStyle w:val="af8"/>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E83164">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E83164">
            <w:pPr>
              <w:spacing w:after="0"/>
              <w:rPr>
                <w:rFonts w:eastAsia="MS Mincho"/>
                <w:bCs/>
                <w:lang w:eastAsia="ja-JP"/>
              </w:rPr>
            </w:pPr>
          </w:p>
          <w:p w14:paraId="407F55B2" w14:textId="77777777" w:rsidR="00BD51E9" w:rsidRPr="00314C0C" w:rsidRDefault="00BD51E9" w:rsidP="00E83164">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bookmarkStart w:id="10" w:name="_GoBack"/>
            <w:bookmarkEnd w:id="10"/>
            <w:r>
              <w:rPr>
                <w:rFonts w:eastAsiaTheme="minorEastAsia"/>
                <w:bCs/>
                <w:lang w:eastAsia="zh-CN"/>
              </w:rPr>
              <w:t>For earth moving case, the parameters are not needed.</w:t>
            </w:r>
          </w:p>
        </w:tc>
      </w:tr>
      <w:tr w:rsidR="00A541CA" w14:paraId="1B942C01" w14:textId="77777777">
        <w:trPr>
          <w:trHeight w:val="127"/>
        </w:trPr>
        <w:tc>
          <w:tcPr>
            <w:tcW w:w="1947" w:type="dxa"/>
            <w:shd w:val="clear" w:color="auto" w:fill="auto"/>
          </w:tcPr>
          <w:p w14:paraId="68471E68" w14:textId="77777777" w:rsidR="00A541CA" w:rsidRDefault="00A541CA" w:rsidP="00A541CA">
            <w:pPr>
              <w:spacing w:after="0"/>
              <w:jc w:val="center"/>
              <w:rPr>
                <w:rFonts w:eastAsia="MS Mincho"/>
                <w:bCs/>
                <w:lang w:eastAsia="ja-JP"/>
              </w:rPr>
            </w:pPr>
          </w:p>
        </w:tc>
        <w:tc>
          <w:tcPr>
            <w:tcW w:w="2053" w:type="dxa"/>
          </w:tcPr>
          <w:p w14:paraId="0B6661C3" w14:textId="77777777" w:rsidR="00A541CA" w:rsidRDefault="00A541CA" w:rsidP="00A541CA">
            <w:pPr>
              <w:spacing w:after="0"/>
              <w:jc w:val="center"/>
              <w:rPr>
                <w:rFonts w:eastAsia="MS Mincho"/>
                <w:bCs/>
                <w:lang w:eastAsia="ja-JP"/>
              </w:rPr>
            </w:pPr>
          </w:p>
        </w:tc>
        <w:tc>
          <w:tcPr>
            <w:tcW w:w="5596" w:type="dxa"/>
            <w:shd w:val="clear" w:color="auto" w:fill="auto"/>
          </w:tcPr>
          <w:p w14:paraId="71C1317B" w14:textId="77777777" w:rsidR="00A541CA" w:rsidRDefault="00A541CA" w:rsidP="00A541CA">
            <w:pPr>
              <w:spacing w:after="0"/>
              <w:jc w:val="center"/>
              <w:rPr>
                <w:rFonts w:eastAsia="MS Mincho"/>
                <w:bCs/>
                <w:lang w:eastAsia="ja-JP"/>
              </w:rPr>
            </w:pPr>
          </w:p>
        </w:tc>
      </w:tr>
      <w:tr w:rsidR="00A541CA" w14:paraId="046B7E00" w14:textId="77777777">
        <w:trPr>
          <w:trHeight w:val="127"/>
        </w:trPr>
        <w:tc>
          <w:tcPr>
            <w:tcW w:w="1947" w:type="dxa"/>
            <w:shd w:val="clear" w:color="auto" w:fill="auto"/>
          </w:tcPr>
          <w:p w14:paraId="1E68E0A2" w14:textId="77777777" w:rsidR="00A541CA" w:rsidRDefault="00A541CA" w:rsidP="00A541CA">
            <w:pPr>
              <w:spacing w:after="0"/>
              <w:jc w:val="center"/>
              <w:rPr>
                <w:rFonts w:eastAsia="MS Mincho"/>
                <w:bCs/>
                <w:lang w:eastAsia="ja-JP"/>
              </w:rPr>
            </w:pPr>
          </w:p>
        </w:tc>
        <w:tc>
          <w:tcPr>
            <w:tcW w:w="2053" w:type="dxa"/>
          </w:tcPr>
          <w:p w14:paraId="387E5828" w14:textId="77777777" w:rsidR="00A541CA" w:rsidRDefault="00A541CA" w:rsidP="00A541CA">
            <w:pPr>
              <w:spacing w:after="0"/>
              <w:jc w:val="center"/>
              <w:rPr>
                <w:rFonts w:eastAsia="MS Mincho"/>
                <w:bCs/>
                <w:lang w:eastAsia="ja-JP"/>
              </w:rPr>
            </w:pPr>
          </w:p>
        </w:tc>
        <w:tc>
          <w:tcPr>
            <w:tcW w:w="5596" w:type="dxa"/>
            <w:shd w:val="clear" w:color="auto" w:fill="auto"/>
          </w:tcPr>
          <w:p w14:paraId="6208BDF0" w14:textId="77777777" w:rsidR="00A541CA" w:rsidRDefault="00A541CA" w:rsidP="00A541CA">
            <w:pPr>
              <w:spacing w:after="0"/>
              <w:jc w:val="center"/>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OI 2.13 [Other] UE location reporting in eMTC</w:t>
      </w:r>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1"/>
      </w:pPr>
      <w:r>
        <w:t>6 References</w:t>
      </w:r>
    </w:p>
    <w:p w14:paraId="53863E5F" w14:textId="77777777" w:rsidR="00637B5D" w:rsidRDefault="001702E2">
      <w:pPr>
        <w:pStyle w:val="af8"/>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af8"/>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t>Transsion Holdings</w:t>
      </w:r>
    </w:p>
    <w:p w14:paraId="6DEB9D23" w14:textId="77777777" w:rsidR="00637B5D" w:rsidRDefault="001702E2">
      <w:pPr>
        <w:pStyle w:val="af8"/>
        <w:numPr>
          <w:ilvl w:val="0"/>
          <w:numId w:val="6"/>
        </w:numPr>
        <w:spacing w:before="60" w:after="0"/>
        <w:rPr>
          <w:sz w:val="21"/>
          <w:szCs w:val="21"/>
        </w:rPr>
      </w:pPr>
      <w:r>
        <w:rPr>
          <w:sz w:val="21"/>
          <w:szCs w:val="21"/>
        </w:rPr>
        <w:t>R2-2202414 Discussion on the remaining issue of IoT over NTN</w:t>
      </w:r>
      <w:r>
        <w:rPr>
          <w:sz w:val="21"/>
          <w:szCs w:val="21"/>
        </w:rPr>
        <w:tab/>
        <w:t>Spreadtrum Communications</w:t>
      </w:r>
    </w:p>
    <w:p w14:paraId="02F83CD5" w14:textId="77777777" w:rsidR="00637B5D" w:rsidRDefault="001702E2">
      <w:pPr>
        <w:pStyle w:val="af8"/>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af8"/>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af8"/>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af8"/>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af8"/>
        <w:numPr>
          <w:ilvl w:val="0"/>
          <w:numId w:val="6"/>
        </w:numPr>
        <w:spacing w:before="60" w:after="0"/>
        <w:rPr>
          <w:sz w:val="21"/>
          <w:szCs w:val="21"/>
        </w:rPr>
      </w:pPr>
      <w:r>
        <w:rPr>
          <w:sz w:val="21"/>
          <w:szCs w:val="21"/>
        </w:rPr>
        <w:t>R2-2202562 Signalling of multiple TACs per PLMN in eMTC and NB-IoT</w:t>
      </w:r>
      <w:r>
        <w:rPr>
          <w:sz w:val="21"/>
          <w:szCs w:val="21"/>
        </w:rPr>
        <w:tab/>
        <w:t>Qualcomm Incorporated</w:t>
      </w:r>
    </w:p>
    <w:p w14:paraId="5AF021C4" w14:textId="77777777" w:rsidR="00637B5D" w:rsidRDefault="001702E2">
      <w:pPr>
        <w:pStyle w:val="af8"/>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af8"/>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af8"/>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af8"/>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af8"/>
        <w:numPr>
          <w:ilvl w:val="0"/>
          <w:numId w:val="6"/>
        </w:numPr>
        <w:spacing w:before="60" w:after="0"/>
        <w:rPr>
          <w:sz w:val="21"/>
          <w:szCs w:val="21"/>
        </w:rPr>
      </w:pPr>
      <w:r>
        <w:rPr>
          <w:sz w:val="21"/>
          <w:szCs w:val="21"/>
        </w:rPr>
        <w:lastRenderedPageBreak/>
        <w:t xml:space="preserve"> R2-2202746 Remaining issues of user plane in IoT NTN</w:t>
      </w:r>
      <w:r>
        <w:rPr>
          <w:sz w:val="21"/>
          <w:szCs w:val="21"/>
        </w:rPr>
        <w:tab/>
        <w:t>ZTE Corporation, Sanechips</w:t>
      </w:r>
    </w:p>
    <w:p w14:paraId="7DDD54D1" w14:textId="77777777" w:rsidR="00637B5D" w:rsidRDefault="001702E2">
      <w:pPr>
        <w:pStyle w:val="af8"/>
        <w:numPr>
          <w:ilvl w:val="0"/>
          <w:numId w:val="6"/>
        </w:numPr>
        <w:spacing w:before="60" w:after="0"/>
        <w:rPr>
          <w:sz w:val="21"/>
          <w:szCs w:val="21"/>
        </w:rPr>
      </w:pPr>
      <w:r>
        <w:rPr>
          <w:sz w:val="21"/>
          <w:szCs w:val="21"/>
        </w:rPr>
        <w:t xml:space="preserve"> R2-2202747 Remaining issues of control plane in IoT NTN</w:t>
      </w:r>
      <w:r>
        <w:rPr>
          <w:sz w:val="21"/>
          <w:szCs w:val="21"/>
        </w:rPr>
        <w:tab/>
        <w:t>ZTE Corporation, Sanechips</w:t>
      </w:r>
    </w:p>
    <w:p w14:paraId="2F0BBF93" w14:textId="77777777" w:rsidR="00637B5D" w:rsidRDefault="001702E2">
      <w:pPr>
        <w:pStyle w:val="af8"/>
        <w:numPr>
          <w:ilvl w:val="0"/>
          <w:numId w:val="6"/>
        </w:numPr>
        <w:spacing w:before="60" w:after="0"/>
        <w:rPr>
          <w:sz w:val="21"/>
          <w:szCs w:val="21"/>
        </w:rPr>
      </w:pPr>
      <w:r>
        <w:rPr>
          <w:sz w:val="21"/>
          <w:szCs w:val="21"/>
        </w:rPr>
        <w:t xml:space="preserve"> R2-2202748 Remaining issues of discontinuous coverage in IoT NTN</w:t>
      </w:r>
      <w:r>
        <w:rPr>
          <w:sz w:val="21"/>
          <w:szCs w:val="21"/>
        </w:rPr>
        <w:tab/>
        <w:t>ZTE Corporation, Sanechips</w:t>
      </w:r>
    </w:p>
    <w:p w14:paraId="70C148BC" w14:textId="77777777" w:rsidR="00637B5D" w:rsidRDefault="001702E2">
      <w:pPr>
        <w:pStyle w:val="af8"/>
        <w:numPr>
          <w:ilvl w:val="0"/>
          <w:numId w:val="6"/>
        </w:numPr>
        <w:spacing w:before="60" w:after="0"/>
        <w:rPr>
          <w:sz w:val="21"/>
          <w:szCs w:val="21"/>
        </w:rPr>
      </w:pPr>
      <w:r>
        <w:rPr>
          <w:sz w:val="21"/>
          <w:szCs w:val="21"/>
        </w:rPr>
        <w:t xml:space="preserve"> R2-2202749 Remaining issues of UE capabilities in IoT NTN</w:t>
      </w:r>
      <w:r>
        <w:rPr>
          <w:sz w:val="21"/>
          <w:szCs w:val="21"/>
        </w:rPr>
        <w:tab/>
        <w:t>ZTE Corporation, Sanechips</w:t>
      </w:r>
    </w:p>
    <w:p w14:paraId="42104870" w14:textId="77777777" w:rsidR="00637B5D" w:rsidRDefault="001702E2">
      <w:pPr>
        <w:pStyle w:val="af8"/>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af8"/>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af8"/>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af8"/>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af8"/>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af8"/>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af8"/>
        <w:numPr>
          <w:ilvl w:val="0"/>
          <w:numId w:val="6"/>
        </w:numPr>
        <w:spacing w:before="60" w:after="0"/>
        <w:rPr>
          <w:sz w:val="21"/>
          <w:szCs w:val="21"/>
        </w:rPr>
      </w:pPr>
      <w:r>
        <w:rPr>
          <w:sz w:val="21"/>
          <w:szCs w:val="21"/>
        </w:rPr>
        <w:t xml:space="preserve"> R2-2203081 Open Issue on UP and Discontinous Coverage</w:t>
      </w:r>
      <w:r>
        <w:rPr>
          <w:sz w:val="21"/>
          <w:szCs w:val="21"/>
        </w:rPr>
        <w:tab/>
        <w:t>CATT</w:t>
      </w:r>
    </w:p>
    <w:p w14:paraId="53F4ABDF" w14:textId="77777777" w:rsidR="00637B5D" w:rsidRDefault="001702E2">
      <w:pPr>
        <w:pStyle w:val="af8"/>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af8"/>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af8"/>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t>Huawei, HiSilicon</w:t>
      </w:r>
    </w:p>
    <w:p w14:paraId="405922BB" w14:textId="77777777" w:rsidR="00637B5D" w:rsidRDefault="001702E2">
      <w:pPr>
        <w:pStyle w:val="af8"/>
        <w:numPr>
          <w:ilvl w:val="0"/>
          <w:numId w:val="6"/>
        </w:numPr>
        <w:spacing w:before="60" w:after="0"/>
        <w:rPr>
          <w:sz w:val="21"/>
          <w:szCs w:val="21"/>
        </w:rPr>
      </w:pPr>
      <w:r>
        <w:rPr>
          <w:sz w:val="21"/>
          <w:szCs w:val="21"/>
        </w:rPr>
        <w:t xml:space="preserve"> R2-2203223 OI 3.5: Discussion on non continuous coverage</w:t>
      </w:r>
      <w:r>
        <w:rPr>
          <w:sz w:val="21"/>
          <w:szCs w:val="21"/>
        </w:rPr>
        <w:tab/>
        <w:t>Huawei, HiSilicon</w:t>
      </w:r>
    </w:p>
    <w:p w14:paraId="36963C05" w14:textId="77777777" w:rsidR="00637B5D" w:rsidRDefault="001702E2">
      <w:pPr>
        <w:pStyle w:val="af8"/>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af8"/>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af8"/>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af8"/>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af8"/>
        <w:numPr>
          <w:ilvl w:val="0"/>
          <w:numId w:val="6"/>
        </w:numPr>
        <w:spacing w:before="60" w:after="0"/>
        <w:rPr>
          <w:sz w:val="21"/>
          <w:szCs w:val="21"/>
        </w:rPr>
      </w:pPr>
      <w:r>
        <w:rPr>
          <w:sz w:val="21"/>
          <w:szCs w:val="21"/>
        </w:rPr>
        <w:t xml:space="preserve"> R2-2203530 On GNSS validity duration reporting</w:t>
      </w:r>
      <w:r>
        <w:rPr>
          <w:sz w:val="21"/>
          <w:szCs w:val="21"/>
        </w:rPr>
        <w:tab/>
        <w:t>Ericsson, Nokia, Nokia Shanghai Bell, Turkcell, NEC, Qualcomm, ZTE.</w:t>
      </w:r>
    </w:p>
    <w:p w14:paraId="3F72703F"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af8"/>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FC32B" w14:textId="77777777" w:rsidR="00A56297" w:rsidRDefault="00A56297" w:rsidP="00350DA2">
      <w:pPr>
        <w:spacing w:after="0" w:line="240" w:lineRule="auto"/>
      </w:pPr>
      <w:r>
        <w:separator/>
      </w:r>
    </w:p>
  </w:endnote>
  <w:endnote w:type="continuationSeparator" w:id="0">
    <w:p w14:paraId="691D4D7E" w14:textId="77777777" w:rsidR="00A56297" w:rsidRDefault="00A56297"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96854" w14:textId="77777777" w:rsidR="00A56297" w:rsidRDefault="00A56297" w:rsidP="00350DA2">
      <w:pPr>
        <w:spacing w:after="0" w:line="240" w:lineRule="auto"/>
      </w:pPr>
      <w:r>
        <w:separator/>
      </w:r>
    </w:p>
  </w:footnote>
  <w:footnote w:type="continuationSeparator" w:id="0">
    <w:p w14:paraId="07A6BC11" w14:textId="77777777" w:rsidR="00A56297" w:rsidRDefault="00A56297"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0"/>
  </w:num>
  <w:num w:numId="6">
    <w:abstractNumId w:val="4"/>
  </w:num>
  <w:num w:numId="7">
    <w:abstractNumId w:val="1"/>
  </w:num>
  <w:num w:numId="8">
    <w:abstractNumId w:val="3"/>
  </w:num>
  <w:num w:numId="9">
    <w:abstractNumId w:val="5"/>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line="259" w:lineRule="auto"/>
    </w:pPr>
    <w:rPr>
      <w:lang w:val="en-GB" w:eastAsia="en-GB"/>
    </w:rPr>
  </w:style>
  <w:style w:type="paragraph" w:styleId="1">
    <w:name w:val="heading 1"/>
    <w:next w:val="a"/>
    <w:link w:val="10"/>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i/>
      <w:iCs/>
      <w:color w:val="44546A" w:themeColor="text2"/>
      <w:sz w:val="18"/>
      <w:szCs w:val="18"/>
    </w:rPr>
  </w:style>
  <w:style w:type="paragraph" w:styleId="a4">
    <w:name w:val="annotation text"/>
    <w:basedOn w:val="a"/>
    <w:link w:val="a5"/>
    <w:uiPriority w:val="99"/>
    <w:unhideWhenUsed/>
  </w:style>
  <w:style w:type="paragraph" w:styleId="a6">
    <w:name w:val="Body Text"/>
    <w:basedOn w:val="a"/>
    <w:link w:val="a7"/>
    <w:qFormat/>
    <w:pPr>
      <w:overflowPunct w:val="0"/>
      <w:autoSpaceDE w:val="0"/>
      <w:autoSpaceDN w:val="0"/>
      <w:adjustRightInd w:val="0"/>
      <w:spacing w:after="120"/>
      <w:jc w:val="both"/>
      <w:textAlignment w:val="baseline"/>
    </w:pPr>
    <w:rPr>
      <w:rFonts w:ascii="Arial" w:eastAsia="宋体" w:hAnsi="Arial"/>
      <w:lang w:eastAsia="zh-CN"/>
    </w:rPr>
  </w:style>
  <w:style w:type="paragraph" w:styleId="a8">
    <w:name w:val="Balloon Text"/>
    <w:basedOn w:val="a"/>
    <w:link w:val="a9"/>
    <w:uiPriority w:val="99"/>
    <w:semiHidden/>
    <w:unhideWhenUsed/>
    <w:qFormat/>
    <w:pPr>
      <w:spacing w:after="0"/>
    </w:pPr>
    <w:rPr>
      <w:rFonts w:ascii="Segoe UI" w:hAnsi="Segoe UI" w:cs="Segoe UI"/>
      <w:sz w:val="18"/>
      <w:szCs w:val="18"/>
    </w:r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
    <w:name w:val="Normal (Web)"/>
    <w:basedOn w:val="a"/>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af0">
    <w:name w:val="Title"/>
    <w:basedOn w:val="a"/>
    <w:next w:val="a"/>
    <w:uiPriority w:val="10"/>
    <w:qFormat/>
    <w:pPr>
      <w:keepNext/>
      <w:keepLines/>
      <w:spacing w:before="480" w:after="120"/>
    </w:pPr>
    <w:rPr>
      <w:b/>
      <w:sz w:val="72"/>
      <w:szCs w:val="72"/>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FollowedHyperlink"/>
    <w:basedOn w:val="a0"/>
    <w:uiPriority w:val="99"/>
    <w:semiHidden/>
    <w:unhideWhenUsed/>
    <w:qFormat/>
    <w:rPr>
      <w:color w:val="954F72" w:themeColor="followedHyperlink"/>
      <w:u w:val="single"/>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16"/>
      <w:szCs w:val="16"/>
    </w:rPr>
  </w:style>
  <w:style w:type="character" w:customStyle="1" w:styleId="10">
    <w:name w:val="标题 1 字符"/>
    <w:basedOn w:val="a0"/>
    <w:link w:val="1"/>
    <w:qFormat/>
    <w:rPr>
      <w:rFonts w:ascii="Arial" w:eastAsia="Malgun Gothic" w:hAnsi="Arial" w:cs="Times New Roman"/>
      <w:sz w:val="36"/>
      <w:szCs w:val="20"/>
      <w:lang w:val="en-GB"/>
    </w:rPr>
  </w:style>
  <w:style w:type="paragraph" w:customStyle="1" w:styleId="Doc-title">
    <w:name w:val="Doc-title"/>
    <w:basedOn w:val="a"/>
    <w:next w:val="a"/>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af8">
    <w:name w:val="List Paragraph"/>
    <w:basedOn w:val="a"/>
    <w:link w:val="af9"/>
    <w:uiPriority w:val="34"/>
    <w:qFormat/>
    <w:pPr>
      <w:ind w:left="720"/>
      <w:contextualSpacing/>
    </w:pPr>
  </w:style>
  <w:style w:type="character" w:customStyle="1" w:styleId="a7">
    <w:name w:val="正文文本 字符"/>
    <w:basedOn w:val="a0"/>
    <w:link w:val="a6"/>
    <w:qFormat/>
    <w:rPr>
      <w:rFonts w:ascii="Arial" w:eastAsia="宋体" w:hAnsi="Arial" w:cs="Times New Roman"/>
      <w:sz w:val="20"/>
      <w:szCs w:val="20"/>
      <w:lang w:val="en-GB" w:eastAsia="zh-CN"/>
    </w:rPr>
  </w:style>
  <w:style w:type="paragraph" w:customStyle="1" w:styleId="Agreement">
    <w:name w:val="Agreement"/>
    <w:basedOn w:val="a"/>
    <w:next w:val="a"/>
    <w:qFormat/>
    <w:pPr>
      <w:numPr>
        <w:numId w:val="1"/>
      </w:numPr>
      <w:spacing w:before="60" w:after="0"/>
    </w:pPr>
    <w:rPr>
      <w:rFonts w:ascii="Arial" w:eastAsia="MS Mincho"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ad">
    <w:name w:val="页眉 字符"/>
    <w:basedOn w:val="a0"/>
    <w:link w:val="ac"/>
    <w:uiPriority w:val="99"/>
    <w:qFormat/>
    <w:rPr>
      <w:rFonts w:ascii="Times New Roman" w:eastAsia="Malgun Gothic" w:hAnsi="Times New Roman" w:cs="Times New Roman"/>
      <w:sz w:val="18"/>
      <w:szCs w:val="18"/>
      <w:lang w:val="en-GB"/>
    </w:rPr>
  </w:style>
  <w:style w:type="character" w:customStyle="1" w:styleId="ab">
    <w:name w:val="页脚 字符"/>
    <w:basedOn w:val="a0"/>
    <w:link w:val="aa"/>
    <w:uiPriority w:val="99"/>
    <w:qFormat/>
    <w:rPr>
      <w:rFonts w:ascii="Times New Roman" w:eastAsia="Malgun Gothic" w:hAnsi="Times New Roman" w:cs="Times New Roman"/>
      <w:sz w:val="18"/>
      <w:szCs w:val="18"/>
      <w:lang w:val="en-GB"/>
    </w:rPr>
  </w:style>
  <w:style w:type="character" w:customStyle="1" w:styleId="a5">
    <w:name w:val="批注文字 字符"/>
    <w:basedOn w:val="a0"/>
    <w:link w:val="a4"/>
    <w:uiPriority w:val="99"/>
    <w:qFormat/>
    <w:rPr>
      <w:rFonts w:ascii="Times New Roman" w:eastAsia="Malgun Gothic" w:hAnsi="Times New Roman" w:cs="Times New Roman"/>
      <w:sz w:val="20"/>
      <w:szCs w:val="20"/>
      <w:lang w:val="en-GB"/>
    </w:rPr>
  </w:style>
  <w:style w:type="character" w:customStyle="1" w:styleId="af2">
    <w:name w:val="批注主题 字符"/>
    <w:basedOn w:val="a5"/>
    <w:link w:val="af1"/>
    <w:uiPriority w:val="99"/>
    <w:semiHidden/>
    <w:qFormat/>
    <w:rPr>
      <w:rFonts w:ascii="Times New Roman" w:eastAsia="Malgun Gothic" w:hAnsi="Times New Roman" w:cs="Times New Roman"/>
      <w:b/>
      <w:bCs/>
      <w:sz w:val="20"/>
      <w:szCs w:val="20"/>
      <w:lang w:val="en-GB"/>
    </w:rPr>
  </w:style>
  <w:style w:type="character" w:customStyle="1" w:styleId="a9">
    <w:name w:val="批注框文本 字符"/>
    <w:basedOn w:val="a0"/>
    <w:link w:val="a8"/>
    <w:uiPriority w:val="99"/>
    <w:semiHidden/>
    <w:qFormat/>
    <w:rPr>
      <w:rFonts w:ascii="Segoe UI" w:eastAsia="Malgun Gothic" w:hAnsi="Segoe UI" w:cs="Segoe UI"/>
      <w:sz w:val="18"/>
      <w:szCs w:val="18"/>
      <w:lang w:val="en-GB"/>
    </w:rPr>
  </w:style>
  <w:style w:type="table" w:customStyle="1" w:styleId="Style33">
    <w:name w:val="_Style 33"/>
    <w:basedOn w:val="a1"/>
    <w:qFormat/>
    <w:tblPr/>
  </w:style>
  <w:style w:type="table" w:customStyle="1" w:styleId="Style34">
    <w:name w:val="_Style 34"/>
    <w:basedOn w:val="a1"/>
    <w:qFormat/>
    <w:tblPr/>
  </w:style>
  <w:style w:type="table" w:customStyle="1" w:styleId="Style35">
    <w:name w:val="_Style 35"/>
    <w:basedOn w:val="a1"/>
    <w:qFormat/>
    <w:tblPr/>
  </w:style>
  <w:style w:type="table" w:customStyle="1" w:styleId="Style36">
    <w:name w:val="_Style 36"/>
    <w:basedOn w:val="a1"/>
    <w:qFormat/>
    <w:tblPr/>
  </w:style>
  <w:style w:type="table" w:customStyle="1" w:styleId="Style37">
    <w:name w:val="_Style 37"/>
    <w:basedOn w:val="a1"/>
    <w:qFormat/>
    <w:tblPr/>
  </w:style>
  <w:style w:type="table" w:customStyle="1" w:styleId="Style38">
    <w:name w:val="_Style 38"/>
    <w:basedOn w:val="a1"/>
    <w:qFormat/>
    <w:tblPr/>
  </w:style>
  <w:style w:type="table" w:customStyle="1" w:styleId="Style39">
    <w:name w:val="_Style 39"/>
    <w:basedOn w:val="a1"/>
    <w:qFormat/>
    <w:tblPr/>
  </w:style>
  <w:style w:type="table" w:customStyle="1" w:styleId="Style40">
    <w:name w:val="_Style 40"/>
    <w:basedOn w:val="a1"/>
    <w:qFormat/>
    <w:tblPr/>
  </w:style>
  <w:style w:type="paragraph" w:customStyle="1" w:styleId="11">
    <w:name w:val="修订1"/>
    <w:hidden/>
    <w:uiPriority w:val="99"/>
    <w:semiHidden/>
    <w:qFormat/>
    <w:pPr>
      <w:spacing w:line="259" w:lineRule="auto"/>
    </w:pPr>
    <w:rPr>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a"/>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a0"/>
    <w:link w:val="EmailDiscussion"/>
    <w:qFormat/>
    <w:locked/>
    <w:rPr>
      <w:rFonts w:ascii="Arial" w:hAnsi="Arial" w:cs="Arial"/>
      <w:b/>
      <w:bCs/>
    </w:rPr>
  </w:style>
  <w:style w:type="paragraph" w:customStyle="1" w:styleId="EmailDiscussion">
    <w:name w:val="EmailDiscussion"/>
    <w:basedOn w:val="a"/>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GB"/>
    </w:rPr>
  </w:style>
  <w:style w:type="character" w:customStyle="1" w:styleId="12">
    <w:name w:val="未处理的提及1"/>
    <w:basedOn w:val="a0"/>
    <w:uiPriority w:val="99"/>
    <w:unhideWhenUsed/>
    <w:qFormat/>
    <w:rPr>
      <w:color w:val="605E5C"/>
      <w:shd w:val="clear" w:color="auto" w:fill="E1DFDD"/>
    </w:rPr>
  </w:style>
  <w:style w:type="character" w:customStyle="1" w:styleId="af9">
    <w:name w:val="列出段落 字符"/>
    <w:basedOn w:val="a0"/>
    <w:link w:val="af8"/>
    <w:uiPriority w:val="34"/>
    <w:qFormat/>
    <w:locked/>
    <w:rPr>
      <w:rFonts w:eastAsia="Malgun Gothic"/>
      <w:lang w:val="en-GB" w:eastAsia="en-GB"/>
    </w:rPr>
  </w:style>
  <w:style w:type="character" w:customStyle="1" w:styleId="13">
    <w:name w:val="@他1"/>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6.xml><?xml version="1.0" encoding="utf-8"?>
<ds:datastoreItem xmlns:ds="http://schemas.openxmlformats.org/officeDocument/2006/customXml" ds:itemID="{83FAADF5-A3DD-42D6-B855-6091C2F1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Xiaomi</cp:lastModifiedBy>
  <cp:revision>4</cp:revision>
  <dcterms:created xsi:type="dcterms:W3CDTF">2022-02-24T09:41:00Z</dcterms:created>
  <dcterms:modified xsi:type="dcterms:W3CDTF">2022-02-24T10:08:00Z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