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E73EBBD" w:rsidR="00A209D6" w:rsidRPr="00B266B0" w:rsidRDefault="00A209D6" w:rsidP="005240AE">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663649">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E49BA" w:rsidRPr="009E49BA">
        <w:rPr>
          <w:bCs/>
          <w:noProof w:val="0"/>
          <w:sz w:val="24"/>
          <w:szCs w:val="24"/>
        </w:rPr>
        <w:t>220</w:t>
      </w:r>
      <w:r w:rsidR="000046E7">
        <w:rPr>
          <w:bCs/>
          <w:noProof w:val="0"/>
          <w:sz w:val="24"/>
          <w:szCs w:val="24"/>
        </w:rPr>
        <w:t>3197</w:t>
      </w:r>
    </w:p>
    <w:p w14:paraId="11776FA6" w14:textId="26EFB36F" w:rsidR="00A209D6" w:rsidRPr="00465587" w:rsidRDefault="00A36F5F" w:rsidP="005240AE">
      <w:pPr>
        <w:pStyle w:val="Header"/>
        <w:tabs>
          <w:tab w:val="right" w:pos="9639"/>
        </w:tabs>
        <w:jc w:val="both"/>
        <w:rPr>
          <w:rFonts w:eastAsia="SimSun"/>
          <w:bCs/>
          <w:sz w:val="24"/>
          <w:szCs w:val="24"/>
          <w:lang w:eastAsia="zh-CN"/>
        </w:rPr>
      </w:pPr>
      <w:r w:rsidRPr="00A36F5F">
        <w:rPr>
          <w:rFonts w:eastAsia="SimSun"/>
          <w:bCs/>
          <w:sz w:val="24"/>
          <w:szCs w:val="24"/>
          <w:lang w:eastAsia="zh-CN"/>
        </w:rPr>
        <w:t xml:space="preserve">Elbonia, </w:t>
      </w:r>
      <w:r w:rsidR="00F84D55">
        <w:rPr>
          <w:rFonts w:eastAsia="SimSun"/>
          <w:bCs/>
          <w:sz w:val="24"/>
          <w:szCs w:val="24"/>
          <w:lang w:eastAsia="zh-CN"/>
        </w:rPr>
        <w:t>February 21st</w:t>
      </w:r>
      <w:r w:rsidR="005C7CD5" w:rsidRPr="005C7CD5">
        <w:rPr>
          <w:rFonts w:eastAsia="SimSun"/>
          <w:bCs/>
          <w:sz w:val="24"/>
          <w:szCs w:val="24"/>
          <w:lang w:eastAsia="zh-CN"/>
        </w:rPr>
        <w:t xml:space="preserve"> – </w:t>
      </w:r>
      <w:r w:rsidR="00F84D55">
        <w:rPr>
          <w:rFonts w:eastAsia="SimSun"/>
          <w:bCs/>
          <w:sz w:val="24"/>
          <w:szCs w:val="24"/>
          <w:lang w:eastAsia="zh-CN"/>
        </w:rPr>
        <w:t>March 3rd</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5240AE">
      <w:pPr>
        <w:pStyle w:val="Header"/>
        <w:jc w:val="both"/>
        <w:rPr>
          <w:bCs/>
          <w:noProof w:val="0"/>
          <w:sz w:val="24"/>
        </w:rPr>
      </w:pPr>
    </w:p>
    <w:p w14:paraId="403CB9C0" w14:textId="77777777" w:rsidR="00A209D6" w:rsidRPr="00B266B0" w:rsidRDefault="00A209D6" w:rsidP="005240AE">
      <w:pPr>
        <w:pStyle w:val="Header"/>
        <w:jc w:val="both"/>
        <w:rPr>
          <w:bCs/>
          <w:noProof w:val="0"/>
          <w:sz w:val="24"/>
        </w:rPr>
      </w:pPr>
    </w:p>
    <w:p w14:paraId="74AEDB1B" w14:textId="55D930B5" w:rsidR="00A209D6" w:rsidRPr="00B266B0" w:rsidRDefault="00A209D6" w:rsidP="005240A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043E89">
        <w:rPr>
          <w:rFonts w:cs="Arial"/>
          <w:b/>
          <w:bCs/>
          <w:sz w:val="24"/>
          <w:lang w:eastAsia="ja-JP"/>
        </w:rPr>
        <w:t>8.5.2</w:t>
      </w:r>
    </w:p>
    <w:p w14:paraId="73188B46" w14:textId="77777777" w:rsidR="00A209D6" w:rsidRPr="00B266B0" w:rsidRDefault="00A209D6" w:rsidP="005240A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15702C" w:rsidR="00A209D6" w:rsidRDefault="00A209D6" w:rsidP="005240A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4D55">
        <w:rPr>
          <w:rFonts w:ascii="Arial" w:hAnsi="Arial" w:cs="Arial"/>
          <w:b/>
          <w:bCs/>
          <w:sz w:val="24"/>
        </w:rPr>
        <w:t>Propagation Delay Compensation s</w:t>
      </w:r>
      <w:r w:rsidR="00414785">
        <w:rPr>
          <w:rFonts w:ascii="Arial" w:hAnsi="Arial" w:cs="Arial"/>
          <w:b/>
          <w:bCs/>
          <w:sz w:val="24"/>
        </w:rPr>
        <w:t xml:space="preserve">ignalling </w:t>
      </w:r>
    </w:p>
    <w:p w14:paraId="1F147C23" w14:textId="0628F95E" w:rsidR="00A209D6" w:rsidRPr="00B266B0" w:rsidRDefault="00A209D6" w:rsidP="005240A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007575" w:rsidRPr="005240AE">
        <w:rPr>
          <w:rFonts w:ascii="Arial" w:hAnsi="Arial" w:cs="Arial"/>
          <w:b/>
          <w:sz w:val="24"/>
          <w:szCs w:val="24"/>
          <w:lang w:val="en-US"/>
        </w:rPr>
        <w:t xml:space="preserve">NR_IIOT_URLLC_enh </w:t>
      </w:r>
      <w:r w:rsidR="00007575">
        <w:rPr>
          <w:rFonts w:ascii="Arial" w:hAnsi="Arial" w:cs="Arial"/>
          <w:b/>
          <w:bCs/>
          <w:sz w:val="24"/>
        </w:rPr>
        <w:t>–</w:t>
      </w:r>
      <w:r>
        <w:rPr>
          <w:rFonts w:ascii="Arial" w:hAnsi="Arial" w:cs="Arial"/>
          <w:b/>
          <w:bCs/>
          <w:sz w:val="24"/>
        </w:rPr>
        <w:t xml:space="preserve"> Release </w:t>
      </w:r>
      <w:r w:rsidR="00007575">
        <w:rPr>
          <w:rFonts w:ascii="Arial" w:hAnsi="Arial" w:cs="Arial"/>
          <w:b/>
          <w:bCs/>
          <w:sz w:val="24"/>
        </w:rPr>
        <w:t>17</w:t>
      </w:r>
    </w:p>
    <w:p w14:paraId="6FEB19D6" w14:textId="77777777" w:rsidR="00A209D6" w:rsidRPr="00B266B0" w:rsidRDefault="00A209D6" w:rsidP="005240A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240AE">
      <w:pPr>
        <w:pStyle w:val="Heading1"/>
        <w:jc w:val="both"/>
      </w:pPr>
      <w:r w:rsidRPr="006E13D1">
        <w:t>1</w:t>
      </w:r>
      <w:r w:rsidRPr="006E13D1">
        <w:tab/>
      </w:r>
      <w:r>
        <w:t>Introduction</w:t>
      </w:r>
    </w:p>
    <w:p w14:paraId="2DCC0CB3" w14:textId="08329948" w:rsidR="00E7085F" w:rsidRDefault="00781AE3" w:rsidP="005240AE">
      <w:pPr>
        <w:jc w:val="both"/>
      </w:pPr>
      <w:r>
        <w:t>The a</w:t>
      </w:r>
      <w:r w:rsidR="00E7085F">
        <w:t xml:space="preserve">greements </w:t>
      </w:r>
      <w:r>
        <w:t xml:space="preserve">reached for time synchronization in </w:t>
      </w:r>
      <w:r w:rsidR="00E7085F">
        <w:t>RAN2#1</w:t>
      </w:r>
      <w:r w:rsidR="003D788F">
        <w:t>1</w:t>
      </w:r>
      <w:r w:rsidR="00E7085F">
        <w:t>6</w:t>
      </w:r>
      <w:r w:rsidR="00163126">
        <w:t>bis</w:t>
      </w:r>
      <w:r>
        <w:t>-</w:t>
      </w:r>
      <w:r w:rsidR="00E7085F">
        <w:t>e</w:t>
      </w:r>
      <w:r w:rsidR="00DE04D0">
        <w:t xml:space="preserve"> </w:t>
      </w:r>
      <w:r>
        <w:t xml:space="preserve">are listed </w:t>
      </w:r>
      <w:r w:rsidR="00DE04D0">
        <w:t>below:</w:t>
      </w:r>
    </w:p>
    <w:tbl>
      <w:tblPr>
        <w:tblStyle w:val="TableGrid"/>
        <w:tblW w:w="0" w:type="auto"/>
        <w:tblLook w:val="04A0" w:firstRow="1" w:lastRow="0" w:firstColumn="1" w:lastColumn="0" w:noHBand="0" w:noVBand="1"/>
      </w:tblPr>
      <w:tblGrid>
        <w:gridCol w:w="9631"/>
      </w:tblGrid>
      <w:tr w:rsidR="00193BB2" w14:paraId="553F826E" w14:textId="77777777" w:rsidTr="00193BB2">
        <w:tc>
          <w:tcPr>
            <w:tcW w:w="9631" w:type="dxa"/>
          </w:tcPr>
          <w:p w14:paraId="52B87D20"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Both RTT-based PDC and legacy TA-based PDC are supported.</w:t>
            </w:r>
          </w:p>
          <w:p w14:paraId="0AA51DE7"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 xml:space="preserve">Both RTT-based UE side PDC and RTT-based gNB side PDC are supported.  RRT-based gNB side PDC has to be a simple solution and converge by February meeting.  </w:t>
            </w:r>
          </w:p>
          <w:p w14:paraId="7B78E242"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A single pair of TRS/PRS and SRS is configured via RRC signaling for RTT-based PDC.</w:t>
            </w:r>
          </w:p>
          <w:p w14:paraId="678CF8C8"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For RTT-based UE side PDC, gNB Rx-Tx time difference, e.g., gNBRx-Tx, shall be provided to UE via DLInformationTransfer signaling.</w:t>
            </w:r>
          </w:p>
          <w:p w14:paraId="263105C5"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No need to introduce additional activation for RTT measurement in UE side.</w:t>
            </w:r>
          </w:p>
          <w:p w14:paraId="41B72CBC"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For RTT-based gNB side PDC, RRC measurement framework can be reused as baseline to provide UE Rx-Tx time difference report.</w:t>
            </w:r>
          </w:p>
          <w:p w14:paraId="2B3BFDCB"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For RTT-based gNB side PDC, besides UE Rx-Tx time difference, no additional information needs to be reported to NW.</w:t>
            </w:r>
          </w:p>
          <w:p w14:paraId="378411E3"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 xml:space="preserve">The signaling flow(s) of RTT-based PDC can be captured in stage-2 specification (taking the </w:t>
            </w:r>
            <w:r w:rsidRPr="00163126">
              <w:rPr>
                <w:rFonts w:ascii="Arial" w:eastAsia="MS Mincho" w:hAnsi="Arial"/>
                <w:color w:val="001135"/>
                <w:kern w:val="24"/>
                <w:sz w:val="16"/>
                <w:szCs w:val="16"/>
                <w:highlight w:val="yellow"/>
                <w:lang w:val="en-GB"/>
              </w:rPr>
              <w:t xml:space="preserve">examples in </w:t>
            </w:r>
            <w:r w:rsidRPr="00163126">
              <w:rPr>
                <w:rFonts w:ascii="Arial" w:eastAsia="MS Mincho" w:hAnsi="Arial"/>
                <w:color w:val="001135"/>
                <w:kern w:val="24"/>
                <w:sz w:val="16"/>
                <w:szCs w:val="16"/>
                <w:lang w:val="en-GB"/>
              </w:rPr>
              <w:t>[</w:t>
            </w:r>
            <w:hyperlink r:id="rId12" w:history="1">
              <w:r w:rsidRPr="00163126">
                <w:rPr>
                  <w:rStyle w:val="Hyperlink"/>
                  <w:rFonts w:ascii="Arial" w:eastAsia="MS Mincho" w:hAnsi="Arial"/>
                  <w:kern w:val="24"/>
                  <w:sz w:val="16"/>
                  <w:szCs w:val="16"/>
                  <w:lang w:val="en-GB"/>
                </w:rPr>
                <w:t>R2-2200991</w:t>
              </w:r>
            </w:hyperlink>
            <w:r w:rsidRPr="00163126">
              <w:rPr>
                <w:rFonts w:ascii="Arial" w:eastAsia="MS Mincho" w:hAnsi="Arial"/>
                <w:color w:val="001135"/>
                <w:kern w:val="24"/>
                <w:sz w:val="16"/>
                <w:szCs w:val="16"/>
                <w:lang w:val="en-GB"/>
              </w:rPr>
              <w:t>] or [</w:t>
            </w:r>
            <w:hyperlink r:id="rId13" w:history="1">
              <w:r w:rsidRPr="00163126">
                <w:rPr>
                  <w:rStyle w:val="Hyperlink"/>
                  <w:rFonts w:ascii="Arial" w:eastAsia="MS Mincho" w:hAnsi="Arial"/>
                  <w:kern w:val="24"/>
                  <w:sz w:val="16"/>
                  <w:szCs w:val="16"/>
                  <w:lang w:val="en-GB"/>
                </w:rPr>
                <w:t>R2-2201016</w:t>
              </w:r>
            </w:hyperlink>
            <w:r w:rsidRPr="00163126">
              <w:rPr>
                <w:rFonts w:ascii="Arial" w:eastAsia="MS Mincho" w:hAnsi="Arial"/>
                <w:color w:val="001135"/>
                <w:kern w:val="24"/>
                <w:sz w:val="16"/>
                <w:szCs w:val="16"/>
                <w:lang w:val="en-GB"/>
              </w:rPr>
              <w:t>] as baseline). The details can be further fine-tuned based on RAN2 agreements during stage-2 running CR review.</w:t>
            </w:r>
          </w:p>
          <w:p w14:paraId="60AF13B2"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highlight w:val="yellow"/>
                <w:lang w:val="en-GB"/>
              </w:rPr>
              <w:t>FFS</w:t>
            </w:r>
            <w:r w:rsidRPr="00163126">
              <w:rPr>
                <w:rFonts w:ascii="Arial" w:eastAsia="MS Mincho" w:hAnsi="Arial"/>
                <w:color w:val="001135"/>
                <w:kern w:val="24"/>
                <w:sz w:val="16"/>
                <w:szCs w:val="16"/>
                <w:lang w:val="en-GB"/>
              </w:rPr>
              <w:t xml:space="preserve"> an explicit indication to only activate UE side TA-based PDC is introduced in SIB or in unicast signalling and what is indicated</w:t>
            </w:r>
          </w:p>
          <w:p w14:paraId="37937286"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highlight w:val="yellow"/>
                <w:lang w:val="en-GB"/>
              </w:rPr>
              <w:t>FFS</w:t>
            </w:r>
            <w:r w:rsidRPr="00163126">
              <w:rPr>
                <w:rFonts w:ascii="Arial" w:eastAsia="MS Mincho" w:hAnsi="Arial"/>
                <w:color w:val="001135"/>
                <w:kern w:val="24"/>
                <w:sz w:val="16"/>
                <w:szCs w:val="16"/>
                <w:lang w:val="en-GB"/>
              </w:rPr>
              <w:t xml:space="preserve"> For TA-based PDC, it’s no need to specify PD calculation related contents in RAN2.</w:t>
            </w:r>
          </w:p>
          <w:p w14:paraId="2E9D56DF"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Network configuration should guarantee that RTT-based PDC and TA-based PDC are not activated simultaneously for a UE.</w:t>
            </w:r>
          </w:p>
          <w:p w14:paraId="651A7AD5"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RAN2 confirms to introduce separate R17 UE capabilities for RTT-based PDC and legacy TA-based PDC, as defined by RAN1 feature list.</w:t>
            </w:r>
          </w:p>
          <w:p w14:paraId="43E724B5"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 xml:space="preserve">RAN2 confirm the agreement in last meeting that reference time provided in dedicated signaling takes priority.  </w:t>
            </w:r>
            <w:r w:rsidRPr="00163126">
              <w:rPr>
                <w:rFonts w:ascii="Arial" w:eastAsia="MS Mincho" w:hAnsi="Arial"/>
                <w:color w:val="001135"/>
                <w:kern w:val="24"/>
                <w:sz w:val="16"/>
                <w:szCs w:val="16"/>
                <w:highlight w:val="yellow"/>
                <w:lang w:val="en-GB"/>
              </w:rPr>
              <w:t xml:space="preserve">FFS </w:t>
            </w:r>
            <w:r w:rsidRPr="00163126">
              <w:rPr>
                <w:rFonts w:ascii="Arial" w:eastAsia="MS Mincho" w:hAnsi="Arial"/>
                <w:color w:val="001135"/>
                <w:kern w:val="24"/>
                <w:sz w:val="16"/>
                <w:szCs w:val="16"/>
                <w:lang w:val="en-GB"/>
              </w:rPr>
              <w:t xml:space="preserve">UE behavior when it receives reference time info via dedicated signaling.  </w:t>
            </w:r>
          </w:p>
          <w:p w14:paraId="1577F9BD" w14:textId="77777777" w:rsidR="00163126"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RAN2 send a LS to RAN3 to inform the RAN2 progress about RTT-based PDC and TA-based PDC till the end of RAN2#116bis e-meeting.  Email discussion [508]</w:t>
            </w:r>
          </w:p>
          <w:p w14:paraId="6CFA313A" w14:textId="094CB422" w:rsidR="00193BB2" w:rsidRPr="00163126" w:rsidRDefault="00163126" w:rsidP="00163126">
            <w:pPr>
              <w:pStyle w:val="NormalWeb"/>
              <w:numPr>
                <w:ilvl w:val="0"/>
                <w:numId w:val="24"/>
              </w:numPr>
              <w:tabs>
                <w:tab w:val="clear" w:pos="720"/>
                <w:tab w:val="left" w:pos="739"/>
              </w:tabs>
              <w:spacing w:after="12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It’s no need to specify solution for the issue of mismatch between propagation delay value and reference time information.</w:t>
            </w:r>
          </w:p>
        </w:tc>
      </w:tr>
    </w:tbl>
    <w:p w14:paraId="6565958A" w14:textId="26BE80D8" w:rsidR="00E7085F" w:rsidRDefault="00E7085F" w:rsidP="005240AE">
      <w:pPr>
        <w:jc w:val="both"/>
      </w:pPr>
    </w:p>
    <w:p w14:paraId="08E0A4BE" w14:textId="2E1C995B" w:rsidR="003D788F" w:rsidRDefault="00781AE3" w:rsidP="005240AE">
      <w:pPr>
        <w:jc w:val="both"/>
      </w:pPr>
      <w:r>
        <w:t>Based on the email discussion [</w:t>
      </w:r>
      <w:r w:rsidR="009F7DD0">
        <w:t>503</w:t>
      </w:r>
      <w:r>
        <w:t>]</w:t>
      </w:r>
      <w:r w:rsidR="009F7DD0">
        <w:t xml:space="preserve"> during RAN2#116bis-e</w:t>
      </w:r>
      <w:r>
        <w:t>, RAN2 suppose to address the following proposals:</w:t>
      </w:r>
    </w:p>
    <w:tbl>
      <w:tblPr>
        <w:tblStyle w:val="TableGrid"/>
        <w:tblW w:w="0" w:type="auto"/>
        <w:tblLook w:val="04A0" w:firstRow="1" w:lastRow="0" w:firstColumn="1" w:lastColumn="0" w:noHBand="0" w:noVBand="1"/>
      </w:tblPr>
      <w:tblGrid>
        <w:gridCol w:w="9631"/>
      </w:tblGrid>
      <w:tr w:rsidR="003D788F" w14:paraId="2D6E2ACA" w14:textId="77777777" w:rsidTr="003D788F">
        <w:trPr>
          <w:trHeight w:val="920"/>
        </w:trPr>
        <w:tc>
          <w:tcPr>
            <w:tcW w:w="9631" w:type="dxa"/>
          </w:tcPr>
          <w:p w14:paraId="4E00B983" w14:textId="77777777" w:rsidR="003D788F" w:rsidRPr="003D788F" w:rsidRDefault="003D788F" w:rsidP="003D788F">
            <w:pPr>
              <w:pStyle w:val="BodyText"/>
              <w:snapToGrid w:val="0"/>
              <w:spacing w:before="60" w:after="60" w:line="288" w:lineRule="auto"/>
              <w:jc w:val="both"/>
              <w:rPr>
                <w:rFonts w:ascii="Arial" w:hAnsi="Arial" w:cs="Arial"/>
                <w:sz w:val="16"/>
                <w:szCs w:val="16"/>
                <w:lang w:eastAsia="zh-CN"/>
              </w:rPr>
            </w:pPr>
            <w:r w:rsidRPr="003D788F">
              <w:rPr>
                <w:rFonts w:ascii="Arial" w:hAnsi="Arial" w:cs="Arial"/>
                <w:sz w:val="16"/>
                <w:szCs w:val="16"/>
                <w:lang w:eastAsia="zh-CN"/>
              </w:rPr>
              <w:t>Proposal 4.2:</w:t>
            </w:r>
            <w:r w:rsidRPr="003D788F">
              <w:rPr>
                <w:rFonts w:ascii="Arial" w:hAnsi="Arial" w:cs="Arial"/>
                <w:sz w:val="16"/>
                <w:szCs w:val="16"/>
              </w:rPr>
              <w:t xml:space="preserve"> RAN2 discuss how to activate RTT-based UE side PDC, to activate implicitly via provision of gNB</w:t>
            </w:r>
            <w:r w:rsidRPr="003D788F">
              <w:rPr>
                <w:rFonts w:ascii="Arial" w:hAnsi="Arial" w:cs="Arial"/>
                <w:iCs/>
                <w:sz w:val="16"/>
                <w:szCs w:val="16"/>
              </w:rPr>
              <w:t xml:space="preserve"> Rx-Tx time difference to UE</w:t>
            </w:r>
            <w:r w:rsidRPr="003D788F">
              <w:rPr>
                <w:rFonts w:ascii="Arial" w:hAnsi="Arial" w:cs="Arial"/>
                <w:sz w:val="16"/>
                <w:szCs w:val="16"/>
                <w:lang w:eastAsia="zh-CN"/>
              </w:rPr>
              <w:t xml:space="preserve"> or to activate via an explicit </w:t>
            </w:r>
            <w:r w:rsidRPr="003D788F">
              <w:rPr>
                <w:rFonts w:ascii="Arial" w:hAnsi="Arial" w:cs="Arial"/>
                <w:sz w:val="16"/>
                <w:szCs w:val="16"/>
              </w:rPr>
              <w:t>RRC signaling</w:t>
            </w:r>
            <w:r w:rsidRPr="003D788F">
              <w:rPr>
                <w:rFonts w:ascii="Arial" w:eastAsia="Arial Unicode MS" w:hAnsi="Arial" w:cs="Arial"/>
                <w:sz w:val="16"/>
                <w:szCs w:val="16"/>
                <w:lang w:eastAsia="zh-CN"/>
              </w:rPr>
              <w:t>.</w:t>
            </w:r>
          </w:p>
          <w:p w14:paraId="2A94E6FC" w14:textId="0009A193" w:rsidR="003D788F" w:rsidRPr="003D788F" w:rsidRDefault="003D788F" w:rsidP="003D788F">
            <w:pPr>
              <w:pStyle w:val="BodyText"/>
              <w:snapToGrid w:val="0"/>
              <w:spacing w:before="60" w:after="160" w:line="288" w:lineRule="auto"/>
              <w:jc w:val="both"/>
              <w:rPr>
                <w:rFonts w:ascii="Arial" w:eastAsia="Arial Unicode MS" w:hAnsi="Arial" w:cs="Arial"/>
                <w:sz w:val="16"/>
                <w:szCs w:val="16"/>
                <w:lang w:eastAsia="zh-CN"/>
              </w:rPr>
            </w:pPr>
            <w:r w:rsidRPr="003D788F">
              <w:rPr>
                <w:rFonts w:ascii="Arial" w:hAnsi="Arial" w:cs="Arial"/>
                <w:sz w:val="16"/>
                <w:szCs w:val="16"/>
                <w:lang w:eastAsia="zh-CN"/>
              </w:rPr>
              <w:t>Proposal 5.1:</w:t>
            </w:r>
            <w:r w:rsidRPr="003D788F">
              <w:rPr>
                <w:rFonts w:ascii="Arial" w:hAnsi="Arial" w:cs="Arial"/>
                <w:sz w:val="16"/>
                <w:szCs w:val="16"/>
              </w:rPr>
              <w:t xml:space="preserve"> For RTT-based gNB side PDC, RAN2 discuss how to trigger report of UE Rx-Tx time difference to the NW, e.g., explicit</w:t>
            </w:r>
            <w:r w:rsidRPr="003D788F">
              <w:rPr>
                <w:rFonts w:ascii="Arial" w:hAnsi="Arial" w:cs="Arial"/>
                <w:iCs/>
                <w:sz w:val="16"/>
                <w:szCs w:val="16"/>
              </w:rPr>
              <w:t xml:space="preserve"> request in RRC signaling from gNB or event trigger</w:t>
            </w:r>
            <w:r>
              <w:rPr>
                <w:rFonts w:ascii="Arial" w:hAnsi="Arial" w:cs="Arial"/>
                <w:iCs/>
                <w:sz w:val="16"/>
                <w:szCs w:val="16"/>
              </w:rPr>
              <w:t>.</w:t>
            </w:r>
          </w:p>
        </w:tc>
      </w:tr>
    </w:tbl>
    <w:p w14:paraId="4561E588" w14:textId="77777777" w:rsidR="003D788F" w:rsidRPr="003D788F" w:rsidRDefault="003D788F" w:rsidP="005240AE">
      <w:pPr>
        <w:jc w:val="both"/>
        <w:rPr>
          <w:lang w:val="en-US"/>
        </w:rPr>
      </w:pPr>
    </w:p>
    <w:p w14:paraId="41156FC4" w14:textId="4C5DC0C8" w:rsidR="00163126" w:rsidRPr="003D788F" w:rsidRDefault="00163126" w:rsidP="00163126">
      <w:pPr>
        <w:pStyle w:val="NormalWeb"/>
        <w:tabs>
          <w:tab w:val="left" w:pos="568"/>
        </w:tabs>
        <w:spacing w:after="120"/>
        <w:rPr>
          <w:rFonts w:eastAsia="MS Mincho"/>
          <w:color w:val="001135"/>
          <w:kern w:val="24"/>
          <w:sz w:val="20"/>
          <w:szCs w:val="20"/>
          <w:lang w:val="en-GB"/>
        </w:rPr>
      </w:pPr>
      <w:r w:rsidRPr="00163126">
        <w:rPr>
          <w:rFonts w:eastAsia="MS Mincho"/>
          <w:color w:val="001135"/>
          <w:kern w:val="24"/>
          <w:sz w:val="20"/>
          <w:szCs w:val="20"/>
          <w:lang w:val="en-GB"/>
        </w:rPr>
        <w:t>Moreover, in recent RAN2 e-meetings, some agreements related to TA-based PDC have been achieved as below:</w:t>
      </w:r>
    </w:p>
    <w:tbl>
      <w:tblPr>
        <w:tblStyle w:val="TableGrid"/>
        <w:tblW w:w="0" w:type="auto"/>
        <w:tblLook w:val="04A0" w:firstRow="1" w:lastRow="0" w:firstColumn="1" w:lastColumn="0" w:noHBand="0" w:noVBand="1"/>
      </w:tblPr>
      <w:tblGrid>
        <w:gridCol w:w="9631"/>
      </w:tblGrid>
      <w:tr w:rsidR="00163126" w14:paraId="1CD6B686" w14:textId="77777777" w:rsidTr="00163126">
        <w:tc>
          <w:tcPr>
            <w:tcW w:w="9631" w:type="dxa"/>
          </w:tcPr>
          <w:p w14:paraId="567D0F33" w14:textId="77777777" w:rsidR="00163126" w:rsidRPr="00163126" w:rsidRDefault="00163126" w:rsidP="00163126">
            <w:pPr>
              <w:pStyle w:val="NormalWeb"/>
              <w:tabs>
                <w:tab w:val="left" w:pos="568"/>
              </w:tabs>
              <w:spacing w:before="0" w:beforeAutospacing="0" w:after="0" w:afterAutospacing="0"/>
              <w:rPr>
                <w:rFonts w:ascii="Arial" w:eastAsia="MS Mincho" w:hAnsi="Arial"/>
                <w:color w:val="001135"/>
                <w:kern w:val="24"/>
                <w:sz w:val="16"/>
                <w:szCs w:val="16"/>
              </w:rPr>
            </w:pPr>
            <w:r w:rsidRPr="00163126">
              <w:rPr>
                <w:rFonts w:ascii="Arial" w:eastAsia="MS Mincho" w:hAnsi="Arial"/>
                <w:color w:val="001135"/>
                <w:kern w:val="24"/>
                <w:sz w:val="16"/>
                <w:szCs w:val="16"/>
              </w:rPr>
              <w:t>RAN2#115 e-meeting:</w:t>
            </w:r>
          </w:p>
          <w:p w14:paraId="16BCF56A" w14:textId="77777777" w:rsidR="00163126" w:rsidRPr="00163126" w:rsidRDefault="00163126" w:rsidP="00163126">
            <w:pPr>
              <w:pStyle w:val="NormalWeb"/>
              <w:numPr>
                <w:ilvl w:val="0"/>
                <w:numId w:val="25"/>
              </w:numPr>
              <w:tabs>
                <w:tab w:val="left" w:pos="568"/>
              </w:tabs>
              <w:spacing w:before="0" w:beforeAutospacing="0" w:after="0" w:afterAutospacing="0"/>
              <w:jc w:val="both"/>
              <w:rPr>
                <w:rFonts w:ascii="Arial" w:eastAsia="MS Mincho" w:hAnsi="Arial"/>
                <w:color w:val="001135"/>
                <w:kern w:val="24"/>
                <w:sz w:val="16"/>
                <w:szCs w:val="16"/>
              </w:rPr>
            </w:pPr>
            <w:r w:rsidRPr="00163126">
              <w:rPr>
                <w:rFonts w:ascii="Arial" w:eastAsia="MS Mincho" w:hAnsi="Arial"/>
                <w:color w:val="001135"/>
                <w:kern w:val="24"/>
                <w:sz w:val="16"/>
                <w:szCs w:val="16"/>
                <w:highlight w:val="yellow"/>
                <w:lang w:val="en-GB"/>
              </w:rPr>
              <w:t>RAN2 assumes that gNB can perform pre-compensation.</w:t>
            </w:r>
            <w:r w:rsidRPr="00163126">
              <w:rPr>
                <w:rFonts w:ascii="Arial" w:eastAsia="MS Mincho" w:hAnsi="Arial"/>
                <w:color w:val="001135"/>
                <w:kern w:val="24"/>
                <w:sz w:val="16"/>
                <w:szCs w:val="16"/>
                <w:lang w:val="en-GB"/>
              </w:rPr>
              <w:t xml:space="preserve">  RAN2 agrees to introduce signalling to enable/disable UE-side PDC.</w:t>
            </w:r>
          </w:p>
          <w:p w14:paraId="6A1FADD6" w14:textId="492E44B3" w:rsidR="00163126" w:rsidRPr="00163126" w:rsidRDefault="00163126" w:rsidP="00163126">
            <w:pPr>
              <w:pStyle w:val="NormalWeb"/>
              <w:numPr>
                <w:ilvl w:val="0"/>
                <w:numId w:val="25"/>
              </w:numPr>
              <w:tabs>
                <w:tab w:val="left" w:pos="568"/>
              </w:tabs>
              <w:spacing w:before="0" w:beforeAutospacing="0" w:after="0" w:afterAutospacing="0"/>
              <w:jc w:val="both"/>
              <w:rPr>
                <w:rFonts w:ascii="Arial" w:eastAsia="MS Mincho" w:hAnsi="Arial"/>
                <w:color w:val="001135"/>
                <w:kern w:val="24"/>
                <w:sz w:val="16"/>
                <w:szCs w:val="16"/>
              </w:rPr>
            </w:pPr>
            <w:r w:rsidRPr="00163126">
              <w:rPr>
                <w:rFonts w:ascii="Arial" w:eastAsia="MS Mincho" w:hAnsi="Arial"/>
                <w:color w:val="001135"/>
                <w:kern w:val="24"/>
                <w:sz w:val="16"/>
                <w:szCs w:val="16"/>
                <w:lang w:val="en-GB"/>
              </w:rPr>
              <w:t>The gNB can enable/disable UE-side PDC via unicast-RRC signalling for Rel-17.</w:t>
            </w:r>
          </w:p>
          <w:p w14:paraId="0F0E5255" w14:textId="77777777" w:rsidR="00163126" w:rsidRPr="00163126" w:rsidRDefault="00163126" w:rsidP="00163126">
            <w:pPr>
              <w:pStyle w:val="NormalWeb"/>
              <w:tabs>
                <w:tab w:val="left" w:pos="568"/>
              </w:tabs>
              <w:spacing w:before="0" w:beforeAutospacing="0" w:after="0" w:afterAutospacing="0"/>
              <w:ind w:left="720"/>
              <w:jc w:val="both"/>
              <w:rPr>
                <w:rFonts w:ascii="Arial" w:eastAsia="MS Mincho" w:hAnsi="Arial"/>
                <w:color w:val="001135"/>
                <w:kern w:val="24"/>
                <w:sz w:val="16"/>
                <w:szCs w:val="16"/>
              </w:rPr>
            </w:pPr>
          </w:p>
          <w:p w14:paraId="5C5CCBC6" w14:textId="77777777" w:rsidR="00163126" w:rsidRPr="00163126" w:rsidRDefault="00163126" w:rsidP="00163126">
            <w:pPr>
              <w:pStyle w:val="NormalWeb"/>
              <w:tabs>
                <w:tab w:val="left" w:pos="568"/>
              </w:tabs>
              <w:spacing w:before="0" w:beforeAutospacing="0" w:after="0" w:afterAutospacing="0"/>
              <w:rPr>
                <w:rFonts w:ascii="Arial" w:eastAsia="MS Mincho" w:hAnsi="Arial"/>
                <w:color w:val="001135"/>
                <w:kern w:val="24"/>
                <w:sz w:val="16"/>
                <w:szCs w:val="16"/>
              </w:rPr>
            </w:pPr>
            <w:r w:rsidRPr="00163126">
              <w:rPr>
                <w:rFonts w:ascii="Arial" w:eastAsia="MS Mincho" w:hAnsi="Arial"/>
                <w:color w:val="001135"/>
                <w:kern w:val="24"/>
                <w:sz w:val="16"/>
                <w:szCs w:val="16"/>
              </w:rPr>
              <w:t>RAN2#116 e-meeting:</w:t>
            </w:r>
          </w:p>
          <w:p w14:paraId="5431FD7E" w14:textId="5339DC80" w:rsidR="00163126" w:rsidRPr="00163126" w:rsidRDefault="00163126" w:rsidP="00163126">
            <w:pPr>
              <w:pStyle w:val="ListParagraph"/>
              <w:numPr>
                <w:ilvl w:val="0"/>
                <w:numId w:val="27"/>
              </w:numPr>
              <w:jc w:val="both"/>
              <w:rPr>
                <w:sz w:val="16"/>
                <w:szCs w:val="16"/>
              </w:rPr>
            </w:pPr>
            <w:r w:rsidRPr="00163126">
              <w:rPr>
                <w:rFonts w:ascii="Arial" w:eastAsia="MS Mincho" w:hAnsi="Arial"/>
                <w:color w:val="001135"/>
                <w:kern w:val="24"/>
                <w:sz w:val="16"/>
                <w:szCs w:val="16"/>
              </w:rPr>
              <w:t>The gNB can enable/disable UE-side PDC via unicast and broadcast RRC signalling.</w:t>
            </w:r>
          </w:p>
        </w:tc>
      </w:tr>
    </w:tbl>
    <w:p w14:paraId="027FE647" w14:textId="77777777" w:rsidR="00163126" w:rsidRPr="00163126" w:rsidRDefault="00163126" w:rsidP="00163126">
      <w:pPr>
        <w:jc w:val="both"/>
        <w:rPr>
          <w:sz w:val="16"/>
          <w:szCs w:val="16"/>
        </w:rPr>
      </w:pPr>
    </w:p>
    <w:p w14:paraId="77296AA9" w14:textId="41D18343" w:rsidR="00193BB2" w:rsidRDefault="00DE04D0" w:rsidP="005240AE">
      <w:pPr>
        <w:jc w:val="both"/>
      </w:pPr>
      <w:r>
        <w:lastRenderedPageBreak/>
        <w:t xml:space="preserve">And </w:t>
      </w:r>
      <w:r w:rsidR="00163126">
        <w:t>in the f</w:t>
      </w:r>
      <w:r w:rsidR="00163126" w:rsidRPr="00163126">
        <w:t xml:space="preserve">inal feature lead summary of [107bis-e-R17-IIoT-URLLC-05] in </w:t>
      </w:r>
      <w:hyperlink r:id="rId14" w:history="1">
        <w:r w:rsidR="00163126" w:rsidRPr="00163126">
          <w:rPr>
            <w:rStyle w:val="Hyperlink"/>
            <w:b/>
            <w:bCs/>
          </w:rPr>
          <w:t>R1-2200799</w:t>
        </w:r>
      </w:hyperlink>
      <w:r w:rsidR="00163126">
        <w:t xml:space="preserve">, </w:t>
      </w:r>
      <w:r w:rsidR="00E7085F">
        <w:t>RAN1</w:t>
      </w:r>
      <w:r>
        <w:t xml:space="preserve"> lists the agreements from RAN1 that RAN2 should take into account when finalizing the PDC framework</w:t>
      </w:r>
      <w:r w:rsidR="003D788F">
        <w:t>.</w:t>
      </w:r>
    </w:p>
    <w:p w14:paraId="60DF9E66" w14:textId="30BBAAD6" w:rsidR="00F11A14" w:rsidRDefault="00532011" w:rsidP="005240AE">
      <w:pPr>
        <w:jc w:val="both"/>
      </w:pPr>
      <w:r>
        <w:t>Considering</w:t>
      </w:r>
      <w:r w:rsidR="00F11A14">
        <w:t xml:space="preserve"> the latest status of both RAN1 and RAN2, we aim to discuss the following topics in this paper:</w:t>
      </w:r>
      <w:r w:rsidR="00193BB2">
        <w:t xml:space="preserve"> </w:t>
      </w:r>
    </w:p>
    <w:p w14:paraId="574A36BE" w14:textId="4367876F" w:rsidR="0045745A" w:rsidRPr="00F954A7" w:rsidRDefault="003D788F" w:rsidP="005240AE">
      <w:pPr>
        <w:pStyle w:val="ListParagraph"/>
        <w:numPr>
          <w:ilvl w:val="0"/>
          <w:numId w:val="13"/>
        </w:numPr>
        <w:jc w:val="both"/>
        <w:rPr>
          <w:sz w:val="20"/>
          <w:szCs w:val="20"/>
        </w:rPr>
      </w:pPr>
      <w:r w:rsidRPr="003D788F">
        <w:rPr>
          <w:sz w:val="20"/>
          <w:szCs w:val="20"/>
        </w:rPr>
        <w:t>How to activate UE</w:t>
      </w:r>
      <w:r w:rsidR="009A7890">
        <w:rPr>
          <w:sz w:val="20"/>
          <w:szCs w:val="20"/>
        </w:rPr>
        <w:t>-</w:t>
      </w:r>
      <w:r w:rsidRPr="003D788F">
        <w:rPr>
          <w:sz w:val="20"/>
          <w:szCs w:val="20"/>
        </w:rPr>
        <w:t>side PDC</w:t>
      </w:r>
      <w:r w:rsidR="009A7890">
        <w:rPr>
          <w:sz w:val="20"/>
          <w:szCs w:val="20"/>
        </w:rPr>
        <w:t xml:space="preserve"> (for TA and RTT methods)</w:t>
      </w:r>
      <w:r w:rsidR="0045745A">
        <w:rPr>
          <w:sz w:val="20"/>
          <w:szCs w:val="20"/>
        </w:rPr>
        <w:t>, and</w:t>
      </w:r>
    </w:p>
    <w:p w14:paraId="7E47E21F" w14:textId="1A341679" w:rsidR="00F11A14" w:rsidRDefault="003D788F" w:rsidP="005240AE">
      <w:pPr>
        <w:pStyle w:val="ListParagraph"/>
        <w:numPr>
          <w:ilvl w:val="0"/>
          <w:numId w:val="13"/>
        </w:numPr>
        <w:jc w:val="both"/>
        <w:rPr>
          <w:sz w:val="20"/>
          <w:szCs w:val="20"/>
        </w:rPr>
      </w:pPr>
      <w:r w:rsidRPr="003D788F">
        <w:rPr>
          <w:sz w:val="20"/>
          <w:szCs w:val="20"/>
        </w:rPr>
        <w:t xml:space="preserve">For RTT-based gNB side PDC, how to trigger report of UE Rx-Tx time difference to the </w:t>
      </w:r>
      <w:r>
        <w:rPr>
          <w:sz w:val="20"/>
          <w:szCs w:val="20"/>
        </w:rPr>
        <w:t>network</w:t>
      </w:r>
      <w:r w:rsidR="00193BB2" w:rsidRPr="00F954A7">
        <w:rPr>
          <w:sz w:val="20"/>
          <w:szCs w:val="20"/>
        </w:rPr>
        <w:t xml:space="preserve"> </w:t>
      </w:r>
    </w:p>
    <w:p w14:paraId="5B4ECE56" w14:textId="40C423C9" w:rsidR="009F7DD0" w:rsidRDefault="009F7DD0" w:rsidP="009F7DD0">
      <w:pPr>
        <w:jc w:val="both"/>
      </w:pPr>
    </w:p>
    <w:p w14:paraId="3F9DAF1C" w14:textId="674EFB66" w:rsidR="009F7DD0" w:rsidRPr="009F7DD0" w:rsidRDefault="009F7DD0" w:rsidP="009F7DD0">
      <w:pPr>
        <w:jc w:val="both"/>
      </w:pPr>
      <w:r>
        <w:t>These issues have been largely addressed in the email discussion [POST116e-bis][513]. However, in this paper we would like to express our views in more details.</w:t>
      </w:r>
    </w:p>
    <w:p w14:paraId="42894227" w14:textId="44CD60E0" w:rsidR="006005C8" w:rsidRPr="006E0133" w:rsidRDefault="00A209D6" w:rsidP="006E0133">
      <w:pPr>
        <w:pStyle w:val="Heading1"/>
        <w:jc w:val="both"/>
      </w:pPr>
      <w:r w:rsidRPr="006E13D1">
        <w:t>2</w:t>
      </w:r>
      <w:r w:rsidRPr="006E13D1">
        <w:tab/>
      </w:r>
      <w:r w:rsidR="00193BB2">
        <w:t>Discussion</w:t>
      </w:r>
    </w:p>
    <w:p w14:paraId="7098F90D" w14:textId="424AA5F4" w:rsidR="00A209D6" w:rsidRDefault="00B7538C" w:rsidP="005240AE">
      <w:pPr>
        <w:pStyle w:val="Heading2"/>
        <w:jc w:val="both"/>
        <w:rPr>
          <w:lang w:val="en-US"/>
        </w:rPr>
      </w:pPr>
      <w:r w:rsidRPr="002B0ED8">
        <w:rPr>
          <w:lang w:val="en-US"/>
        </w:rPr>
        <w:t>2</w:t>
      </w:r>
      <w:r w:rsidR="00A209D6" w:rsidRPr="002B0ED8">
        <w:rPr>
          <w:lang w:val="en-US"/>
        </w:rPr>
        <w:t>.</w:t>
      </w:r>
      <w:r w:rsidR="006E0133">
        <w:rPr>
          <w:lang w:val="en-US"/>
        </w:rPr>
        <w:t>1</w:t>
      </w:r>
      <w:r w:rsidR="00A209D6" w:rsidRPr="002B0ED8">
        <w:rPr>
          <w:lang w:val="en-US"/>
        </w:rPr>
        <w:tab/>
      </w:r>
      <w:r w:rsidR="003C6236">
        <w:rPr>
          <w:lang w:val="en-US"/>
        </w:rPr>
        <w:t>Activation and deactivation of UE-side PDC</w:t>
      </w:r>
    </w:p>
    <w:p w14:paraId="26B6BD85" w14:textId="6A3DE71F" w:rsidR="00BD5D42" w:rsidRDefault="0029467F" w:rsidP="005240AE">
      <w:pPr>
        <w:jc w:val="both"/>
        <w:rPr>
          <w:lang w:val="en-US"/>
        </w:rPr>
      </w:pPr>
      <w:r>
        <w:rPr>
          <w:lang w:val="en-US"/>
        </w:rPr>
        <w:t xml:space="preserve">The activation and deactivation of UE side PDC intends to avoid the case where both UE and gNB </w:t>
      </w:r>
      <w:r w:rsidR="00F24093">
        <w:rPr>
          <w:lang w:val="en-US"/>
        </w:rPr>
        <w:t xml:space="preserve">apply </w:t>
      </w:r>
      <w:r>
        <w:rPr>
          <w:lang w:val="en-US"/>
        </w:rPr>
        <w:t>PDC to the RTI timestamp</w:t>
      </w:r>
      <w:r w:rsidR="00A30A25">
        <w:rPr>
          <w:lang w:val="en-US"/>
        </w:rPr>
        <w:t xml:space="preserve">. </w:t>
      </w:r>
      <w:r w:rsidR="00BD4336">
        <w:rPr>
          <w:lang w:val="en-US"/>
        </w:rPr>
        <w:t xml:space="preserve">RAN2 has agreed that this should be supported by means of both unicast and a broadcast </w:t>
      </w:r>
      <w:proofErr w:type="gramStart"/>
      <w:r w:rsidR="00BD4336">
        <w:rPr>
          <w:lang w:val="en-US"/>
        </w:rPr>
        <w:t>indication</w:t>
      </w:r>
      <w:proofErr w:type="gramEnd"/>
      <w:r w:rsidR="00532011">
        <w:rPr>
          <w:lang w:val="en-US"/>
        </w:rPr>
        <w:t xml:space="preserve"> but </w:t>
      </w:r>
      <w:r w:rsidR="00781AE3">
        <w:rPr>
          <w:lang w:val="en-US"/>
        </w:rPr>
        <w:t>this is still unclear how</w:t>
      </w:r>
      <w:r w:rsidR="00532011">
        <w:rPr>
          <w:lang w:val="en-US"/>
        </w:rPr>
        <w:t xml:space="preserve"> to activate</w:t>
      </w:r>
      <w:r w:rsidR="00781AE3">
        <w:rPr>
          <w:lang w:val="en-US"/>
        </w:rPr>
        <w:t>/deactivate PDC</w:t>
      </w:r>
      <w:r w:rsidR="00532011">
        <w:rPr>
          <w:lang w:val="en-US"/>
        </w:rPr>
        <w:t xml:space="preserve"> at the UE side for TA or RTT based PDC methods.</w:t>
      </w:r>
      <w:r w:rsidR="00BD5D42">
        <w:rPr>
          <w:lang w:val="en-US"/>
        </w:rPr>
        <w:t xml:space="preserve"> </w:t>
      </w:r>
    </w:p>
    <w:p w14:paraId="42332499" w14:textId="77777777" w:rsidR="00BD5D42" w:rsidRDefault="00BD5D42" w:rsidP="00BD5D42">
      <w:pPr>
        <w:jc w:val="both"/>
        <w:rPr>
          <w:lang w:val="en-US"/>
        </w:rPr>
      </w:pPr>
      <w:r>
        <w:rPr>
          <w:b/>
          <w:bCs/>
          <w:u w:val="single"/>
        </w:rPr>
        <w:t>Activation and deactivation signalling with the TA-based PDC</w:t>
      </w:r>
      <w:r w:rsidRPr="009209CE">
        <w:rPr>
          <w:b/>
          <w:bCs/>
          <w:u w:val="single"/>
        </w:rPr>
        <w:t xml:space="preserve"> method</w:t>
      </w:r>
    </w:p>
    <w:p w14:paraId="5C65967E" w14:textId="2C1E13E6" w:rsidR="00BD5D42" w:rsidRPr="001D7032" w:rsidRDefault="00BD5D42" w:rsidP="00BD5D42">
      <w:pPr>
        <w:jc w:val="both"/>
        <w:rPr>
          <w:lang w:val="en-US"/>
        </w:rPr>
      </w:pPr>
      <w:r>
        <w:rPr>
          <w:lang w:val="en-US"/>
        </w:rPr>
        <w:t>For UE-side TA-based PDC</w:t>
      </w:r>
      <w:r w:rsidR="00781AE3">
        <w:rPr>
          <w:lang w:val="en-US"/>
        </w:rPr>
        <w:t>,</w:t>
      </w:r>
      <w:r>
        <w:rPr>
          <w:lang w:val="en-US"/>
        </w:rPr>
        <w:t xml:space="preserve"> as no other configuration of PDC at the UE is needed, a binary explicit indication is needed. From our perspective, this indication should be primarily unicast delivered and only needs to be configured infrequently (hence options where the indication is delivered with RTI or SIB9 are not preferred). </w:t>
      </w:r>
      <w:r w:rsidR="00781AE3">
        <w:rPr>
          <w:lang w:val="en-US"/>
        </w:rPr>
        <w:t>Thus, w</w:t>
      </w:r>
      <w:r>
        <w:rPr>
          <w:lang w:val="en-US"/>
        </w:rPr>
        <w:t>e propose to introduce a single bit to activate/deactivate UE-side TA-based PDC</w:t>
      </w:r>
      <w:r w:rsidR="000D5767">
        <w:rPr>
          <w:lang w:val="en-US"/>
        </w:rPr>
        <w:t xml:space="preserve">. If it is also required </w:t>
      </w:r>
      <w:proofErr w:type="gramStart"/>
      <w:r w:rsidR="000D5767">
        <w:rPr>
          <w:lang w:val="en-US"/>
        </w:rPr>
        <w:t xml:space="preserve">to </w:t>
      </w:r>
      <w:r>
        <w:rPr>
          <w:lang w:val="en-US"/>
        </w:rPr>
        <w:t xml:space="preserve"> accommodate</w:t>
      </w:r>
      <w:proofErr w:type="gramEnd"/>
      <w:r>
        <w:rPr>
          <w:lang w:val="en-US"/>
        </w:rPr>
        <w:t xml:space="preserve"> the agreement for a broadcast option, </w:t>
      </w:r>
      <w:r w:rsidR="000D5767">
        <w:rPr>
          <w:lang w:val="en-US"/>
        </w:rPr>
        <w:t xml:space="preserve">we could also </w:t>
      </w:r>
      <w:r>
        <w:rPr>
          <w:lang w:val="en-US"/>
        </w:rPr>
        <w:t>add an optional bit to SIB9</w:t>
      </w:r>
      <w:r w:rsidR="000D5767">
        <w:rPr>
          <w:lang w:val="en-US"/>
        </w:rPr>
        <w:t xml:space="preserve"> for the purpose of activating TA-based PDC</w:t>
      </w:r>
      <w:r>
        <w:rPr>
          <w:lang w:val="en-US"/>
        </w:rPr>
        <w:t xml:space="preserve">. </w:t>
      </w:r>
    </w:p>
    <w:p w14:paraId="404B532A" w14:textId="3170B32B" w:rsidR="00BD5D42" w:rsidRDefault="00270FD5" w:rsidP="00BD5D42">
      <w:pPr>
        <w:jc w:val="both"/>
        <w:rPr>
          <w:b/>
          <w:lang w:val="en-US"/>
        </w:rPr>
      </w:pPr>
      <w:r>
        <w:rPr>
          <w:b/>
          <w:bCs/>
          <w:lang w:val="en-US"/>
        </w:rPr>
        <w:t>Observation</w:t>
      </w:r>
      <w:r w:rsidR="00BD5D42" w:rsidRPr="00AB29FF">
        <w:rPr>
          <w:b/>
          <w:bCs/>
          <w:lang w:val="en-US"/>
        </w:rPr>
        <w:t xml:space="preserve"> </w:t>
      </w:r>
      <w:r w:rsidR="004E0350">
        <w:rPr>
          <w:b/>
          <w:bCs/>
          <w:lang w:val="en-US"/>
        </w:rPr>
        <w:t>1</w:t>
      </w:r>
      <w:r w:rsidR="00BD5D42" w:rsidRPr="00AB29FF">
        <w:rPr>
          <w:b/>
          <w:bCs/>
          <w:lang w:val="en-US"/>
        </w:rPr>
        <w:t>:</w:t>
      </w:r>
      <w:r w:rsidR="00BD5D42" w:rsidRPr="005240AE">
        <w:rPr>
          <w:b/>
          <w:lang w:val="en-US"/>
        </w:rPr>
        <w:t xml:space="preserve"> UE-side TA-based PDC </w:t>
      </w:r>
      <w:r>
        <w:rPr>
          <w:b/>
          <w:lang w:val="en-US"/>
        </w:rPr>
        <w:t xml:space="preserve">should have a binary explicit indication </w:t>
      </w:r>
      <w:r w:rsidR="00BD5D42" w:rsidRPr="005240AE">
        <w:rPr>
          <w:b/>
          <w:lang w:val="en-US"/>
        </w:rPr>
        <w:t xml:space="preserve">for unicast activation/deactivation, and an optional bit in RTI carried over SIB9 for a broadcast activation/deactivation of UE-side TA-based PDC. </w:t>
      </w:r>
    </w:p>
    <w:p w14:paraId="538A733A" w14:textId="77777777" w:rsidR="004E0350" w:rsidRDefault="004E0350" w:rsidP="004E0350">
      <w:pPr>
        <w:jc w:val="both"/>
        <w:rPr>
          <w:b/>
          <w:bCs/>
          <w:u w:val="single"/>
        </w:rPr>
      </w:pPr>
    </w:p>
    <w:p w14:paraId="5F37F873" w14:textId="591D1266" w:rsidR="004E0350" w:rsidRPr="00A86390" w:rsidRDefault="004E0350" w:rsidP="004E0350">
      <w:pPr>
        <w:jc w:val="both"/>
      </w:pPr>
      <w:r>
        <w:rPr>
          <w:b/>
          <w:bCs/>
          <w:u w:val="single"/>
        </w:rPr>
        <w:t xml:space="preserve">Activation and deactivation signalling with the RTT-based </w:t>
      </w:r>
      <w:r w:rsidRPr="005240AE">
        <w:rPr>
          <w:b/>
          <w:bCs/>
          <w:u w:val="single"/>
        </w:rPr>
        <w:t>PDC</w:t>
      </w:r>
      <w:r w:rsidRPr="005240AE">
        <w:rPr>
          <w:b/>
          <w:u w:val="single"/>
        </w:rPr>
        <w:t xml:space="preserve"> method</w:t>
      </w:r>
    </w:p>
    <w:p w14:paraId="1058B413" w14:textId="18EE206B" w:rsidR="004E0350" w:rsidRDefault="004E0350" w:rsidP="004E0350">
      <w:pPr>
        <w:spacing w:after="0"/>
        <w:jc w:val="both"/>
        <w:rPr>
          <w:lang w:val="en-US"/>
        </w:rPr>
      </w:pPr>
      <w:r>
        <w:rPr>
          <w:lang w:val="en-US"/>
        </w:rPr>
        <w:t>For UE-side RTT-based PDC, considering that the procedure will require a unicast configuration framework and unicast delivery of Rx-Tx measurement reports, it is only natural to consider that the activation and deactivation of this method is also signaled in a unicast manner. During RAN2#11</w:t>
      </w:r>
      <w:r w:rsidR="00F90D3D">
        <w:rPr>
          <w:lang w:val="en-US"/>
        </w:rPr>
        <w:t>6bis-e</w:t>
      </w:r>
      <w:r>
        <w:rPr>
          <w:lang w:val="en-US"/>
        </w:rPr>
        <w:t xml:space="preserve"> email discussion, different options were listed in question 4c copied below.</w:t>
      </w:r>
    </w:p>
    <w:p w14:paraId="2A11FF54" w14:textId="77777777" w:rsidR="004E0350" w:rsidRDefault="004E0350" w:rsidP="004E0350">
      <w:pPr>
        <w:spacing w:after="0"/>
        <w:jc w:val="both"/>
        <w:rPr>
          <w:lang w:val="en-US"/>
        </w:rPr>
      </w:pPr>
    </w:p>
    <w:p w14:paraId="3D57988C" w14:textId="77777777" w:rsidR="004E0350" w:rsidRPr="004E0350" w:rsidRDefault="004E0350" w:rsidP="004E0350">
      <w:pPr>
        <w:spacing w:before="60" w:after="120" w:line="264" w:lineRule="auto"/>
        <w:ind w:left="284"/>
        <w:jc w:val="both"/>
        <w:rPr>
          <w:bCs/>
          <w:i/>
          <w:iCs/>
        </w:rPr>
      </w:pPr>
      <w:r w:rsidRPr="004E0350">
        <w:rPr>
          <w:bCs/>
          <w:i/>
          <w:iCs/>
        </w:rPr>
        <w:t>For RTT-based UE side PDC, companies are invited to indicate which option below for activating RTT-based UE side PDC is preferred?</w:t>
      </w:r>
    </w:p>
    <w:p w14:paraId="6483F9D1" w14:textId="77777777" w:rsidR="004E0350" w:rsidRPr="004E0350" w:rsidRDefault="004E0350" w:rsidP="004E0350">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4E0350">
        <w:rPr>
          <w:bCs/>
          <w:i/>
          <w:iCs/>
          <w:sz w:val="20"/>
          <w:szCs w:val="20"/>
        </w:rPr>
        <w:t>Option1: Provision of gNB Rx-Tx time difference, e.g.,</w:t>
      </w:r>
      <w:r w:rsidRPr="004E0350">
        <w:rPr>
          <w:rFonts w:eastAsia="Arial Unicode MS"/>
          <w:bCs/>
          <w:i/>
          <w:iCs/>
          <w:sz w:val="20"/>
          <w:szCs w:val="20"/>
          <w:lang w:eastAsia="zh-CN"/>
        </w:rPr>
        <w:t xml:space="preserve"> </w:t>
      </w:r>
      <w:r w:rsidRPr="004E0350">
        <w:rPr>
          <w:rFonts w:eastAsia="Arial Unicode MS"/>
          <w:bCs/>
          <w:i/>
          <w:iCs/>
          <w:sz w:val="20"/>
          <w:szCs w:val="20"/>
        </w:rPr>
        <w:t>gNB</w:t>
      </w:r>
      <w:r w:rsidRPr="004E0350">
        <w:rPr>
          <w:rFonts w:eastAsia="Arial Unicode MS"/>
          <w:bCs/>
          <w:i/>
          <w:iCs/>
          <w:sz w:val="20"/>
          <w:szCs w:val="20"/>
          <w:vertAlign w:val="subscript"/>
        </w:rPr>
        <w:t>Rx-Tx</w:t>
      </w:r>
      <w:r w:rsidRPr="004E0350">
        <w:rPr>
          <w:bCs/>
          <w:i/>
          <w:iCs/>
          <w:sz w:val="20"/>
          <w:szCs w:val="20"/>
        </w:rPr>
        <w:t xml:space="preserve"> (see Q4a) can </w:t>
      </w:r>
      <w:r w:rsidRPr="004E0350">
        <w:rPr>
          <w:rFonts w:eastAsia="Arial Unicode MS"/>
          <w:bCs/>
          <w:i/>
          <w:iCs/>
          <w:sz w:val="20"/>
          <w:szCs w:val="20"/>
          <w:lang w:eastAsia="zh-CN"/>
        </w:rPr>
        <w:t>implicitly activate</w:t>
      </w:r>
      <w:r w:rsidRPr="004E0350">
        <w:rPr>
          <w:bCs/>
          <w:i/>
          <w:iCs/>
          <w:sz w:val="20"/>
          <w:szCs w:val="20"/>
        </w:rPr>
        <w:t xml:space="preserve"> RTT-based UE side PDC. This option implies the activation indication is unicast.</w:t>
      </w:r>
    </w:p>
    <w:p w14:paraId="3613A14A" w14:textId="77777777" w:rsidR="004E0350" w:rsidRPr="004E0350" w:rsidRDefault="004E0350" w:rsidP="004E0350">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4E0350">
        <w:rPr>
          <w:bCs/>
          <w:i/>
          <w:iCs/>
          <w:sz w:val="20"/>
          <w:szCs w:val="20"/>
        </w:rPr>
        <w:t xml:space="preserve">Option2: Provision of measurement configuration (see Q3) can </w:t>
      </w:r>
      <w:r w:rsidRPr="004E0350">
        <w:rPr>
          <w:rFonts w:eastAsia="Arial Unicode MS"/>
          <w:bCs/>
          <w:i/>
          <w:iCs/>
          <w:sz w:val="20"/>
          <w:szCs w:val="20"/>
          <w:lang w:eastAsia="zh-CN"/>
        </w:rPr>
        <w:t>implicitly activate</w:t>
      </w:r>
      <w:r w:rsidRPr="004E0350">
        <w:rPr>
          <w:bCs/>
          <w:i/>
          <w:iCs/>
          <w:sz w:val="20"/>
          <w:szCs w:val="20"/>
        </w:rPr>
        <w:t xml:space="preserve"> RTT-based UE side PDC. This option implies the activation indication is unicast.</w:t>
      </w:r>
    </w:p>
    <w:p w14:paraId="2A1F6FF9" w14:textId="77777777" w:rsidR="004E0350" w:rsidRPr="004E0350" w:rsidRDefault="004E0350" w:rsidP="004E0350">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4E0350">
        <w:rPr>
          <w:bCs/>
          <w:i/>
          <w:iCs/>
          <w:sz w:val="20"/>
          <w:szCs w:val="20"/>
        </w:rPr>
        <w:t xml:space="preserve">Option3: An explicit indication is introduced in unicast or broadcast signaling to activate RTT-based UE side PDC. </w:t>
      </w:r>
    </w:p>
    <w:p w14:paraId="13176001" w14:textId="77777777" w:rsidR="004E0350" w:rsidRPr="004E0350" w:rsidRDefault="004E0350" w:rsidP="004E0350">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4E0350">
        <w:rPr>
          <w:bCs/>
          <w:i/>
          <w:iCs/>
          <w:sz w:val="20"/>
          <w:szCs w:val="20"/>
        </w:rPr>
        <w:t>Other option</w:t>
      </w:r>
    </w:p>
    <w:p w14:paraId="5FBBCC42" w14:textId="77777777" w:rsidR="004E0350" w:rsidRDefault="004E0350" w:rsidP="004E0350">
      <w:pPr>
        <w:spacing w:after="0"/>
        <w:jc w:val="both"/>
        <w:rPr>
          <w:lang w:val="en-US"/>
        </w:rPr>
      </w:pPr>
    </w:p>
    <w:p w14:paraId="095C5686" w14:textId="4428CF02" w:rsidR="004E0350" w:rsidRDefault="004E0350" w:rsidP="004E0350">
      <w:pPr>
        <w:spacing w:after="0"/>
        <w:jc w:val="both"/>
        <w:rPr>
          <w:lang w:val="en-US"/>
        </w:rPr>
      </w:pPr>
      <w:r>
        <w:rPr>
          <w:lang w:val="en-US"/>
        </w:rPr>
        <w:t>From our perspective, implicitly activat</w:t>
      </w:r>
      <w:r w:rsidR="009A7890">
        <w:rPr>
          <w:lang w:val="en-US"/>
        </w:rPr>
        <w:t>ing</w:t>
      </w:r>
      <w:r>
        <w:rPr>
          <w:lang w:val="en-US"/>
        </w:rPr>
        <w:t xml:space="preserve"> RTT-based UE side PDC </w:t>
      </w:r>
      <w:r w:rsidR="002A4EC8">
        <w:rPr>
          <w:lang w:val="en-US"/>
        </w:rPr>
        <w:t xml:space="preserve">based on the provision of measurement configuration </w:t>
      </w:r>
      <w:r>
        <w:rPr>
          <w:lang w:val="en-US"/>
        </w:rPr>
        <w:t xml:space="preserve">is </w:t>
      </w:r>
      <w:r w:rsidR="002A4EC8">
        <w:rPr>
          <w:lang w:val="en-US"/>
        </w:rPr>
        <w:t>preferred (Option 2)</w:t>
      </w:r>
      <w:r w:rsidR="00270FD5">
        <w:rPr>
          <w:lang w:val="en-US"/>
        </w:rPr>
        <w:t xml:space="preserve"> combining it with a UE-side PDC explicit indication</w:t>
      </w:r>
      <w:r w:rsidR="009A7890">
        <w:rPr>
          <w:lang w:val="en-US"/>
        </w:rPr>
        <w:t xml:space="preserve"> (a single bit)</w:t>
      </w:r>
      <w:r w:rsidR="002A4EC8">
        <w:rPr>
          <w:lang w:val="en-US"/>
        </w:rPr>
        <w:t xml:space="preserve">. </w:t>
      </w:r>
      <w:r w:rsidR="002A4EC8">
        <w:t xml:space="preserve">Option 1 also relies on an implicit activation but </w:t>
      </w:r>
      <w:r w:rsidR="00F90D3D">
        <w:t xml:space="preserve">is based on </w:t>
      </w:r>
      <w:r w:rsidR="002A4EC8">
        <w:t xml:space="preserve">gNB Rx-Tx time different measurement report received from the gNB. </w:t>
      </w:r>
      <w:r w:rsidR="00F90D3D">
        <w:t>Our concerns with eO</w:t>
      </w:r>
      <w:r w:rsidR="002A4EC8">
        <w:t xml:space="preserve">ption 1 </w:t>
      </w:r>
      <w:proofErr w:type="gramStart"/>
      <w:r w:rsidR="00F90D3D">
        <w:t>is</w:t>
      </w:r>
      <w:proofErr w:type="gramEnd"/>
      <w:r w:rsidR="00F90D3D">
        <w:t xml:space="preserve"> that, it </w:t>
      </w:r>
      <w:r w:rsidR="002A4EC8">
        <w:t>may lead to strange behaviours at the UE side wh</w:t>
      </w:r>
      <w:r w:rsidR="00F90D3D">
        <w:t>en</w:t>
      </w:r>
      <w:r w:rsidR="002A4EC8">
        <w:t xml:space="preserve"> the UE has already received the RTT measurement configuration, but it has not received gNB’s </w:t>
      </w:r>
      <w:r w:rsidR="0015441A">
        <w:t xml:space="preserve">Rx-Tx time difference </w:t>
      </w:r>
      <w:r w:rsidR="002A4EC8">
        <w:t>measurement</w:t>
      </w:r>
      <w:r w:rsidR="009A7890">
        <w:t xml:space="preserve"> yet</w:t>
      </w:r>
      <w:r w:rsidR="002A4EC8">
        <w:t>. That is, during that period until the first gNB</w:t>
      </w:r>
      <w:r w:rsidR="009A7890">
        <w:t>’s</w:t>
      </w:r>
      <w:r w:rsidR="002A4EC8">
        <w:t xml:space="preserve"> report is received at the UE, the UE does not know if it should conduct UE-side PDC or not.</w:t>
      </w:r>
      <w:r w:rsidR="00C02176">
        <w:t xml:space="preserve"> </w:t>
      </w:r>
      <w:r w:rsidR="00270FD5">
        <w:t xml:space="preserve">To avoid this uncertain period, we prefer </w:t>
      </w:r>
      <w:r w:rsidR="00F90D3D">
        <w:t>O</w:t>
      </w:r>
      <w:r w:rsidR="00270FD5">
        <w:t>ption 2</w:t>
      </w:r>
      <w:r w:rsidR="009A7890">
        <w:t xml:space="preserve"> among the implicit activation</w:t>
      </w:r>
      <w:r w:rsidR="00270FD5">
        <w:t>. Regarding o</w:t>
      </w:r>
      <w:r w:rsidR="002A4EC8">
        <w:rPr>
          <w:lang w:val="en-US"/>
        </w:rPr>
        <w:t>ption 3</w:t>
      </w:r>
      <w:r w:rsidR="00270FD5">
        <w:rPr>
          <w:lang w:val="en-US"/>
        </w:rPr>
        <w:t>, it</w:t>
      </w:r>
      <w:r w:rsidR="002A4EC8">
        <w:rPr>
          <w:lang w:val="en-US"/>
        </w:rPr>
        <w:t xml:space="preserve"> </w:t>
      </w:r>
      <w:r w:rsidR="002A4EC8">
        <w:t xml:space="preserve">implies adding an additional bit to RTT-based PDC configuration </w:t>
      </w:r>
      <w:r w:rsidR="009A7890">
        <w:t>to activate/deactivate</w:t>
      </w:r>
      <w:r w:rsidR="002A4EC8">
        <w:t xml:space="preserve"> UE</w:t>
      </w:r>
      <w:r w:rsidR="009A7890">
        <w:t>-</w:t>
      </w:r>
      <w:r w:rsidR="002A4EC8">
        <w:t>side</w:t>
      </w:r>
      <w:r w:rsidR="009A7890">
        <w:t xml:space="preserve"> PDC</w:t>
      </w:r>
      <w:r w:rsidR="002A4EC8">
        <w:t xml:space="preserve">, which is then redundant to the UE </w:t>
      </w:r>
      <w:r w:rsidR="002A4EC8">
        <w:lastRenderedPageBreak/>
        <w:t>already receiving the Rx-Tx measurement configuration.</w:t>
      </w:r>
      <w:r w:rsidR="00484B80">
        <w:t xml:space="preserve"> Additionally, broadcast signalling to explicitly activate UE-side RTT-based PDC in the cell looks unnecessary as the configuration of RTT-based PDC will require unicast signalling to each UE to configure measurements.</w:t>
      </w:r>
    </w:p>
    <w:p w14:paraId="366FFA9E" w14:textId="55D43653" w:rsidR="004E0350" w:rsidRPr="00744D85" w:rsidRDefault="004E0350" w:rsidP="004E0350">
      <w:pPr>
        <w:jc w:val="both"/>
      </w:pPr>
    </w:p>
    <w:p w14:paraId="5A6777D5" w14:textId="127FDA8E" w:rsidR="004E0350" w:rsidRPr="00AE0E55" w:rsidRDefault="00270FD5" w:rsidP="00BD5D42">
      <w:pPr>
        <w:jc w:val="both"/>
        <w:rPr>
          <w:b/>
        </w:rPr>
      </w:pPr>
      <w:r>
        <w:rPr>
          <w:b/>
          <w:bCs/>
        </w:rPr>
        <w:t>Observation</w:t>
      </w:r>
      <w:r w:rsidR="004E0350" w:rsidRPr="00AB29FF">
        <w:rPr>
          <w:b/>
          <w:bCs/>
        </w:rPr>
        <w:t xml:space="preserve"> </w:t>
      </w:r>
      <w:r>
        <w:rPr>
          <w:b/>
          <w:bCs/>
        </w:rPr>
        <w:t>2</w:t>
      </w:r>
      <w:r w:rsidR="004E0350" w:rsidRPr="005240AE">
        <w:rPr>
          <w:b/>
        </w:rPr>
        <w:t xml:space="preserve">: </w:t>
      </w:r>
      <w:r w:rsidR="00484B80">
        <w:rPr>
          <w:b/>
        </w:rPr>
        <w:t xml:space="preserve">Explicit indication for UE-side RTT-based PDC </w:t>
      </w:r>
      <w:r w:rsidR="0003216C">
        <w:rPr>
          <w:b/>
        </w:rPr>
        <w:t>may be</w:t>
      </w:r>
      <w:r w:rsidR="00484B80">
        <w:rPr>
          <w:b/>
        </w:rPr>
        <w:t xml:space="preserve"> redundant as the method already requires unicast signalling for </w:t>
      </w:r>
      <w:r w:rsidR="009A7890">
        <w:rPr>
          <w:b/>
        </w:rPr>
        <w:t xml:space="preserve">Rx-Tx </w:t>
      </w:r>
      <w:r w:rsidR="00484B80">
        <w:rPr>
          <w:b/>
        </w:rPr>
        <w:t>measurement configuration.</w:t>
      </w:r>
      <w:r w:rsidR="004E0350" w:rsidRPr="005240AE">
        <w:rPr>
          <w:b/>
        </w:rPr>
        <w:t xml:space="preserve"> </w:t>
      </w:r>
    </w:p>
    <w:p w14:paraId="44E08A1B" w14:textId="284BC1E5" w:rsidR="00270FD5" w:rsidRDefault="00450BA3" w:rsidP="00BD5D42">
      <w:pPr>
        <w:jc w:val="both"/>
        <w:rPr>
          <w:bCs/>
        </w:rPr>
      </w:pPr>
      <w:r>
        <w:rPr>
          <w:bCs/>
        </w:rPr>
        <w:t xml:space="preserve">Based on the observations we have made </w:t>
      </w:r>
      <w:proofErr w:type="gramStart"/>
      <w:r>
        <w:rPr>
          <w:bCs/>
        </w:rPr>
        <w:t>above,</w:t>
      </w:r>
      <w:proofErr w:type="gramEnd"/>
      <w:r>
        <w:rPr>
          <w:bCs/>
        </w:rPr>
        <w:t xml:space="preserve"> we can have a signaling framework </w:t>
      </w:r>
      <w:r w:rsidR="00270FD5">
        <w:rPr>
          <w:bCs/>
        </w:rPr>
        <w:t>combining the a</w:t>
      </w:r>
      <w:r w:rsidR="00270FD5" w:rsidRPr="00270FD5">
        <w:rPr>
          <w:bCs/>
        </w:rPr>
        <w:t xml:space="preserve">ctivation and deactivation </w:t>
      </w:r>
      <w:r w:rsidR="00AE0E55">
        <w:rPr>
          <w:bCs/>
        </w:rPr>
        <w:t>signalling</w:t>
      </w:r>
      <w:r w:rsidR="00270FD5">
        <w:rPr>
          <w:bCs/>
        </w:rPr>
        <w:t xml:space="preserve"> </w:t>
      </w:r>
      <w:r w:rsidR="00270FD5" w:rsidRPr="00270FD5">
        <w:rPr>
          <w:bCs/>
        </w:rPr>
        <w:t xml:space="preserve">of UE-side PDC </w:t>
      </w:r>
      <w:r w:rsidR="00270FD5">
        <w:rPr>
          <w:bCs/>
        </w:rPr>
        <w:t xml:space="preserve">for TA and RTT </w:t>
      </w:r>
      <w:r w:rsidR="00BC37C2">
        <w:rPr>
          <w:bCs/>
        </w:rPr>
        <w:t>methods</w:t>
      </w:r>
      <w:r>
        <w:rPr>
          <w:bCs/>
        </w:rPr>
        <w:t>.</w:t>
      </w:r>
      <w:r w:rsidR="00BC37C2">
        <w:rPr>
          <w:bCs/>
        </w:rPr>
        <w:t xml:space="preserve"> </w:t>
      </w:r>
      <w:r>
        <w:rPr>
          <w:bCs/>
        </w:rPr>
        <w:t>In particular, the UE behaviour for PDC based on the</w:t>
      </w:r>
      <w:r w:rsidR="00047EC2">
        <w:rPr>
          <w:bCs/>
        </w:rPr>
        <w:t xml:space="preserve"> solution for PDC </w:t>
      </w:r>
      <w:r>
        <w:rPr>
          <w:bCs/>
        </w:rPr>
        <w:t xml:space="preserve">combining </w:t>
      </w:r>
      <w:r w:rsidR="00047EC2">
        <w:rPr>
          <w:bCs/>
        </w:rPr>
        <w:t xml:space="preserve">explicit binary indication for UE-Side PDC together with the configuration of RTT measurements </w:t>
      </w:r>
      <w:r>
        <w:rPr>
          <w:bCs/>
        </w:rPr>
        <w:t xml:space="preserve">is tabulated in Table 1. The call flows for different cases are also illustrated in </w:t>
      </w:r>
      <w:r w:rsidR="00CF1C11">
        <w:rPr>
          <w:bCs/>
        </w:rPr>
        <w:fldChar w:fldCharType="begin"/>
      </w:r>
      <w:r w:rsidR="00CF1C11">
        <w:rPr>
          <w:bCs/>
        </w:rPr>
        <w:instrText xml:space="preserve"> REF _Ref94710736 \h </w:instrText>
      </w:r>
      <w:r w:rsidR="00CF1C11">
        <w:rPr>
          <w:bCs/>
        </w:rPr>
      </w:r>
      <w:r w:rsidR="00CF1C11">
        <w:rPr>
          <w:bCs/>
        </w:rPr>
        <w:fldChar w:fldCharType="separate"/>
      </w:r>
      <w:r w:rsidR="00CF1C11">
        <w:t xml:space="preserve">Figure </w:t>
      </w:r>
      <w:r w:rsidR="00CF1C11">
        <w:rPr>
          <w:noProof/>
        </w:rPr>
        <w:t>1</w:t>
      </w:r>
      <w:r w:rsidR="00CF1C11">
        <w:rPr>
          <w:bCs/>
        </w:rPr>
        <w:fldChar w:fldCharType="end"/>
      </w:r>
      <w:r w:rsidR="00CF1C11">
        <w:rPr>
          <w:bCs/>
        </w:rPr>
        <w:t xml:space="preserve"> and </w:t>
      </w:r>
      <w:r w:rsidR="00CF1C11">
        <w:rPr>
          <w:bCs/>
        </w:rPr>
        <w:fldChar w:fldCharType="begin"/>
      </w:r>
      <w:r w:rsidR="00CF1C11">
        <w:rPr>
          <w:bCs/>
        </w:rPr>
        <w:instrText xml:space="preserve"> REF _Ref94710740 \h </w:instrText>
      </w:r>
      <w:r w:rsidR="00CF1C11">
        <w:rPr>
          <w:bCs/>
        </w:rPr>
      </w:r>
      <w:r w:rsidR="00CF1C11">
        <w:rPr>
          <w:bCs/>
        </w:rPr>
        <w:fldChar w:fldCharType="separate"/>
      </w:r>
      <w:r w:rsidR="00CF1C11">
        <w:t xml:space="preserve">Figure </w:t>
      </w:r>
      <w:r w:rsidR="00CF1C11">
        <w:rPr>
          <w:noProof/>
        </w:rPr>
        <w:t>2</w:t>
      </w:r>
      <w:r w:rsidR="00CF1C11">
        <w:rPr>
          <w:bCs/>
        </w:rPr>
        <w:fldChar w:fldCharType="end"/>
      </w:r>
      <w:r w:rsidR="00BC37C2">
        <w:rPr>
          <w:bCs/>
        </w:rPr>
        <w:t>:</w:t>
      </w:r>
    </w:p>
    <w:p w14:paraId="4321B95E" w14:textId="320A6C67" w:rsidR="00450BA3" w:rsidRDefault="00450BA3" w:rsidP="00056B1C">
      <w:pPr>
        <w:pStyle w:val="Caption"/>
        <w:keepNext/>
        <w:jc w:val="center"/>
      </w:pPr>
      <w:r>
        <w:t xml:space="preserve">Table </w:t>
      </w:r>
      <w:fldSimple w:instr=" SEQ Table \* ARABIC ">
        <w:r>
          <w:rPr>
            <w:noProof/>
          </w:rPr>
          <w:t>1</w:t>
        </w:r>
      </w:fldSimple>
      <w:r>
        <w:t xml:space="preserve"> A signaling framework for UE-side PDC combining explicit activation/deactivation for TA-based PDC and RTT measurement </w:t>
      </w:r>
      <w:r w:rsidR="005969F5">
        <w:t>configurations</w:t>
      </w:r>
    </w:p>
    <w:tbl>
      <w:tblPr>
        <w:tblStyle w:val="TableGrid"/>
        <w:tblW w:w="0" w:type="auto"/>
        <w:tblInd w:w="704" w:type="dxa"/>
        <w:tblLook w:val="04A0" w:firstRow="1" w:lastRow="0" w:firstColumn="1" w:lastColumn="0" w:noHBand="0" w:noVBand="1"/>
      </w:tblPr>
      <w:tblGrid>
        <w:gridCol w:w="851"/>
        <w:gridCol w:w="1984"/>
        <w:gridCol w:w="2128"/>
        <w:gridCol w:w="2550"/>
      </w:tblGrid>
      <w:tr w:rsidR="0003216C" w14:paraId="05C3A18D" w14:textId="77777777" w:rsidTr="0003216C">
        <w:trPr>
          <w:trHeight w:val="567"/>
        </w:trPr>
        <w:tc>
          <w:tcPr>
            <w:tcW w:w="851" w:type="dxa"/>
            <w:vAlign w:val="center"/>
          </w:tcPr>
          <w:p w14:paraId="71FBC631" w14:textId="538DA768" w:rsidR="0003216C" w:rsidRPr="00BC37C2" w:rsidRDefault="0003216C" w:rsidP="0003216C">
            <w:pPr>
              <w:spacing w:before="60" w:after="60"/>
              <w:jc w:val="center"/>
              <w:rPr>
                <w:b/>
              </w:rPr>
            </w:pPr>
            <w:r>
              <w:rPr>
                <w:b/>
              </w:rPr>
              <w:t>Case</w:t>
            </w:r>
          </w:p>
        </w:tc>
        <w:tc>
          <w:tcPr>
            <w:tcW w:w="1984" w:type="dxa"/>
            <w:vAlign w:val="center"/>
          </w:tcPr>
          <w:p w14:paraId="52D55767" w14:textId="71385EBA" w:rsidR="0003216C" w:rsidRPr="00BC37C2" w:rsidRDefault="0003216C" w:rsidP="00BC37C2">
            <w:pPr>
              <w:spacing w:before="60" w:after="60"/>
              <w:jc w:val="center"/>
              <w:rPr>
                <w:b/>
              </w:rPr>
            </w:pPr>
            <w:r w:rsidRPr="00BC37C2">
              <w:rPr>
                <w:b/>
              </w:rPr>
              <w:t xml:space="preserve">UE-side PDC </w:t>
            </w:r>
            <w:r w:rsidR="009A7890">
              <w:rPr>
                <w:b/>
              </w:rPr>
              <w:t xml:space="preserve">binary </w:t>
            </w:r>
            <w:r w:rsidRPr="00BC37C2">
              <w:rPr>
                <w:b/>
              </w:rPr>
              <w:t>indication</w:t>
            </w:r>
          </w:p>
        </w:tc>
        <w:tc>
          <w:tcPr>
            <w:tcW w:w="2128" w:type="dxa"/>
            <w:vAlign w:val="center"/>
          </w:tcPr>
          <w:p w14:paraId="5D86F57D" w14:textId="7783AD1D" w:rsidR="0003216C" w:rsidRPr="00BC37C2" w:rsidRDefault="0003216C" w:rsidP="00BC37C2">
            <w:pPr>
              <w:spacing w:before="60" w:after="60"/>
              <w:jc w:val="center"/>
              <w:rPr>
                <w:b/>
              </w:rPr>
            </w:pPr>
            <w:r w:rsidRPr="00BC37C2">
              <w:rPr>
                <w:b/>
              </w:rPr>
              <w:t>RTT measurement configured at the UE</w:t>
            </w:r>
          </w:p>
        </w:tc>
        <w:tc>
          <w:tcPr>
            <w:tcW w:w="2550" w:type="dxa"/>
            <w:vAlign w:val="center"/>
          </w:tcPr>
          <w:p w14:paraId="1D84ABE8" w14:textId="18361307" w:rsidR="0003216C" w:rsidRPr="00BC37C2" w:rsidRDefault="0003216C" w:rsidP="00BC37C2">
            <w:pPr>
              <w:spacing w:before="60" w:after="60"/>
              <w:jc w:val="center"/>
              <w:rPr>
                <w:b/>
              </w:rPr>
            </w:pPr>
            <w:r w:rsidRPr="00BC37C2">
              <w:rPr>
                <w:b/>
              </w:rPr>
              <w:t>PDC method</w:t>
            </w:r>
          </w:p>
        </w:tc>
      </w:tr>
      <w:tr w:rsidR="0003216C" w14:paraId="2A639638" w14:textId="77777777" w:rsidTr="0003216C">
        <w:tc>
          <w:tcPr>
            <w:tcW w:w="851" w:type="dxa"/>
            <w:vAlign w:val="center"/>
          </w:tcPr>
          <w:p w14:paraId="5A3663C4" w14:textId="23AA6164" w:rsidR="0003216C" w:rsidRDefault="0003216C" w:rsidP="0003216C">
            <w:pPr>
              <w:spacing w:before="60" w:after="60"/>
              <w:jc w:val="center"/>
              <w:rPr>
                <w:bCs/>
              </w:rPr>
            </w:pPr>
            <w:r>
              <w:rPr>
                <w:bCs/>
              </w:rPr>
              <w:t>#1</w:t>
            </w:r>
          </w:p>
        </w:tc>
        <w:tc>
          <w:tcPr>
            <w:tcW w:w="1984" w:type="dxa"/>
            <w:vMerge w:val="restart"/>
            <w:vAlign w:val="center"/>
          </w:tcPr>
          <w:p w14:paraId="3D194F87" w14:textId="62EF3751" w:rsidR="0003216C" w:rsidRDefault="0003216C" w:rsidP="00BC37C2">
            <w:pPr>
              <w:spacing w:before="60" w:after="60"/>
              <w:rPr>
                <w:bCs/>
              </w:rPr>
            </w:pPr>
            <w:r>
              <w:rPr>
                <w:bCs/>
              </w:rPr>
              <w:t>Present with “True”</w:t>
            </w:r>
          </w:p>
        </w:tc>
        <w:tc>
          <w:tcPr>
            <w:tcW w:w="2128" w:type="dxa"/>
            <w:vAlign w:val="center"/>
          </w:tcPr>
          <w:p w14:paraId="0F0CB574" w14:textId="0D3616D5" w:rsidR="0003216C" w:rsidRDefault="0003216C" w:rsidP="00BC37C2">
            <w:pPr>
              <w:spacing w:before="60" w:after="60"/>
              <w:jc w:val="center"/>
              <w:rPr>
                <w:bCs/>
              </w:rPr>
            </w:pPr>
            <w:r>
              <w:rPr>
                <w:bCs/>
              </w:rPr>
              <w:t>No</w:t>
            </w:r>
          </w:p>
        </w:tc>
        <w:tc>
          <w:tcPr>
            <w:tcW w:w="2550" w:type="dxa"/>
            <w:vAlign w:val="center"/>
          </w:tcPr>
          <w:p w14:paraId="7599DA96" w14:textId="382E7699" w:rsidR="0003216C" w:rsidRDefault="0003216C" w:rsidP="00BC37C2">
            <w:pPr>
              <w:spacing w:before="60" w:after="60"/>
              <w:rPr>
                <w:bCs/>
              </w:rPr>
            </w:pPr>
            <w:r>
              <w:rPr>
                <w:bCs/>
              </w:rPr>
              <w:t>UE-side TA-based PDC</w:t>
            </w:r>
          </w:p>
        </w:tc>
      </w:tr>
      <w:tr w:rsidR="0003216C" w14:paraId="343FD786" w14:textId="77777777" w:rsidTr="0003216C">
        <w:tc>
          <w:tcPr>
            <w:tcW w:w="851" w:type="dxa"/>
            <w:vAlign w:val="center"/>
          </w:tcPr>
          <w:p w14:paraId="7E0BE5EA" w14:textId="3EA21271" w:rsidR="0003216C" w:rsidRDefault="0003216C" w:rsidP="0003216C">
            <w:pPr>
              <w:spacing w:before="60" w:after="60"/>
              <w:jc w:val="center"/>
              <w:rPr>
                <w:bCs/>
              </w:rPr>
            </w:pPr>
            <w:r>
              <w:rPr>
                <w:bCs/>
              </w:rPr>
              <w:t>#2</w:t>
            </w:r>
          </w:p>
        </w:tc>
        <w:tc>
          <w:tcPr>
            <w:tcW w:w="1984" w:type="dxa"/>
            <w:vMerge/>
            <w:vAlign w:val="center"/>
          </w:tcPr>
          <w:p w14:paraId="4986A135" w14:textId="739E4877" w:rsidR="0003216C" w:rsidRDefault="0003216C" w:rsidP="00BC37C2">
            <w:pPr>
              <w:spacing w:before="60" w:after="60"/>
              <w:rPr>
                <w:bCs/>
              </w:rPr>
            </w:pPr>
          </w:p>
        </w:tc>
        <w:tc>
          <w:tcPr>
            <w:tcW w:w="2128" w:type="dxa"/>
            <w:vAlign w:val="center"/>
          </w:tcPr>
          <w:p w14:paraId="4CE3574E" w14:textId="1A332752" w:rsidR="0003216C" w:rsidRDefault="0003216C" w:rsidP="00BC37C2">
            <w:pPr>
              <w:spacing w:before="60" w:after="60"/>
              <w:jc w:val="center"/>
              <w:rPr>
                <w:bCs/>
              </w:rPr>
            </w:pPr>
            <w:r>
              <w:rPr>
                <w:bCs/>
              </w:rPr>
              <w:t>Yes</w:t>
            </w:r>
          </w:p>
        </w:tc>
        <w:tc>
          <w:tcPr>
            <w:tcW w:w="2550" w:type="dxa"/>
            <w:vAlign w:val="center"/>
          </w:tcPr>
          <w:p w14:paraId="48991823" w14:textId="1C95744E" w:rsidR="0003216C" w:rsidRDefault="0003216C" w:rsidP="00BC37C2">
            <w:pPr>
              <w:spacing w:before="60" w:after="60"/>
              <w:rPr>
                <w:bCs/>
              </w:rPr>
            </w:pPr>
            <w:r>
              <w:rPr>
                <w:bCs/>
              </w:rPr>
              <w:t>UE-side RTT-based PDC</w:t>
            </w:r>
          </w:p>
        </w:tc>
      </w:tr>
      <w:tr w:rsidR="0003216C" w14:paraId="49E9E231" w14:textId="77777777" w:rsidTr="0003216C">
        <w:tc>
          <w:tcPr>
            <w:tcW w:w="851" w:type="dxa"/>
            <w:vAlign w:val="center"/>
          </w:tcPr>
          <w:p w14:paraId="737A2221" w14:textId="21D376AB" w:rsidR="0003216C" w:rsidRDefault="0003216C" w:rsidP="0003216C">
            <w:pPr>
              <w:spacing w:before="60" w:after="60"/>
              <w:jc w:val="center"/>
              <w:rPr>
                <w:bCs/>
              </w:rPr>
            </w:pPr>
            <w:r>
              <w:rPr>
                <w:bCs/>
              </w:rPr>
              <w:t>#3</w:t>
            </w:r>
          </w:p>
        </w:tc>
        <w:tc>
          <w:tcPr>
            <w:tcW w:w="1984" w:type="dxa"/>
            <w:vMerge w:val="restart"/>
            <w:vAlign w:val="center"/>
          </w:tcPr>
          <w:p w14:paraId="0CEFB92D" w14:textId="298036F9" w:rsidR="0003216C" w:rsidRDefault="0003216C" w:rsidP="00BC37C2">
            <w:pPr>
              <w:spacing w:before="60" w:after="60"/>
              <w:rPr>
                <w:bCs/>
              </w:rPr>
            </w:pPr>
            <w:r>
              <w:rPr>
                <w:bCs/>
              </w:rPr>
              <w:t>Present with “False”</w:t>
            </w:r>
          </w:p>
        </w:tc>
        <w:tc>
          <w:tcPr>
            <w:tcW w:w="2128" w:type="dxa"/>
            <w:vAlign w:val="center"/>
          </w:tcPr>
          <w:p w14:paraId="639F9CC8" w14:textId="65F4AA38" w:rsidR="0003216C" w:rsidRDefault="0003216C" w:rsidP="00BC37C2">
            <w:pPr>
              <w:spacing w:before="60" w:after="60"/>
              <w:jc w:val="center"/>
              <w:rPr>
                <w:bCs/>
              </w:rPr>
            </w:pPr>
            <w:r>
              <w:rPr>
                <w:bCs/>
              </w:rPr>
              <w:t>No</w:t>
            </w:r>
          </w:p>
        </w:tc>
        <w:tc>
          <w:tcPr>
            <w:tcW w:w="2550" w:type="dxa"/>
            <w:vAlign w:val="center"/>
          </w:tcPr>
          <w:p w14:paraId="7D4E8FA7" w14:textId="3136DEF9" w:rsidR="0003216C" w:rsidRDefault="0003216C" w:rsidP="00BC37C2">
            <w:pPr>
              <w:spacing w:before="60" w:after="60"/>
              <w:rPr>
                <w:bCs/>
              </w:rPr>
            </w:pPr>
            <w:r>
              <w:rPr>
                <w:bCs/>
              </w:rPr>
              <w:t>gNB-side TA-based PDC</w:t>
            </w:r>
          </w:p>
        </w:tc>
      </w:tr>
      <w:tr w:rsidR="0003216C" w14:paraId="1878CA28" w14:textId="77777777" w:rsidTr="0003216C">
        <w:tc>
          <w:tcPr>
            <w:tcW w:w="851" w:type="dxa"/>
            <w:vAlign w:val="center"/>
          </w:tcPr>
          <w:p w14:paraId="085C6D9F" w14:textId="61EBD0B5" w:rsidR="0003216C" w:rsidRDefault="0003216C" w:rsidP="0003216C">
            <w:pPr>
              <w:spacing w:before="60" w:after="60"/>
              <w:jc w:val="center"/>
              <w:rPr>
                <w:bCs/>
              </w:rPr>
            </w:pPr>
            <w:r>
              <w:rPr>
                <w:bCs/>
              </w:rPr>
              <w:t>#4</w:t>
            </w:r>
          </w:p>
        </w:tc>
        <w:tc>
          <w:tcPr>
            <w:tcW w:w="1984" w:type="dxa"/>
            <w:vMerge/>
            <w:vAlign w:val="center"/>
          </w:tcPr>
          <w:p w14:paraId="04047E5C" w14:textId="2F7C35B7" w:rsidR="0003216C" w:rsidRDefault="0003216C" w:rsidP="00BC37C2">
            <w:pPr>
              <w:spacing w:before="60" w:after="60"/>
              <w:rPr>
                <w:bCs/>
              </w:rPr>
            </w:pPr>
          </w:p>
        </w:tc>
        <w:tc>
          <w:tcPr>
            <w:tcW w:w="2128" w:type="dxa"/>
            <w:vAlign w:val="center"/>
          </w:tcPr>
          <w:p w14:paraId="3B704D63" w14:textId="1D71D9AF" w:rsidR="0003216C" w:rsidRDefault="0003216C" w:rsidP="00BC37C2">
            <w:pPr>
              <w:spacing w:before="60" w:after="60"/>
              <w:jc w:val="center"/>
              <w:rPr>
                <w:bCs/>
              </w:rPr>
            </w:pPr>
            <w:r>
              <w:rPr>
                <w:bCs/>
              </w:rPr>
              <w:t>Yes</w:t>
            </w:r>
          </w:p>
        </w:tc>
        <w:tc>
          <w:tcPr>
            <w:tcW w:w="2550" w:type="dxa"/>
            <w:vAlign w:val="center"/>
          </w:tcPr>
          <w:p w14:paraId="5E55B11F" w14:textId="424725C8" w:rsidR="0003216C" w:rsidRDefault="0003216C" w:rsidP="00BC37C2">
            <w:pPr>
              <w:spacing w:before="60" w:after="60"/>
              <w:rPr>
                <w:bCs/>
              </w:rPr>
            </w:pPr>
            <w:r>
              <w:rPr>
                <w:bCs/>
              </w:rPr>
              <w:t>gNB-side RTT-based PDC</w:t>
            </w:r>
          </w:p>
        </w:tc>
      </w:tr>
      <w:tr w:rsidR="0003216C" w14:paraId="40DE38E8" w14:textId="77777777" w:rsidTr="0003216C">
        <w:trPr>
          <w:trHeight w:val="46"/>
        </w:trPr>
        <w:tc>
          <w:tcPr>
            <w:tcW w:w="851" w:type="dxa"/>
            <w:vAlign w:val="center"/>
          </w:tcPr>
          <w:p w14:paraId="1427F7DB" w14:textId="12F376C8" w:rsidR="0003216C" w:rsidRDefault="0003216C" w:rsidP="0003216C">
            <w:pPr>
              <w:spacing w:before="60" w:after="60"/>
              <w:jc w:val="center"/>
              <w:rPr>
                <w:bCs/>
              </w:rPr>
            </w:pPr>
            <w:r>
              <w:rPr>
                <w:bCs/>
              </w:rPr>
              <w:t>#5</w:t>
            </w:r>
          </w:p>
        </w:tc>
        <w:tc>
          <w:tcPr>
            <w:tcW w:w="1984" w:type="dxa"/>
            <w:vAlign w:val="center"/>
          </w:tcPr>
          <w:p w14:paraId="08FE6634" w14:textId="5CE62747" w:rsidR="0003216C" w:rsidRDefault="0003216C" w:rsidP="00BC37C2">
            <w:pPr>
              <w:spacing w:before="60" w:after="60"/>
              <w:rPr>
                <w:bCs/>
              </w:rPr>
            </w:pPr>
            <w:r>
              <w:rPr>
                <w:bCs/>
              </w:rPr>
              <w:t>Field absent</w:t>
            </w:r>
          </w:p>
        </w:tc>
        <w:tc>
          <w:tcPr>
            <w:tcW w:w="2128" w:type="dxa"/>
            <w:vAlign w:val="center"/>
          </w:tcPr>
          <w:p w14:paraId="22A39F66" w14:textId="77777777" w:rsidR="0003216C" w:rsidRDefault="0003216C" w:rsidP="00BC37C2">
            <w:pPr>
              <w:spacing w:before="60" w:after="60"/>
              <w:jc w:val="center"/>
              <w:rPr>
                <w:bCs/>
              </w:rPr>
            </w:pPr>
          </w:p>
        </w:tc>
        <w:tc>
          <w:tcPr>
            <w:tcW w:w="2550" w:type="dxa"/>
            <w:vAlign w:val="center"/>
          </w:tcPr>
          <w:p w14:paraId="7A26E2F8" w14:textId="4D02D8A3" w:rsidR="0003216C" w:rsidRDefault="0003216C" w:rsidP="00BC37C2">
            <w:pPr>
              <w:spacing w:before="60" w:after="60"/>
              <w:rPr>
                <w:bCs/>
              </w:rPr>
            </w:pPr>
            <w:r w:rsidRPr="00BC37C2">
              <w:rPr>
                <w:lang w:val="it-IT"/>
              </w:rPr>
              <w:t>UE may behave as in R16</w:t>
            </w:r>
          </w:p>
        </w:tc>
      </w:tr>
    </w:tbl>
    <w:p w14:paraId="060F8A38" w14:textId="19D2E97F" w:rsidR="00CF1C11" w:rsidRDefault="00CF1C11" w:rsidP="00BD5D42">
      <w:pPr>
        <w:jc w:val="both"/>
        <w:rPr>
          <w:bCs/>
        </w:rPr>
      </w:pPr>
    </w:p>
    <w:p w14:paraId="07276E4F" w14:textId="702B4731" w:rsidR="00CF1C11" w:rsidRDefault="00AB249C" w:rsidP="00CF1C11">
      <w:pPr>
        <w:keepNext/>
        <w:jc w:val="center"/>
      </w:pPr>
      <w:r>
        <w:rPr>
          <w:bCs/>
        </w:rPr>
        <w:object w:dxaOrig="7128" w:dyaOrig="6576" w14:anchorId="330C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61.5pt" o:ole="">
            <v:imagedata r:id="rId15" o:title=""/>
          </v:shape>
          <o:OLEObject Type="Embed" ProgID="Mscgen.Chart" ShapeID="_x0000_i1025" DrawAspect="Content" ObjectID="_1706342445" r:id="rId16"/>
        </w:object>
      </w:r>
    </w:p>
    <w:p w14:paraId="6CDB6F36" w14:textId="1EB6817F" w:rsidR="00CF1C11" w:rsidRDefault="00CF1C11" w:rsidP="00CF1C11">
      <w:pPr>
        <w:pStyle w:val="Caption"/>
        <w:jc w:val="center"/>
        <w:rPr>
          <w:bCs/>
        </w:rPr>
      </w:pPr>
      <w:bookmarkStart w:id="0" w:name="_Ref94710736"/>
      <w:r>
        <w:t xml:space="preserve">Figure </w:t>
      </w:r>
      <w:r w:rsidR="000046E7">
        <w:fldChar w:fldCharType="begin"/>
      </w:r>
      <w:r w:rsidR="000046E7">
        <w:instrText xml:space="preserve"> SEQ Figure \* ARABIC </w:instrText>
      </w:r>
      <w:r w:rsidR="000046E7">
        <w:fldChar w:fldCharType="separate"/>
      </w:r>
      <w:r>
        <w:rPr>
          <w:noProof/>
        </w:rPr>
        <w:t>1</w:t>
      </w:r>
      <w:r w:rsidR="000046E7">
        <w:rPr>
          <w:noProof/>
        </w:rPr>
        <w:fldChar w:fldCharType="end"/>
      </w:r>
      <w:bookmarkEnd w:id="0"/>
      <w:r>
        <w:t xml:space="preserve"> Signalling procedure for TA-based PDC (cases 1 and 3)</w:t>
      </w:r>
    </w:p>
    <w:p w14:paraId="7BC5E6F6" w14:textId="723A6A4B" w:rsidR="00CF1C11" w:rsidRDefault="00CF1C11" w:rsidP="00BD5D42">
      <w:pPr>
        <w:jc w:val="both"/>
        <w:rPr>
          <w:bCs/>
        </w:rPr>
      </w:pPr>
    </w:p>
    <w:p w14:paraId="55EE0F13" w14:textId="085E2331" w:rsidR="00CF1C11" w:rsidRDefault="0020795E" w:rsidP="00CF1C11">
      <w:pPr>
        <w:keepNext/>
        <w:jc w:val="center"/>
      </w:pPr>
      <w:r>
        <w:rPr>
          <w:bCs/>
        </w:rPr>
        <w:object w:dxaOrig="9204" w:dyaOrig="9348" w14:anchorId="268665E1">
          <v:shape id="_x0000_i1026" type="#_x0000_t75" style="width:286.5pt;height:291.5pt" o:ole="">
            <v:imagedata r:id="rId17" o:title=""/>
          </v:shape>
          <o:OLEObject Type="Embed" ProgID="Mscgen.Chart" ShapeID="_x0000_i1026" DrawAspect="Content" ObjectID="_1706342446" r:id="rId18"/>
        </w:object>
      </w:r>
    </w:p>
    <w:p w14:paraId="460CB40F" w14:textId="069F991B" w:rsidR="00CF1C11" w:rsidRDefault="00CF1C11" w:rsidP="00CF1C11">
      <w:pPr>
        <w:pStyle w:val="Caption"/>
        <w:jc w:val="center"/>
        <w:rPr>
          <w:bCs/>
        </w:rPr>
      </w:pPr>
      <w:bookmarkStart w:id="1" w:name="_Ref94710740"/>
      <w:r>
        <w:t xml:space="preserve">Figure </w:t>
      </w:r>
      <w:r w:rsidR="000046E7">
        <w:fldChar w:fldCharType="begin"/>
      </w:r>
      <w:r w:rsidR="000046E7">
        <w:instrText xml:space="preserve"> SEQ Figure \* ARABIC </w:instrText>
      </w:r>
      <w:r w:rsidR="000046E7">
        <w:fldChar w:fldCharType="separate"/>
      </w:r>
      <w:r>
        <w:rPr>
          <w:noProof/>
        </w:rPr>
        <w:t>2</w:t>
      </w:r>
      <w:r w:rsidR="000046E7">
        <w:rPr>
          <w:noProof/>
        </w:rPr>
        <w:fldChar w:fldCharType="end"/>
      </w:r>
      <w:bookmarkEnd w:id="1"/>
      <w:r>
        <w:t xml:space="preserve"> </w:t>
      </w:r>
      <w:r w:rsidRPr="004225BD">
        <w:t xml:space="preserve">Signalling procedure for </w:t>
      </w:r>
      <w:r>
        <w:t>RTT</w:t>
      </w:r>
      <w:r w:rsidRPr="004225BD">
        <w:t xml:space="preserve">-based PDC (cases </w:t>
      </w:r>
      <w:r>
        <w:t>2</w:t>
      </w:r>
      <w:r w:rsidRPr="004225BD">
        <w:t xml:space="preserve"> and </w:t>
      </w:r>
      <w:r>
        <w:t>4</w:t>
      </w:r>
      <w:r w:rsidRPr="004225BD">
        <w:t>)</w:t>
      </w:r>
    </w:p>
    <w:p w14:paraId="269323C8" w14:textId="6243285E" w:rsidR="00BC37C2" w:rsidRDefault="00AE0E55" w:rsidP="00BD5D42">
      <w:pPr>
        <w:jc w:val="both"/>
        <w:rPr>
          <w:b/>
          <w:bCs/>
          <w:lang w:val="en-US"/>
        </w:rPr>
      </w:pPr>
      <w:r w:rsidRPr="00AE0E55">
        <w:rPr>
          <w:b/>
        </w:rPr>
        <w:t xml:space="preserve">Proposal 1: UE-side PDC activation </w:t>
      </w:r>
      <w:r>
        <w:rPr>
          <w:b/>
        </w:rPr>
        <w:t xml:space="preserve">is controlled with an optional binary indication provided to the UE </w:t>
      </w:r>
      <w:r w:rsidR="00484B80" w:rsidRPr="009209CE">
        <w:rPr>
          <w:b/>
          <w:bCs/>
          <w:lang w:val="en-US"/>
        </w:rPr>
        <w:t>carried over SIB9 for a broadcast activation/deactivation o</w:t>
      </w:r>
      <w:r w:rsidR="00484B80">
        <w:rPr>
          <w:b/>
          <w:bCs/>
          <w:lang w:val="en-US"/>
        </w:rPr>
        <w:t>r via RRC IE for a unicast activation/deactivation.</w:t>
      </w:r>
    </w:p>
    <w:p w14:paraId="457091B0" w14:textId="2A392321" w:rsidR="00484B80" w:rsidRPr="00AE0E55" w:rsidRDefault="00484B80" w:rsidP="00BD5D42">
      <w:pPr>
        <w:jc w:val="both"/>
        <w:rPr>
          <w:b/>
        </w:rPr>
      </w:pPr>
      <w:r>
        <w:rPr>
          <w:b/>
          <w:bCs/>
          <w:lang w:val="en-US"/>
        </w:rPr>
        <w:t xml:space="preserve">Proposal 2: </w:t>
      </w:r>
      <w:r w:rsidRPr="005240AE">
        <w:rPr>
          <w:b/>
        </w:rPr>
        <w:t>Activation</w:t>
      </w:r>
      <w:r>
        <w:rPr>
          <w:b/>
        </w:rPr>
        <w:t>/deactivation</w:t>
      </w:r>
      <w:r w:rsidRPr="005240AE">
        <w:rPr>
          <w:b/>
        </w:rPr>
        <w:t xml:space="preserve"> of UE-side RTT-based PDC should be implicit</w:t>
      </w:r>
      <w:r w:rsidR="009A7890">
        <w:rPr>
          <w:b/>
        </w:rPr>
        <w:t>ly</w:t>
      </w:r>
      <w:r w:rsidRPr="005240AE">
        <w:rPr>
          <w:b/>
        </w:rPr>
        <w:t xml:space="preserve"> derived by the configuration framework for Rx-Tx measurements</w:t>
      </w:r>
      <w:r>
        <w:rPr>
          <w:b/>
        </w:rPr>
        <w:t xml:space="preserve"> and the explicit UE-side PDC binary indication</w:t>
      </w:r>
      <w:r w:rsidRPr="005240AE">
        <w:rPr>
          <w:b/>
        </w:rPr>
        <w:t>.</w:t>
      </w:r>
    </w:p>
    <w:p w14:paraId="5B040CA5" w14:textId="77777777" w:rsidR="00BC37C2" w:rsidRPr="00270FD5" w:rsidRDefault="00BC37C2" w:rsidP="00BD5D42">
      <w:pPr>
        <w:jc w:val="both"/>
        <w:rPr>
          <w:bCs/>
        </w:rPr>
      </w:pPr>
    </w:p>
    <w:p w14:paraId="6F811C74" w14:textId="3C5680A1" w:rsidR="006E0133" w:rsidRDefault="006E0133" w:rsidP="006E0133">
      <w:pPr>
        <w:pStyle w:val="Heading2"/>
        <w:jc w:val="both"/>
        <w:rPr>
          <w:lang w:val="en-US"/>
        </w:rPr>
      </w:pPr>
      <w:r w:rsidRPr="002B0ED8">
        <w:rPr>
          <w:lang w:val="en-US"/>
        </w:rPr>
        <w:t>2.</w:t>
      </w:r>
      <w:r>
        <w:rPr>
          <w:lang w:val="en-US"/>
        </w:rPr>
        <w:t>2</w:t>
      </w:r>
      <w:r w:rsidRPr="002B0ED8">
        <w:rPr>
          <w:lang w:val="en-US"/>
        </w:rPr>
        <w:tab/>
      </w:r>
      <w:r w:rsidR="00B05A31">
        <w:rPr>
          <w:lang w:val="en-US"/>
        </w:rPr>
        <w:t xml:space="preserve">UE report trigger for gNB-side </w:t>
      </w:r>
      <w:r w:rsidR="00B05A31" w:rsidRPr="00B05A31">
        <w:rPr>
          <w:lang w:val="en-US"/>
        </w:rPr>
        <w:t>RTT-based PDC</w:t>
      </w:r>
    </w:p>
    <w:p w14:paraId="5C8A251D" w14:textId="7D5A48C7" w:rsidR="00BD5D42" w:rsidRPr="00B05A31" w:rsidRDefault="00B05A31" w:rsidP="00B05A31">
      <w:pPr>
        <w:spacing w:after="0"/>
        <w:jc w:val="both"/>
        <w:rPr>
          <w:lang w:val="en-US"/>
        </w:rPr>
      </w:pPr>
      <w:r w:rsidRPr="00B05A31">
        <w:rPr>
          <w:lang w:val="en-US"/>
        </w:rPr>
        <w:t>Support for gNB-side RTT-based PDC was</w:t>
      </w:r>
      <w:r>
        <w:rPr>
          <w:lang w:val="en-US"/>
        </w:rPr>
        <w:t xml:space="preserve"> agreed </w:t>
      </w:r>
      <w:r w:rsidR="00D5197A">
        <w:rPr>
          <w:lang w:val="en-US"/>
        </w:rPr>
        <w:t xml:space="preserve">for Rel-17 </w:t>
      </w:r>
      <w:r>
        <w:rPr>
          <w:lang w:val="en-US"/>
        </w:rPr>
        <w:t>but how to trigger the report of UE Rx-Tx time difference to the gNB remains open. During RAN2#11</w:t>
      </w:r>
      <w:r w:rsidR="005C1D85">
        <w:rPr>
          <w:lang w:val="en-US"/>
        </w:rPr>
        <w:t>6bis-e</w:t>
      </w:r>
      <w:r>
        <w:rPr>
          <w:lang w:val="en-US"/>
        </w:rPr>
        <w:t xml:space="preserve"> email discussion, different options were listed in question 5a copied below.</w:t>
      </w:r>
    </w:p>
    <w:p w14:paraId="42098375" w14:textId="77777777" w:rsidR="00BD5D42" w:rsidRPr="00B05A31" w:rsidRDefault="00BD5D42" w:rsidP="005240AE">
      <w:pPr>
        <w:jc w:val="both"/>
        <w:rPr>
          <w:lang w:val="en-US"/>
        </w:rPr>
      </w:pPr>
    </w:p>
    <w:p w14:paraId="69E74EA2" w14:textId="77777777" w:rsidR="00B05A31" w:rsidRPr="00B05A31" w:rsidRDefault="00B05A31" w:rsidP="00B05A31">
      <w:pPr>
        <w:spacing w:before="60" w:after="120" w:line="264" w:lineRule="auto"/>
        <w:ind w:left="284"/>
        <w:jc w:val="both"/>
        <w:rPr>
          <w:bCs/>
          <w:i/>
          <w:iCs/>
        </w:rPr>
      </w:pPr>
      <w:r w:rsidRPr="00B05A31">
        <w:rPr>
          <w:bCs/>
          <w:i/>
          <w:iCs/>
        </w:rPr>
        <w:t>Q5a: For RTT-based gNB side PDC, companies are invited to indicate which option below for triggering report of UE Rx-Tx time difference to the NW is preferred? If there are sub-options, companies can further indicate which sub-option is preferred?</w:t>
      </w:r>
    </w:p>
    <w:p w14:paraId="69C07A49" w14:textId="77777777" w:rsidR="00B05A31" w:rsidRPr="00B05A31" w:rsidRDefault="00B05A31" w:rsidP="00B05A31">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B05A31">
        <w:rPr>
          <w:bCs/>
          <w:i/>
          <w:iCs/>
          <w:sz w:val="20"/>
          <w:szCs w:val="20"/>
        </w:rPr>
        <w:t>Option1: An explicit indication is sent from eNB to UE to trigger one-shot UE Rx-Tx time difference report. The possible ways can be:</w:t>
      </w:r>
    </w:p>
    <w:p w14:paraId="18202FC5" w14:textId="77777777" w:rsidR="00B05A31" w:rsidRPr="00B05A31" w:rsidRDefault="00B05A31" w:rsidP="00B05A31">
      <w:pPr>
        <w:pStyle w:val="ListParagraph"/>
        <w:numPr>
          <w:ilvl w:val="1"/>
          <w:numId w:val="30"/>
        </w:numPr>
        <w:overflowPunct w:val="0"/>
        <w:autoSpaceDE w:val="0"/>
        <w:autoSpaceDN w:val="0"/>
        <w:adjustRightInd w:val="0"/>
        <w:spacing w:before="60" w:after="120" w:line="264" w:lineRule="auto"/>
        <w:ind w:left="1668"/>
        <w:contextualSpacing w:val="0"/>
        <w:jc w:val="both"/>
        <w:rPr>
          <w:bCs/>
          <w:i/>
          <w:iCs/>
          <w:sz w:val="20"/>
          <w:szCs w:val="20"/>
        </w:rPr>
      </w:pPr>
      <w:r w:rsidRPr="00B05A31">
        <w:rPr>
          <w:bCs/>
          <w:i/>
          <w:iCs/>
          <w:sz w:val="20"/>
          <w:szCs w:val="20"/>
        </w:rPr>
        <w:t xml:space="preserve">Option1a: the </w:t>
      </w:r>
      <w:r w:rsidRPr="00B05A31">
        <w:rPr>
          <w:rFonts w:eastAsia="Arial Unicode MS"/>
          <w:bCs/>
          <w:i/>
          <w:iCs/>
          <w:sz w:val="20"/>
          <w:szCs w:val="20"/>
          <w:lang w:eastAsia="zh-CN"/>
        </w:rPr>
        <w:t xml:space="preserve">trigger in RRC signaling explicitly, e.g., in </w:t>
      </w:r>
      <w:r w:rsidRPr="00B05A31">
        <w:rPr>
          <w:rFonts w:eastAsia="Arial Unicode MS"/>
          <w:bCs/>
          <w:i/>
          <w:iCs/>
          <w:sz w:val="20"/>
          <w:szCs w:val="20"/>
        </w:rPr>
        <w:t>DLInformationTransfer</w:t>
      </w:r>
      <w:r w:rsidRPr="00B05A31">
        <w:rPr>
          <w:rFonts w:eastAsia="Arial Unicode MS"/>
          <w:bCs/>
          <w:i/>
          <w:iCs/>
          <w:sz w:val="20"/>
          <w:szCs w:val="20"/>
          <w:lang w:eastAsia="zh-CN"/>
        </w:rPr>
        <w:t xml:space="preserve"> or </w:t>
      </w:r>
      <w:r w:rsidRPr="00B05A31">
        <w:rPr>
          <w:rFonts w:eastAsia="Arial Unicode MS"/>
          <w:bCs/>
          <w:i/>
          <w:iCs/>
          <w:noProof/>
          <w:sz w:val="20"/>
          <w:szCs w:val="20"/>
        </w:rPr>
        <w:t>RRCReconfiguration</w:t>
      </w:r>
      <w:r w:rsidRPr="00B05A31">
        <w:rPr>
          <w:bCs/>
          <w:i/>
          <w:iCs/>
          <w:sz w:val="20"/>
          <w:szCs w:val="20"/>
        </w:rPr>
        <w:t>.</w:t>
      </w:r>
    </w:p>
    <w:p w14:paraId="25D5459A" w14:textId="77777777" w:rsidR="00B05A31" w:rsidRPr="00B05A31" w:rsidRDefault="00B05A31" w:rsidP="00B05A31">
      <w:pPr>
        <w:pStyle w:val="ListParagraph"/>
        <w:numPr>
          <w:ilvl w:val="1"/>
          <w:numId w:val="30"/>
        </w:numPr>
        <w:overflowPunct w:val="0"/>
        <w:autoSpaceDE w:val="0"/>
        <w:autoSpaceDN w:val="0"/>
        <w:adjustRightInd w:val="0"/>
        <w:spacing w:before="60" w:after="120" w:line="264" w:lineRule="auto"/>
        <w:ind w:left="1668"/>
        <w:contextualSpacing w:val="0"/>
        <w:jc w:val="both"/>
        <w:rPr>
          <w:bCs/>
          <w:i/>
          <w:iCs/>
          <w:sz w:val="20"/>
          <w:szCs w:val="20"/>
        </w:rPr>
      </w:pPr>
      <w:r w:rsidRPr="00B05A31">
        <w:rPr>
          <w:bCs/>
          <w:i/>
          <w:iCs/>
          <w:sz w:val="20"/>
          <w:szCs w:val="20"/>
        </w:rPr>
        <w:t xml:space="preserve">Option1b: the trigger in </w:t>
      </w:r>
      <w:r w:rsidRPr="00B05A31">
        <w:rPr>
          <w:bCs/>
          <w:i/>
          <w:iCs/>
          <w:sz w:val="20"/>
          <w:szCs w:val="20"/>
          <w:lang w:eastAsia="zh-CN"/>
        </w:rPr>
        <w:t>L1/MAC signaling</w:t>
      </w:r>
    </w:p>
    <w:p w14:paraId="01DBDECB" w14:textId="77777777" w:rsidR="00B05A31" w:rsidRPr="00B05A31" w:rsidRDefault="00B05A31" w:rsidP="00B05A31">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B05A31">
        <w:rPr>
          <w:bCs/>
          <w:i/>
          <w:iCs/>
          <w:sz w:val="20"/>
          <w:szCs w:val="20"/>
        </w:rPr>
        <w:t>Option2: Event-triggered report of UE Rx-Tx time difference. The possible event may be:</w:t>
      </w:r>
    </w:p>
    <w:p w14:paraId="6AFECDE9" w14:textId="77777777" w:rsidR="00B05A31" w:rsidRPr="00B05A31" w:rsidRDefault="00B05A31" w:rsidP="00B05A31">
      <w:pPr>
        <w:pStyle w:val="ListParagraph"/>
        <w:numPr>
          <w:ilvl w:val="1"/>
          <w:numId w:val="30"/>
        </w:numPr>
        <w:overflowPunct w:val="0"/>
        <w:autoSpaceDE w:val="0"/>
        <w:autoSpaceDN w:val="0"/>
        <w:adjustRightInd w:val="0"/>
        <w:spacing w:before="60" w:after="120" w:line="264" w:lineRule="auto"/>
        <w:ind w:left="1668"/>
        <w:contextualSpacing w:val="0"/>
        <w:jc w:val="both"/>
        <w:rPr>
          <w:bCs/>
          <w:i/>
          <w:iCs/>
          <w:sz w:val="20"/>
          <w:szCs w:val="20"/>
        </w:rPr>
      </w:pPr>
      <w:r w:rsidRPr="00B05A31">
        <w:rPr>
          <w:bCs/>
          <w:i/>
          <w:iCs/>
          <w:sz w:val="20"/>
          <w:szCs w:val="20"/>
        </w:rPr>
        <w:t>Option2a:</w:t>
      </w:r>
      <w:r w:rsidRPr="00B05A31">
        <w:rPr>
          <w:bCs/>
          <w:i/>
          <w:iCs/>
          <w:sz w:val="20"/>
          <w:szCs w:val="20"/>
          <w:lang w:eastAsia="zh-CN"/>
        </w:rPr>
        <w:t xml:space="preserve"> </w:t>
      </w:r>
      <w:r w:rsidRPr="00B05A31">
        <w:rPr>
          <w:bCs/>
          <w:i/>
          <w:iCs/>
          <w:sz w:val="20"/>
          <w:szCs w:val="20"/>
        </w:rPr>
        <w:t>if the difference between the current measurement value and the previous reported measurement value is larger than a configurable threshold.</w:t>
      </w:r>
    </w:p>
    <w:p w14:paraId="4C2E5E61" w14:textId="77777777" w:rsidR="00B05A31" w:rsidRPr="00B05A31" w:rsidRDefault="00B05A31" w:rsidP="00B05A31">
      <w:pPr>
        <w:pStyle w:val="ListParagraph"/>
        <w:numPr>
          <w:ilvl w:val="1"/>
          <w:numId w:val="30"/>
        </w:numPr>
        <w:overflowPunct w:val="0"/>
        <w:autoSpaceDE w:val="0"/>
        <w:autoSpaceDN w:val="0"/>
        <w:adjustRightInd w:val="0"/>
        <w:spacing w:before="60" w:after="120" w:line="264" w:lineRule="auto"/>
        <w:ind w:left="1668"/>
        <w:contextualSpacing w:val="0"/>
        <w:jc w:val="both"/>
        <w:rPr>
          <w:bCs/>
          <w:i/>
          <w:iCs/>
          <w:sz w:val="20"/>
          <w:szCs w:val="20"/>
        </w:rPr>
      </w:pPr>
      <w:r w:rsidRPr="00B05A31">
        <w:rPr>
          <w:bCs/>
          <w:i/>
          <w:iCs/>
          <w:sz w:val="20"/>
          <w:szCs w:val="20"/>
        </w:rPr>
        <w:t xml:space="preserve">Option2b: </w:t>
      </w:r>
      <w:r w:rsidRPr="00B05A31">
        <w:rPr>
          <w:rFonts w:eastAsia="MS Mincho"/>
          <w:bCs/>
          <w:i/>
          <w:iCs/>
          <w:sz w:val="20"/>
          <w:szCs w:val="20"/>
          <w:lang w:eastAsia="ja-JP"/>
        </w:rPr>
        <w:t>UE start RTT measurement/reporting when UE is far away from gNB</w:t>
      </w:r>
    </w:p>
    <w:p w14:paraId="29E78E06" w14:textId="77777777" w:rsidR="00B05A31" w:rsidRPr="00B05A31" w:rsidRDefault="00B05A31" w:rsidP="00B05A31">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B05A31">
        <w:rPr>
          <w:bCs/>
          <w:i/>
          <w:iCs/>
          <w:sz w:val="20"/>
          <w:szCs w:val="20"/>
        </w:rPr>
        <w:t>Option3: An indication is sent from eNB to UE to trigger</w:t>
      </w:r>
      <w:r w:rsidRPr="00B05A31">
        <w:rPr>
          <w:bCs/>
          <w:i/>
          <w:iCs/>
          <w:sz w:val="20"/>
          <w:szCs w:val="20"/>
          <w:lang w:eastAsia="zh-CN"/>
        </w:rPr>
        <w:t xml:space="preserve"> periodical</w:t>
      </w:r>
      <w:r w:rsidRPr="00B05A31">
        <w:rPr>
          <w:bCs/>
          <w:i/>
          <w:iCs/>
          <w:sz w:val="20"/>
          <w:szCs w:val="20"/>
        </w:rPr>
        <w:t xml:space="preserve"> report of UE Rx-Tx time difference </w:t>
      </w:r>
    </w:p>
    <w:p w14:paraId="33404D67" w14:textId="77777777" w:rsidR="00B05A31" w:rsidRPr="00B05A31" w:rsidRDefault="00B05A31" w:rsidP="00B05A31">
      <w:pPr>
        <w:pStyle w:val="ListParagraph"/>
        <w:numPr>
          <w:ilvl w:val="0"/>
          <w:numId w:val="30"/>
        </w:numPr>
        <w:overflowPunct w:val="0"/>
        <w:autoSpaceDE w:val="0"/>
        <w:autoSpaceDN w:val="0"/>
        <w:adjustRightInd w:val="0"/>
        <w:spacing w:before="60" w:after="120" w:line="264" w:lineRule="auto"/>
        <w:ind w:left="1104"/>
        <w:contextualSpacing w:val="0"/>
        <w:jc w:val="both"/>
        <w:rPr>
          <w:bCs/>
          <w:i/>
          <w:iCs/>
          <w:sz w:val="20"/>
          <w:szCs w:val="20"/>
        </w:rPr>
      </w:pPr>
      <w:r w:rsidRPr="00B05A31">
        <w:rPr>
          <w:bCs/>
          <w:i/>
          <w:iCs/>
          <w:sz w:val="20"/>
          <w:szCs w:val="20"/>
        </w:rPr>
        <w:lastRenderedPageBreak/>
        <w:t>Option4: No need of explicit trigger, UE decides when to conduct PDC and sends UE Rx-Tx timing difference to gNB when it is needed.</w:t>
      </w:r>
    </w:p>
    <w:p w14:paraId="44E63E5C" w14:textId="77777777" w:rsidR="00B05A31" w:rsidRPr="00B05A31" w:rsidRDefault="00B05A31" w:rsidP="00B05A31">
      <w:pPr>
        <w:pStyle w:val="ListParagraph"/>
        <w:numPr>
          <w:ilvl w:val="0"/>
          <w:numId w:val="30"/>
        </w:numPr>
        <w:overflowPunct w:val="0"/>
        <w:autoSpaceDE w:val="0"/>
        <w:autoSpaceDN w:val="0"/>
        <w:adjustRightInd w:val="0"/>
        <w:spacing w:before="60" w:after="120" w:line="264" w:lineRule="auto"/>
        <w:ind w:left="1104"/>
        <w:contextualSpacing w:val="0"/>
        <w:jc w:val="both"/>
        <w:rPr>
          <w:bCs/>
          <w:i/>
          <w:iCs/>
        </w:rPr>
      </w:pPr>
      <w:r w:rsidRPr="00B05A31">
        <w:rPr>
          <w:bCs/>
          <w:i/>
          <w:iCs/>
          <w:sz w:val="20"/>
          <w:szCs w:val="20"/>
        </w:rPr>
        <w:t>Other option</w:t>
      </w:r>
    </w:p>
    <w:p w14:paraId="128C36E0" w14:textId="77777777" w:rsidR="006201F0" w:rsidRPr="00B05A31" w:rsidRDefault="006201F0" w:rsidP="005240AE">
      <w:pPr>
        <w:pStyle w:val="ListParagraph"/>
        <w:jc w:val="both"/>
        <w:rPr>
          <w:sz w:val="20"/>
          <w:szCs w:val="20"/>
        </w:rPr>
      </w:pPr>
    </w:p>
    <w:p w14:paraId="61E43B47" w14:textId="514CBEEB" w:rsidR="002A6425" w:rsidRDefault="00C02176" w:rsidP="005240AE">
      <w:pPr>
        <w:jc w:val="both"/>
        <w:rPr>
          <w:lang w:val="en-US"/>
        </w:rPr>
      </w:pPr>
      <w:r>
        <w:rPr>
          <w:lang w:val="en-US"/>
        </w:rPr>
        <w:t xml:space="preserve">From our perspective, </w:t>
      </w:r>
      <w:r w:rsidR="005C1D85">
        <w:rPr>
          <w:lang w:val="en-US"/>
        </w:rPr>
        <w:t>O</w:t>
      </w:r>
      <w:r>
        <w:rPr>
          <w:lang w:val="en-US"/>
        </w:rPr>
        <w:t>ption 3 is preferred</w:t>
      </w:r>
      <w:r w:rsidR="001C5103">
        <w:rPr>
          <w:lang w:val="en-US"/>
        </w:rPr>
        <w:t xml:space="preserve"> as a clean solution that allows the UE to report regularly. If there is any concern with the </w:t>
      </w:r>
      <w:r>
        <w:rPr>
          <w:lang w:val="en-US"/>
        </w:rPr>
        <w:t>signaling overhead</w:t>
      </w:r>
      <w:r w:rsidR="00FE65C9">
        <w:rPr>
          <w:lang w:val="en-US"/>
        </w:rPr>
        <w:t xml:space="preserve">, the gNB can </w:t>
      </w:r>
      <w:r w:rsidR="001C5103">
        <w:rPr>
          <w:lang w:val="en-US"/>
        </w:rPr>
        <w:t xml:space="preserve">simply </w:t>
      </w:r>
      <w:r w:rsidR="00FE65C9">
        <w:rPr>
          <w:lang w:val="en-US"/>
        </w:rPr>
        <w:t>change the periodicity of the Rx-Tx time difference measurements</w:t>
      </w:r>
      <w:r>
        <w:rPr>
          <w:lang w:val="en-US"/>
        </w:rPr>
        <w:t xml:space="preserve">. </w:t>
      </w:r>
    </w:p>
    <w:p w14:paraId="0EA57651" w14:textId="0D16DA37" w:rsidR="00332F71" w:rsidRDefault="009F3BD8" w:rsidP="005240AE">
      <w:pPr>
        <w:jc w:val="both"/>
        <w:rPr>
          <w:lang w:val="en-US"/>
        </w:rPr>
      </w:pPr>
      <w:r w:rsidRPr="00C24471">
        <w:rPr>
          <w:b/>
          <w:bCs/>
          <w:lang w:val="en-US"/>
        </w:rPr>
        <w:t>Proposal 3:</w:t>
      </w:r>
      <w:r>
        <w:rPr>
          <w:b/>
          <w:bCs/>
          <w:lang w:val="en-US"/>
        </w:rPr>
        <w:t xml:space="preserve"> </w:t>
      </w:r>
      <w:r w:rsidR="00D52B37">
        <w:rPr>
          <w:b/>
          <w:bCs/>
          <w:lang w:val="en-US"/>
        </w:rPr>
        <w:t xml:space="preserve">For gNB-side RTT-based PDC, the </w:t>
      </w:r>
      <w:r w:rsidR="000F1279" w:rsidRPr="000F1279">
        <w:rPr>
          <w:b/>
          <w:bCs/>
          <w:lang w:val="en-US"/>
        </w:rPr>
        <w:t xml:space="preserve">UE Rx-Tx time difference </w:t>
      </w:r>
      <w:r w:rsidR="000F1279">
        <w:rPr>
          <w:b/>
          <w:bCs/>
          <w:lang w:val="en-US"/>
        </w:rPr>
        <w:t xml:space="preserve">reporting </w:t>
      </w:r>
      <w:r w:rsidR="001C515B">
        <w:rPr>
          <w:b/>
          <w:bCs/>
          <w:lang w:val="en-US"/>
        </w:rPr>
        <w:t xml:space="preserve">should </w:t>
      </w:r>
      <w:r w:rsidR="00480D27" w:rsidRPr="00480D27">
        <w:rPr>
          <w:b/>
          <w:bCs/>
          <w:lang w:val="en-US"/>
        </w:rPr>
        <w:t xml:space="preserve">be </w:t>
      </w:r>
      <w:r w:rsidR="00833585">
        <w:rPr>
          <w:b/>
          <w:bCs/>
          <w:lang w:val="en-US"/>
        </w:rPr>
        <w:t>based on a</w:t>
      </w:r>
      <w:r w:rsidR="0040000F">
        <w:rPr>
          <w:b/>
          <w:bCs/>
          <w:lang w:val="en-US"/>
        </w:rPr>
        <w:t>n</w:t>
      </w:r>
      <w:r w:rsidR="00833585">
        <w:rPr>
          <w:b/>
          <w:bCs/>
          <w:lang w:val="en-US"/>
        </w:rPr>
        <w:t xml:space="preserve"> indication from gNB to UE to </w:t>
      </w:r>
      <w:r w:rsidR="0040000F">
        <w:rPr>
          <w:b/>
          <w:bCs/>
          <w:lang w:val="en-US"/>
        </w:rPr>
        <w:t xml:space="preserve">configure a periodical report. It is up to the gNB to </w:t>
      </w:r>
      <w:r w:rsidR="0055250C">
        <w:rPr>
          <w:b/>
          <w:bCs/>
          <w:lang w:val="en-US"/>
        </w:rPr>
        <w:t>adjust</w:t>
      </w:r>
      <w:r w:rsidR="00580B15">
        <w:rPr>
          <w:b/>
          <w:bCs/>
          <w:lang w:val="en-US"/>
        </w:rPr>
        <w:t xml:space="preserve"> the periodicity of the </w:t>
      </w:r>
      <w:r w:rsidR="0055250C">
        <w:rPr>
          <w:b/>
          <w:bCs/>
          <w:lang w:val="en-US"/>
        </w:rPr>
        <w:t xml:space="preserve">UE </w:t>
      </w:r>
      <w:r w:rsidR="00580B15">
        <w:rPr>
          <w:b/>
          <w:bCs/>
          <w:lang w:val="en-US"/>
        </w:rPr>
        <w:t>measurement</w:t>
      </w:r>
      <w:r w:rsidR="00480D27" w:rsidRPr="00480D27">
        <w:rPr>
          <w:b/>
          <w:bCs/>
          <w:lang w:val="en-US"/>
        </w:rPr>
        <w:t>.</w:t>
      </w:r>
    </w:p>
    <w:p w14:paraId="189C7D43" w14:textId="6FE30950" w:rsidR="00C02176" w:rsidRDefault="00412DFB" w:rsidP="005240AE">
      <w:pPr>
        <w:jc w:val="both"/>
        <w:rPr>
          <w:lang w:val="en-US"/>
        </w:rPr>
      </w:pPr>
      <w:r>
        <w:rPr>
          <w:lang w:val="en-US"/>
        </w:rPr>
        <w:t>S</w:t>
      </w:r>
      <w:r w:rsidR="00C02176">
        <w:rPr>
          <w:lang w:val="en-US"/>
        </w:rPr>
        <w:t xml:space="preserve">everal companies </w:t>
      </w:r>
      <w:r w:rsidR="001C5103">
        <w:rPr>
          <w:lang w:val="en-US"/>
        </w:rPr>
        <w:t>expressed their</w:t>
      </w:r>
      <w:r w:rsidR="00C02176">
        <w:rPr>
          <w:lang w:val="en-US"/>
        </w:rPr>
        <w:t xml:space="preserve"> support for </w:t>
      </w:r>
      <w:r w:rsidR="001C5103">
        <w:rPr>
          <w:lang w:val="en-US"/>
        </w:rPr>
        <w:t>O</w:t>
      </w:r>
      <w:r w:rsidR="00C02176">
        <w:rPr>
          <w:lang w:val="en-US"/>
        </w:rPr>
        <w:t>ption 2a during RAN2#11</w:t>
      </w:r>
      <w:r w:rsidR="001C5103">
        <w:rPr>
          <w:lang w:val="en-US"/>
        </w:rPr>
        <w:t>6bis-e</w:t>
      </w:r>
      <w:r w:rsidR="00C02176">
        <w:rPr>
          <w:lang w:val="en-US"/>
        </w:rPr>
        <w:t xml:space="preserve">. To our understanding, </w:t>
      </w:r>
      <w:r w:rsidR="00C6242A">
        <w:rPr>
          <w:lang w:val="en-US"/>
        </w:rPr>
        <w:t xml:space="preserve">for </w:t>
      </w:r>
      <w:r w:rsidR="001C5103">
        <w:rPr>
          <w:lang w:val="en-US"/>
        </w:rPr>
        <w:t>O</w:t>
      </w:r>
      <w:r w:rsidR="00C02176">
        <w:rPr>
          <w:lang w:val="en-US"/>
        </w:rPr>
        <w:t xml:space="preserve">ption 2a </w:t>
      </w:r>
      <w:r w:rsidR="00C6242A">
        <w:rPr>
          <w:lang w:val="en-US"/>
        </w:rPr>
        <w:t xml:space="preserve">to work, it is required that </w:t>
      </w:r>
      <w:r w:rsidR="00C02176" w:rsidRPr="00C02176">
        <w:rPr>
          <w:lang w:val="en-US"/>
        </w:rPr>
        <w:t xml:space="preserve">the UE Rx-Tx </w:t>
      </w:r>
      <w:r w:rsidR="00C02176">
        <w:rPr>
          <w:lang w:val="en-US"/>
        </w:rPr>
        <w:t xml:space="preserve">time difference </w:t>
      </w:r>
      <w:r w:rsidR="00C02176" w:rsidRPr="00C02176">
        <w:rPr>
          <w:lang w:val="en-US"/>
        </w:rPr>
        <w:t>measurement can reflect</w:t>
      </w:r>
      <w:r w:rsidR="00C6242A">
        <w:rPr>
          <w:lang w:val="en-US"/>
        </w:rPr>
        <w:t>/indicate</w:t>
      </w:r>
      <w:r w:rsidR="00C02176" w:rsidRPr="00C02176">
        <w:rPr>
          <w:lang w:val="en-US"/>
        </w:rPr>
        <w:t xml:space="preserve"> when </w:t>
      </w:r>
      <w:r w:rsidR="00C6242A">
        <w:rPr>
          <w:lang w:val="en-US"/>
        </w:rPr>
        <w:t>the</w:t>
      </w:r>
      <w:r w:rsidR="00C02176" w:rsidRPr="00C02176">
        <w:rPr>
          <w:lang w:val="en-US"/>
        </w:rPr>
        <w:t xml:space="preserve"> RTT has </w:t>
      </w:r>
      <w:proofErr w:type="gramStart"/>
      <w:r w:rsidR="00C02176" w:rsidRPr="00C02176">
        <w:rPr>
          <w:lang w:val="en-US"/>
        </w:rPr>
        <w:t>changed</w:t>
      </w:r>
      <w:proofErr w:type="gramEnd"/>
      <w:r w:rsidR="00C02176" w:rsidRPr="00C02176">
        <w:rPr>
          <w:lang w:val="en-US"/>
        </w:rPr>
        <w:t xml:space="preserve"> </w:t>
      </w:r>
      <w:r w:rsidR="00C6242A">
        <w:rPr>
          <w:lang w:val="en-US"/>
        </w:rPr>
        <w:t>and a PD update is needed.</w:t>
      </w:r>
      <w:r w:rsidR="00C02176">
        <w:rPr>
          <w:lang w:val="en-US"/>
        </w:rPr>
        <w:t xml:space="preserve"> </w:t>
      </w:r>
      <w:r w:rsidR="009F7C4C">
        <w:rPr>
          <w:lang w:val="en-US"/>
        </w:rPr>
        <w:t xml:space="preserve">It is our understanding that the </w:t>
      </w:r>
      <w:r w:rsidR="00994108">
        <w:rPr>
          <w:lang w:val="en-US"/>
        </w:rPr>
        <w:t xml:space="preserve">UE Rx-Tx time difference measurement </w:t>
      </w:r>
      <w:r w:rsidR="00EA7DD4">
        <w:rPr>
          <w:lang w:val="en-US"/>
        </w:rPr>
        <w:t xml:space="preserve">is a measurement of the </w:t>
      </w:r>
      <w:r w:rsidR="00DE13C6">
        <w:rPr>
          <w:lang w:val="en-US"/>
        </w:rPr>
        <w:t>time difference from a received DL SFN boundary till a corresponding UL SFN boundary</w:t>
      </w:r>
      <w:r w:rsidR="00347556">
        <w:rPr>
          <w:lang w:val="en-US"/>
        </w:rPr>
        <w:t xml:space="preserve">, which </w:t>
      </w:r>
      <w:r w:rsidR="00672996">
        <w:rPr>
          <w:lang w:val="en-US"/>
        </w:rPr>
        <w:t>is offset by the timing advance value configured by the gNB</w:t>
      </w:r>
      <w:r w:rsidR="00D237E8">
        <w:rPr>
          <w:lang w:val="en-US"/>
        </w:rPr>
        <w:t xml:space="preserve">, and this </w:t>
      </w:r>
      <w:r w:rsidR="00672996">
        <w:rPr>
          <w:lang w:val="en-US"/>
        </w:rPr>
        <w:t xml:space="preserve">means that </w:t>
      </w:r>
      <w:r w:rsidR="00AA47C4">
        <w:rPr>
          <w:lang w:val="en-US"/>
        </w:rPr>
        <w:t xml:space="preserve">the UE side Rx-Tx measurement will </w:t>
      </w:r>
      <w:proofErr w:type="gramStart"/>
      <w:r w:rsidR="00AA47C4">
        <w:rPr>
          <w:lang w:val="en-US"/>
        </w:rPr>
        <w:t>be a reflection of</w:t>
      </w:r>
      <w:proofErr w:type="gramEnd"/>
      <w:r w:rsidR="00AA47C4">
        <w:rPr>
          <w:lang w:val="en-US"/>
        </w:rPr>
        <w:t xml:space="preserve"> the UEs</w:t>
      </w:r>
      <w:r w:rsidR="000E0AA0">
        <w:rPr>
          <w:lang w:val="en-US"/>
        </w:rPr>
        <w:t xml:space="preserve"> applied</w:t>
      </w:r>
      <w:r w:rsidR="00AA47C4">
        <w:rPr>
          <w:lang w:val="en-US"/>
        </w:rPr>
        <w:t xml:space="preserve"> timing advance</w:t>
      </w:r>
      <w:r w:rsidR="000E0AA0">
        <w:rPr>
          <w:lang w:val="en-US"/>
        </w:rPr>
        <w:t>.</w:t>
      </w:r>
      <w:r w:rsidR="00AA47C4">
        <w:rPr>
          <w:lang w:val="en-US"/>
        </w:rPr>
        <w:t xml:space="preserve"> and only an update in either; a) detected DL frame timing, or b) </w:t>
      </w:r>
      <w:r w:rsidR="00993B70">
        <w:rPr>
          <w:lang w:val="en-US"/>
        </w:rPr>
        <w:t xml:space="preserve">an update to TA send by the gNB, will trigger Option 2a. </w:t>
      </w:r>
      <w:r w:rsidR="00695D4A">
        <w:rPr>
          <w:lang w:val="en-US"/>
        </w:rPr>
        <w:t>As the requirements to UE tracing of frame timing (cause a), is very loose</w:t>
      </w:r>
      <w:r w:rsidR="00CE092B">
        <w:rPr>
          <w:lang w:val="en-US"/>
        </w:rPr>
        <w:t xml:space="preserve"> (</w:t>
      </w:r>
      <w:r w:rsidR="00ED14C0">
        <w:rPr>
          <w:lang w:val="en-US"/>
        </w:rPr>
        <w:t>bounded by Te (</w:t>
      </w:r>
      <w:r>
        <w:rPr>
          <w:lang w:val="en-US"/>
        </w:rPr>
        <w:t>&lt;390ns), it will not function in practice. The Rx-Tx framework will then only be a good RTT estimate when the gNB Rx-Tx measurement is combined with the UE Rx-Tx measurement, and hence it is not sufficient to monitor only the change of the UE side Rx-Tx measurement to determine if an update is needed.</w:t>
      </w:r>
      <w:r w:rsidR="00994108">
        <w:rPr>
          <w:lang w:val="en-US"/>
        </w:rPr>
        <w:t xml:space="preserve"> </w:t>
      </w:r>
      <w:r w:rsidR="001C5103">
        <w:rPr>
          <w:lang w:val="en-US"/>
        </w:rPr>
        <w:t>Moreover, O</w:t>
      </w:r>
      <w:r w:rsidR="00FE65C9">
        <w:rPr>
          <w:lang w:val="en-US"/>
        </w:rPr>
        <w:t xml:space="preserve">ption 2a </w:t>
      </w:r>
      <w:r w:rsidR="001C5103">
        <w:rPr>
          <w:lang w:val="en-US"/>
        </w:rPr>
        <w:t xml:space="preserve">needs to pre-define a threshold level which </w:t>
      </w:r>
      <w:r w:rsidR="00FE65C9" w:rsidRPr="00FE65C9">
        <w:rPr>
          <w:lang w:val="en-US"/>
        </w:rPr>
        <w:t>need</w:t>
      </w:r>
      <w:r w:rsidR="001C5103">
        <w:rPr>
          <w:lang w:val="en-US"/>
        </w:rPr>
        <w:t>s</w:t>
      </w:r>
      <w:r w:rsidR="00FE65C9" w:rsidRPr="00FE65C9">
        <w:rPr>
          <w:lang w:val="en-US"/>
        </w:rPr>
        <w:t xml:space="preserve"> to be derived by the gNB and cannot be left for the UE to address</w:t>
      </w:r>
      <w:r w:rsidR="001C5103">
        <w:rPr>
          <w:lang w:val="en-US"/>
        </w:rPr>
        <w:t xml:space="preserve">, and how to set this threshold level may </w:t>
      </w:r>
      <w:proofErr w:type="gramStart"/>
      <w:r w:rsidR="001C5103">
        <w:rPr>
          <w:lang w:val="en-US"/>
        </w:rPr>
        <w:t>open up</w:t>
      </w:r>
      <w:proofErr w:type="gramEnd"/>
      <w:r w:rsidR="001C5103">
        <w:rPr>
          <w:lang w:val="en-US"/>
        </w:rPr>
        <w:t xml:space="preserve"> further issues – which is not desired when Rel-17 is approaching the end</w:t>
      </w:r>
      <w:r w:rsidR="00FE65C9" w:rsidRPr="00FE65C9">
        <w:rPr>
          <w:lang w:val="en-US"/>
        </w:rPr>
        <w:t xml:space="preserve">. </w:t>
      </w:r>
      <w:r w:rsidR="001C5103">
        <w:rPr>
          <w:lang w:val="en-US"/>
        </w:rPr>
        <w:t xml:space="preserve">On the other hand, what </w:t>
      </w:r>
      <w:r w:rsidR="00D74994">
        <w:t xml:space="preserve">if the UE does not have appropriate radio resource </w:t>
      </w:r>
      <w:r w:rsidR="001C5103">
        <w:t>for such</w:t>
      </w:r>
      <w:r w:rsidR="00D74994">
        <w:t xml:space="preserve"> reporting</w:t>
      </w:r>
      <w:r w:rsidR="001C5103">
        <w:t xml:space="preserve"> when it is triggered autonomously</w:t>
      </w:r>
      <w:r w:rsidR="00D74994">
        <w:t xml:space="preserve">? </w:t>
      </w:r>
      <w:proofErr w:type="gramStart"/>
      <w:r w:rsidR="00642CA7">
        <w:t>Certainly</w:t>
      </w:r>
      <w:proofErr w:type="gramEnd"/>
      <w:r w:rsidR="00642CA7">
        <w:t xml:space="preserve"> the UE</w:t>
      </w:r>
      <w:r w:rsidR="00B147F8">
        <w:t xml:space="preserve"> can</w:t>
      </w:r>
      <w:r w:rsidR="00642CA7">
        <w:t xml:space="preserve"> go through the resource request procedures but it simply increases the overhead.</w:t>
      </w:r>
      <w:r w:rsidR="00D74994">
        <w:t xml:space="preserve"> </w:t>
      </w:r>
      <w:r w:rsidR="00D74994">
        <w:rPr>
          <w:lang w:val="en-US"/>
        </w:rPr>
        <w:t xml:space="preserve">Additionally, </w:t>
      </w:r>
      <w:r w:rsidR="00642CA7">
        <w:rPr>
          <w:lang w:val="en-US"/>
        </w:rPr>
        <w:t>O</w:t>
      </w:r>
      <w:r w:rsidR="00D74994" w:rsidRPr="00C02176">
        <w:rPr>
          <w:lang w:val="en-US"/>
        </w:rPr>
        <w:t xml:space="preserve">ption 2a can be considered an optimization </w:t>
      </w:r>
      <w:r w:rsidR="00D74994">
        <w:rPr>
          <w:lang w:val="en-US"/>
        </w:rPr>
        <w:t xml:space="preserve">to the RTT-based PDC method and thus, </w:t>
      </w:r>
      <w:r w:rsidR="00D74994" w:rsidRPr="00C02176">
        <w:rPr>
          <w:lang w:val="en-US"/>
        </w:rPr>
        <w:t xml:space="preserve">we should </w:t>
      </w:r>
      <w:r w:rsidR="00D74994">
        <w:rPr>
          <w:lang w:val="en-US"/>
        </w:rPr>
        <w:t>consider first</w:t>
      </w:r>
      <w:r w:rsidR="00D5197A">
        <w:rPr>
          <w:lang w:val="en-US"/>
        </w:rPr>
        <w:t xml:space="preserve"> in RAN2</w:t>
      </w:r>
      <w:r w:rsidR="00D74994">
        <w:rPr>
          <w:lang w:val="en-US"/>
        </w:rPr>
        <w:t xml:space="preserve"> the fundamental standardization support for RTT-based PDC before considering any optimization.</w:t>
      </w:r>
    </w:p>
    <w:p w14:paraId="724DB0A5" w14:textId="73E940D7" w:rsidR="00765990" w:rsidRPr="00056B1C" w:rsidRDefault="00765990" w:rsidP="005240AE">
      <w:pPr>
        <w:jc w:val="both"/>
        <w:rPr>
          <w:b/>
          <w:bCs/>
          <w:lang w:val="en-US"/>
        </w:rPr>
      </w:pPr>
      <w:r w:rsidRPr="00056B1C">
        <w:rPr>
          <w:b/>
          <w:bCs/>
          <w:lang w:val="en-US"/>
        </w:rPr>
        <w:t xml:space="preserve">Observation </w:t>
      </w:r>
      <w:r w:rsidR="00C41366">
        <w:rPr>
          <w:b/>
          <w:bCs/>
          <w:lang w:val="en-US"/>
        </w:rPr>
        <w:t>3</w:t>
      </w:r>
      <w:r w:rsidRPr="00056B1C">
        <w:rPr>
          <w:b/>
          <w:bCs/>
          <w:lang w:val="en-US"/>
        </w:rPr>
        <w:t xml:space="preserve">: </w:t>
      </w:r>
      <w:r w:rsidR="00552608" w:rsidRPr="00056B1C">
        <w:rPr>
          <w:b/>
          <w:bCs/>
          <w:lang w:val="en-US"/>
        </w:rPr>
        <w:t xml:space="preserve">UE trigger of Rx-Tx measurement </w:t>
      </w:r>
      <w:r w:rsidRPr="00056B1C">
        <w:rPr>
          <w:b/>
          <w:bCs/>
          <w:lang w:val="en-US"/>
        </w:rPr>
        <w:t>Option 2</w:t>
      </w:r>
      <w:r w:rsidR="00447670" w:rsidRPr="00056B1C">
        <w:rPr>
          <w:b/>
          <w:bCs/>
          <w:lang w:val="en-US"/>
        </w:rPr>
        <w:t>a</w:t>
      </w:r>
      <w:r w:rsidR="00552608" w:rsidRPr="00056B1C">
        <w:rPr>
          <w:b/>
          <w:bCs/>
          <w:lang w:val="en-US"/>
        </w:rPr>
        <w:t xml:space="preserve"> relies on the UE ability to properly track DL frame timing changes and with only initial timing error bounding this, it is not a good UE trigger mechanism. Further, </w:t>
      </w:r>
      <w:r w:rsidR="00290ADA" w:rsidRPr="00056B1C">
        <w:rPr>
          <w:b/>
          <w:bCs/>
          <w:lang w:val="en-US"/>
        </w:rPr>
        <w:t>a single side Rx-Tx measurement will not be able to properly reflect a full RTT.</w:t>
      </w:r>
      <w:r w:rsidR="00447670" w:rsidRPr="00056B1C">
        <w:rPr>
          <w:b/>
          <w:bCs/>
          <w:lang w:val="en-US"/>
        </w:rPr>
        <w:t xml:space="preserve"> </w:t>
      </w:r>
    </w:p>
    <w:p w14:paraId="3EF12116" w14:textId="01030B60" w:rsidR="006A440C" w:rsidRDefault="006A440C" w:rsidP="005240AE">
      <w:pPr>
        <w:jc w:val="both"/>
        <w:rPr>
          <w:lang w:val="en-US"/>
        </w:rPr>
      </w:pPr>
      <w:r>
        <w:rPr>
          <w:lang w:val="en-US"/>
        </w:rPr>
        <w:t xml:space="preserve">Instead of Option 2a, we will propose an alternative UE trigger, which is the detection of CSI-RS configured for Rx-Tx for PDC purposes. The UE can then, after a predefined time, trigger the delivery of an Rx-Tx measurement. In this way, a Rx-Tx measurement is delivered when the gNB </w:t>
      </w:r>
      <w:r w:rsidR="00DA5FE6">
        <w:rPr>
          <w:lang w:val="en-US"/>
        </w:rPr>
        <w:t>gives the UE the means to do an Rx-Tx measurement</w:t>
      </w:r>
      <w:r w:rsidR="001A552F">
        <w:rPr>
          <w:lang w:val="en-US"/>
        </w:rPr>
        <w:t>, and the gNB will be able to set the periodicity based on e.g. statistics of the calculated RTT.</w:t>
      </w:r>
    </w:p>
    <w:p w14:paraId="1C5E71FA" w14:textId="772C7CA1" w:rsidR="00C24471" w:rsidRPr="00D74994" w:rsidRDefault="00C24471" w:rsidP="005240AE">
      <w:pPr>
        <w:jc w:val="both"/>
        <w:rPr>
          <w:lang w:val="en-US"/>
        </w:rPr>
      </w:pPr>
      <w:r w:rsidRPr="00C24471">
        <w:rPr>
          <w:b/>
          <w:bCs/>
          <w:lang w:val="en-US"/>
        </w:rPr>
        <w:t xml:space="preserve">Proposal </w:t>
      </w:r>
      <w:r w:rsidR="009F3BD8">
        <w:rPr>
          <w:b/>
          <w:bCs/>
          <w:lang w:val="en-US"/>
        </w:rPr>
        <w:t>4</w:t>
      </w:r>
      <w:r w:rsidRPr="00C24471">
        <w:rPr>
          <w:b/>
          <w:bCs/>
          <w:lang w:val="en-US"/>
        </w:rPr>
        <w:t>:</w:t>
      </w:r>
      <w:r w:rsidRPr="00C24471">
        <w:rPr>
          <w:b/>
          <w:bCs/>
        </w:rPr>
        <w:t xml:space="preserve"> </w:t>
      </w:r>
      <w:r w:rsidR="00290ADA">
        <w:rPr>
          <w:b/>
          <w:bCs/>
        </w:rPr>
        <w:t>If an e</w:t>
      </w:r>
      <w:r w:rsidRPr="00C24471">
        <w:rPr>
          <w:b/>
          <w:bCs/>
        </w:rPr>
        <w:t xml:space="preserve">vent-triggered report of UE Rx-Tx time difference for gNB-side RTT-based PDC </w:t>
      </w:r>
      <w:r w:rsidR="00290ADA">
        <w:rPr>
          <w:b/>
          <w:bCs/>
        </w:rPr>
        <w:t xml:space="preserve">is desired, it could be based on the </w:t>
      </w:r>
      <w:r w:rsidRPr="00C24471">
        <w:rPr>
          <w:b/>
          <w:bCs/>
        </w:rPr>
        <w:t>UE detect</w:t>
      </w:r>
      <w:r w:rsidR="00290ADA">
        <w:rPr>
          <w:b/>
          <w:bCs/>
        </w:rPr>
        <w:t>ing</w:t>
      </w:r>
      <w:r w:rsidRPr="00C24471">
        <w:rPr>
          <w:b/>
          <w:bCs/>
        </w:rPr>
        <w:t xml:space="preserve"> an CSI-RS configured for RTT-based PDC.</w:t>
      </w:r>
    </w:p>
    <w:p w14:paraId="705C7AA7" w14:textId="77777777" w:rsidR="006005C8" w:rsidRPr="00B05A31" w:rsidRDefault="006005C8" w:rsidP="005240AE">
      <w:pPr>
        <w:jc w:val="both"/>
        <w:rPr>
          <w:b/>
          <w:bCs/>
          <w:lang w:val="en-US"/>
        </w:rPr>
      </w:pPr>
    </w:p>
    <w:p w14:paraId="5FF2457F" w14:textId="4A7AC692" w:rsidR="00A209D6" w:rsidRPr="006E13D1" w:rsidRDefault="006005C8" w:rsidP="005240AE">
      <w:pPr>
        <w:pStyle w:val="Heading1"/>
        <w:jc w:val="both"/>
      </w:pPr>
      <w:r>
        <w:t>3</w:t>
      </w:r>
      <w:r w:rsidR="00A209D6" w:rsidRPr="006E13D1">
        <w:tab/>
      </w:r>
      <w:r w:rsidR="008C3057">
        <w:t>Conclusion</w:t>
      </w:r>
    </w:p>
    <w:p w14:paraId="60449C3F" w14:textId="46EE495D" w:rsidR="00A209D6" w:rsidRDefault="00F954A7" w:rsidP="005240AE">
      <w:pPr>
        <w:jc w:val="both"/>
      </w:pPr>
      <w:r>
        <w:t xml:space="preserve">In this t-doc </w:t>
      </w:r>
      <w:r w:rsidR="00683D26">
        <w:t xml:space="preserve">we </w:t>
      </w:r>
      <w:r w:rsidR="003E2F9A">
        <w:t>have made the following observations and proposals:</w:t>
      </w:r>
    </w:p>
    <w:p w14:paraId="69F2DEAB" w14:textId="77777777" w:rsidR="00C118B6" w:rsidRDefault="00C118B6" w:rsidP="00C118B6">
      <w:pPr>
        <w:jc w:val="both"/>
        <w:rPr>
          <w:b/>
          <w:lang w:val="en-US"/>
        </w:rPr>
      </w:pPr>
      <w:r>
        <w:rPr>
          <w:b/>
          <w:bCs/>
          <w:lang w:val="en-US"/>
        </w:rPr>
        <w:t>Observation</w:t>
      </w:r>
      <w:r w:rsidRPr="00AB29FF">
        <w:rPr>
          <w:b/>
          <w:bCs/>
          <w:lang w:val="en-US"/>
        </w:rPr>
        <w:t xml:space="preserve"> </w:t>
      </w:r>
      <w:r>
        <w:rPr>
          <w:b/>
          <w:bCs/>
          <w:lang w:val="en-US"/>
        </w:rPr>
        <w:t>1</w:t>
      </w:r>
      <w:r w:rsidRPr="00AB29FF">
        <w:rPr>
          <w:b/>
          <w:bCs/>
          <w:lang w:val="en-US"/>
        </w:rPr>
        <w:t>:</w:t>
      </w:r>
      <w:r w:rsidRPr="005240AE">
        <w:rPr>
          <w:b/>
          <w:lang w:val="en-US"/>
        </w:rPr>
        <w:t xml:space="preserve"> UE-side TA-based PDC </w:t>
      </w:r>
      <w:r>
        <w:rPr>
          <w:b/>
          <w:lang w:val="en-US"/>
        </w:rPr>
        <w:t xml:space="preserve">should have a binary explicit indication </w:t>
      </w:r>
      <w:r w:rsidRPr="005240AE">
        <w:rPr>
          <w:b/>
          <w:lang w:val="en-US"/>
        </w:rPr>
        <w:t xml:space="preserve">for unicast activation/deactivation, and an optional bit in RTI carried over SIB9 for a broadcast activation/deactivation of UE-side TA-based PDC. </w:t>
      </w:r>
    </w:p>
    <w:p w14:paraId="7E7E81BB" w14:textId="77777777" w:rsidR="00C41366" w:rsidRPr="00AE0E55" w:rsidRDefault="00C41366" w:rsidP="00C41366">
      <w:pPr>
        <w:jc w:val="both"/>
        <w:rPr>
          <w:b/>
        </w:rPr>
      </w:pPr>
      <w:r>
        <w:rPr>
          <w:b/>
          <w:bCs/>
        </w:rPr>
        <w:t>Observation</w:t>
      </w:r>
      <w:r w:rsidRPr="00AB29FF">
        <w:rPr>
          <w:b/>
          <w:bCs/>
        </w:rPr>
        <w:t xml:space="preserve"> </w:t>
      </w:r>
      <w:r>
        <w:rPr>
          <w:b/>
          <w:bCs/>
        </w:rPr>
        <w:t>2</w:t>
      </w:r>
      <w:r w:rsidRPr="005240AE">
        <w:rPr>
          <w:b/>
        </w:rPr>
        <w:t xml:space="preserve">: </w:t>
      </w:r>
      <w:r>
        <w:rPr>
          <w:b/>
        </w:rPr>
        <w:t>Explicit indication for UE-side RTT-based PDC may be redundant as the method already requires unicast signalling for Rx-Tx measurement configuration.</w:t>
      </w:r>
      <w:r w:rsidRPr="005240AE">
        <w:rPr>
          <w:b/>
        </w:rPr>
        <w:t xml:space="preserve"> </w:t>
      </w:r>
    </w:p>
    <w:p w14:paraId="0062B04C" w14:textId="77777777" w:rsidR="00C41366" w:rsidRPr="001619E2" w:rsidRDefault="00C41366" w:rsidP="00C41366">
      <w:pPr>
        <w:jc w:val="both"/>
        <w:rPr>
          <w:b/>
          <w:bCs/>
          <w:lang w:val="en-US"/>
        </w:rPr>
      </w:pPr>
      <w:r w:rsidRPr="001619E2">
        <w:rPr>
          <w:b/>
          <w:bCs/>
          <w:lang w:val="en-US"/>
        </w:rPr>
        <w:t xml:space="preserve">Observation </w:t>
      </w:r>
      <w:r>
        <w:rPr>
          <w:b/>
          <w:bCs/>
          <w:lang w:val="en-US"/>
        </w:rPr>
        <w:t>3</w:t>
      </w:r>
      <w:r w:rsidRPr="001619E2">
        <w:rPr>
          <w:b/>
          <w:bCs/>
          <w:lang w:val="en-US"/>
        </w:rPr>
        <w:t xml:space="preserve">: UE trigger of Rx-Tx measurement Option 2a relies on the UE ability to properly track DL frame timing changes and with only initial timing error bounding this, it is not a good UE trigger mechanism. Further, a single side Rx-Tx measurement will not be able to properly reflect a full RTT. </w:t>
      </w:r>
    </w:p>
    <w:p w14:paraId="45D73CDF" w14:textId="77777777" w:rsidR="00C41366" w:rsidRDefault="00C41366" w:rsidP="00C41366">
      <w:pPr>
        <w:jc w:val="both"/>
        <w:rPr>
          <w:b/>
          <w:bCs/>
          <w:lang w:val="en-US"/>
        </w:rPr>
      </w:pPr>
      <w:r w:rsidRPr="00AE0E55">
        <w:rPr>
          <w:b/>
        </w:rPr>
        <w:t xml:space="preserve">Proposal 1: UE-side PDC activation </w:t>
      </w:r>
      <w:r>
        <w:rPr>
          <w:b/>
        </w:rPr>
        <w:t xml:space="preserve">is controlled with an optional binary indication provided to the UE </w:t>
      </w:r>
      <w:r w:rsidRPr="009209CE">
        <w:rPr>
          <w:b/>
          <w:bCs/>
          <w:lang w:val="en-US"/>
        </w:rPr>
        <w:t>carried over SIB9 for a broadcast activation/deactivation o</w:t>
      </w:r>
      <w:r>
        <w:rPr>
          <w:b/>
          <w:bCs/>
          <w:lang w:val="en-US"/>
        </w:rPr>
        <w:t>r via RRC IE for a unicast activation/deactivation.</w:t>
      </w:r>
    </w:p>
    <w:p w14:paraId="6D470ADB" w14:textId="77777777" w:rsidR="00C41366" w:rsidRPr="00AE0E55" w:rsidRDefault="00C41366" w:rsidP="00C41366">
      <w:pPr>
        <w:jc w:val="both"/>
        <w:rPr>
          <w:b/>
        </w:rPr>
      </w:pPr>
      <w:r>
        <w:rPr>
          <w:b/>
          <w:bCs/>
          <w:lang w:val="en-US"/>
        </w:rPr>
        <w:lastRenderedPageBreak/>
        <w:t xml:space="preserve">Proposal 2: </w:t>
      </w:r>
      <w:r w:rsidRPr="005240AE">
        <w:rPr>
          <w:b/>
        </w:rPr>
        <w:t>Activation</w:t>
      </w:r>
      <w:r>
        <w:rPr>
          <w:b/>
        </w:rPr>
        <w:t>/deactivation</w:t>
      </w:r>
      <w:r w:rsidRPr="005240AE">
        <w:rPr>
          <w:b/>
        </w:rPr>
        <w:t xml:space="preserve"> of UE-side RTT-based PDC should be implicit</w:t>
      </w:r>
      <w:r>
        <w:rPr>
          <w:b/>
        </w:rPr>
        <w:t>ly</w:t>
      </w:r>
      <w:r w:rsidRPr="005240AE">
        <w:rPr>
          <w:b/>
        </w:rPr>
        <w:t xml:space="preserve"> derived by the configuration framework for Rx-Tx measurements</w:t>
      </w:r>
      <w:r>
        <w:rPr>
          <w:b/>
        </w:rPr>
        <w:t xml:space="preserve"> and the explicit UE-side PDC binary indication</w:t>
      </w:r>
      <w:r w:rsidRPr="005240AE">
        <w:rPr>
          <w:b/>
        </w:rPr>
        <w:t>.</w:t>
      </w:r>
    </w:p>
    <w:p w14:paraId="78B6A2EE" w14:textId="77777777" w:rsidR="00C41366" w:rsidRDefault="00C41366" w:rsidP="00C41366">
      <w:pPr>
        <w:jc w:val="both"/>
        <w:rPr>
          <w:lang w:val="en-US"/>
        </w:rPr>
      </w:pPr>
      <w:r w:rsidRPr="00C24471">
        <w:rPr>
          <w:b/>
          <w:bCs/>
          <w:lang w:val="en-US"/>
        </w:rPr>
        <w:t>Proposal 3:</w:t>
      </w:r>
      <w:r>
        <w:rPr>
          <w:b/>
          <w:bCs/>
          <w:lang w:val="en-US"/>
        </w:rPr>
        <w:t xml:space="preserve"> For gNB-side RTT-based PDC, the </w:t>
      </w:r>
      <w:r w:rsidRPr="000F1279">
        <w:rPr>
          <w:b/>
          <w:bCs/>
          <w:lang w:val="en-US"/>
        </w:rPr>
        <w:t xml:space="preserve">UE Rx-Tx time difference </w:t>
      </w:r>
      <w:r>
        <w:rPr>
          <w:b/>
          <w:bCs/>
          <w:lang w:val="en-US"/>
        </w:rPr>
        <w:t xml:space="preserve">reporting should </w:t>
      </w:r>
      <w:r w:rsidRPr="00480D27">
        <w:rPr>
          <w:b/>
          <w:bCs/>
          <w:lang w:val="en-US"/>
        </w:rPr>
        <w:t xml:space="preserve">be </w:t>
      </w:r>
      <w:r>
        <w:rPr>
          <w:b/>
          <w:bCs/>
          <w:lang w:val="en-US"/>
        </w:rPr>
        <w:t>based on an indication from gNB to UE to configure a periodical report. It is up to the gNB to adjust the periodicity of the UE measurement</w:t>
      </w:r>
      <w:r w:rsidRPr="00480D27">
        <w:rPr>
          <w:b/>
          <w:bCs/>
          <w:lang w:val="en-US"/>
        </w:rPr>
        <w:t>.</w:t>
      </w:r>
    </w:p>
    <w:p w14:paraId="033379A5" w14:textId="77777777" w:rsidR="00C41366" w:rsidRPr="00C24471" w:rsidRDefault="00C41366" w:rsidP="00C41366">
      <w:pPr>
        <w:jc w:val="both"/>
        <w:rPr>
          <w:b/>
          <w:bCs/>
        </w:rPr>
      </w:pPr>
      <w:r w:rsidRPr="00C24471">
        <w:rPr>
          <w:b/>
          <w:bCs/>
          <w:lang w:val="en-US"/>
        </w:rPr>
        <w:t xml:space="preserve">Proposal </w:t>
      </w:r>
      <w:r>
        <w:rPr>
          <w:b/>
          <w:bCs/>
          <w:lang w:val="en-US"/>
        </w:rPr>
        <w:t>4</w:t>
      </w:r>
      <w:r w:rsidRPr="00C24471">
        <w:rPr>
          <w:b/>
          <w:bCs/>
          <w:lang w:val="en-US"/>
        </w:rPr>
        <w:t>:</w:t>
      </w:r>
      <w:r w:rsidRPr="00C24471">
        <w:rPr>
          <w:b/>
          <w:bCs/>
        </w:rPr>
        <w:t xml:space="preserve"> </w:t>
      </w:r>
      <w:r>
        <w:rPr>
          <w:b/>
          <w:bCs/>
        </w:rPr>
        <w:t>If an e</w:t>
      </w:r>
      <w:r w:rsidRPr="00C24471">
        <w:rPr>
          <w:b/>
          <w:bCs/>
        </w:rPr>
        <w:t xml:space="preserve">vent-triggered report of UE Rx-Tx time difference for gNB-side RTT-based PDC </w:t>
      </w:r>
      <w:r>
        <w:rPr>
          <w:b/>
          <w:bCs/>
        </w:rPr>
        <w:t xml:space="preserve">is desired, it could be based on the </w:t>
      </w:r>
      <w:r w:rsidRPr="00C24471">
        <w:rPr>
          <w:b/>
          <w:bCs/>
        </w:rPr>
        <w:t>UE detect</w:t>
      </w:r>
      <w:r>
        <w:rPr>
          <w:b/>
          <w:bCs/>
        </w:rPr>
        <w:t>ing</w:t>
      </w:r>
      <w:r w:rsidRPr="00C24471">
        <w:rPr>
          <w:b/>
          <w:bCs/>
        </w:rPr>
        <w:t xml:space="preserve"> an CSI-RS configured for RTT-based PDC.</w:t>
      </w:r>
    </w:p>
    <w:p w14:paraId="68CE6629" w14:textId="77777777" w:rsidR="00C41366" w:rsidRDefault="00C41366" w:rsidP="00C41366">
      <w:pPr>
        <w:jc w:val="both"/>
      </w:pPr>
    </w:p>
    <w:p w14:paraId="71E52C0C" w14:textId="77777777" w:rsidR="003E2F9A" w:rsidRPr="00B30BEB" w:rsidRDefault="003E2F9A" w:rsidP="005240AE">
      <w:pPr>
        <w:jc w:val="both"/>
      </w:pPr>
    </w:p>
    <w:p w14:paraId="5316B7C4" w14:textId="77777777" w:rsidR="00C41366" w:rsidRPr="00C41366" w:rsidRDefault="00C41366" w:rsidP="005240AE">
      <w:pPr>
        <w:jc w:val="both"/>
        <w:rPr>
          <w:lang w:val="en-US"/>
        </w:rPr>
      </w:pPr>
    </w:p>
    <w:p w14:paraId="432B0A82" w14:textId="77777777" w:rsidR="00A209D6" w:rsidRDefault="00A209D6" w:rsidP="005240AE">
      <w:pPr>
        <w:jc w:val="both"/>
      </w:pPr>
    </w:p>
    <w:p w14:paraId="653EED19" w14:textId="77777777" w:rsidR="00A209D6" w:rsidRPr="00CD4C7B" w:rsidRDefault="00A209D6" w:rsidP="005240AE">
      <w:pPr>
        <w:jc w:val="both"/>
      </w:pPr>
    </w:p>
    <w:p w14:paraId="35F222F4" w14:textId="77777777" w:rsidR="00080512" w:rsidRPr="00A209D6" w:rsidRDefault="00080512" w:rsidP="005240AE">
      <w:pPr>
        <w:jc w:val="both"/>
      </w:pPr>
    </w:p>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DB21E" w14:textId="77777777" w:rsidR="00B51FC0" w:rsidRDefault="00B51FC0">
      <w:r>
        <w:separator/>
      </w:r>
    </w:p>
  </w:endnote>
  <w:endnote w:type="continuationSeparator" w:id="0">
    <w:p w14:paraId="3C359AEA" w14:textId="77777777" w:rsidR="00B51FC0" w:rsidRDefault="00B51FC0">
      <w:r>
        <w:continuationSeparator/>
      </w:r>
    </w:p>
  </w:endnote>
  <w:endnote w:type="continuationNotice" w:id="1">
    <w:p w14:paraId="5589B47B" w14:textId="77777777" w:rsidR="00B51FC0" w:rsidRDefault="00B51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7638E" w:rsidRDefault="00676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7638E" w:rsidRDefault="00676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7638E" w:rsidRDefault="00676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4B3A7" w14:textId="77777777" w:rsidR="00B51FC0" w:rsidRDefault="00B51FC0">
      <w:r>
        <w:separator/>
      </w:r>
    </w:p>
  </w:footnote>
  <w:footnote w:type="continuationSeparator" w:id="0">
    <w:p w14:paraId="041FA6C6" w14:textId="77777777" w:rsidR="00B51FC0" w:rsidRDefault="00B51FC0">
      <w:r>
        <w:continuationSeparator/>
      </w:r>
    </w:p>
  </w:footnote>
  <w:footnote w:type="continuationNotice" w:id="1">
    <w:p w14:paraId="39F949D2" w14:textId="77777777" w:rsidR="00B51FC0" w:rsidRDefault="00B51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7638E" w:rsidRDefault="00676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7638E" w:rsidRDefault="00676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7638E" w:rsidRDefault="00676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DD7"/>
    <w:multiLevelType w:val="hybridMultilevel"/>
    <w:tmpl w:val="AF141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B0E99"/>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5" w15:restartNumberingAfterBreak="0">
    <w:nsid w:val="19D547CE"/>
    <w:multiLevelType w:val="hybridMultilevel"/>
    <w:tmpl w:val="DD24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AE013F"/>
    <w:multiLevelType w:val="hybridMultilevel"/>
    <w:tmpl w:val="EA22B888"/>
    <w:lvl w:ilvl="0" w:tplc="55DEA2F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A8B4097"/>
    <w:multiLevelType w:val="hybridMultilevel"/>
    <w:tmpl w:val="5A68D142"/>
    <w:lvl w:ilvl="0" w:tplc="91445B52">
      <w:start w:val="1"/>
      <w:numFmt w:val="decimal"/>
      <w:lvlText w:val="%1."/>
      <w:lvlJc w:val="left"/>
      <w:pPr>
        <w:tabs>
          <w:tab w:val="num" w:pos="720"/>
        </w:tabs>
        <w:ind w:left="720" w:hanging="360"/>
      </w:pPr>
    </w:lvl>
    <w:lvl w:ilvl="1" w:tplc="B33ED6F0" w:tentative="1">
      <w:start w:val="1"/>
      <w:numFmt w:val="decimal"/>
      <w:lvlText w:val="%2."/>
      <w:lvlJc w:val="left"/>
      <w:pPr>
        <w:tabs>
          <w:tab w:val="num" w:pos="1440"/>
        </w:tabs>
        <w:ind w:left="1440" w:hanging="360"/>
      </w:pPr>
    </w:lvl>
    <w:lvl w:ilvl="2" w:tplc="567E877E" w:tentative="1">
      <w:start w:val="1"/>
      <w:numFmt w:val="decimal"/>
      <w:lvlText w:val="%3."/>
      <w:lvlJc w:val="left"/>
      <w:pPr>
        <w:tabs>
          <w:tab w:val="num" w:pos="2160"/>
        </w:tabs>
        <w:ind w:left="2160" w:hanging="360"/>
      </w:pPr>
    </w:lvl>
    <w:lvl w:ilvl="3" w:tplc="5D7A9400" w:tentative="1">
      <w:start w:val="1"/>
      <w:numFmt w:val="decimal"/>
      <w:lvlText w:val="%4."/>
      <w:lvlJc w:val="left"/>
      <w:pPr>
        <w:tabs>
          <w:tab w:val="num" w:pos="2880"/>
        </w:tabs>
        <w:ind w:left="2880" w:hanging="360"/>
      </w:pPr>
    </w:lvl>
    <w:lvl w:ilvl="4" w:tplc="5FB08240" w:tentative="1">
      <w:start w:val="1"/>
      <w:numFmt w:val="decimal"/>
      <w:lvlText w:val="%5."/>
      <w:lvlJc w:val="left"/>
      <w:pPr>
        <w:tabs>
          <w:tab w:val="num" w:pos="3600"/>
        </w:tabs>
        <w:ind w:left="3600" w:hanging="360"/>
      </w:pPr>
    </w:lvl>
    <w:lvl w:ilvl="5" w:tplc="545E1566" w:tentative="1">
      <w:start w:val="1"/>
      <w:numFmt w:val="decimal"/>
      <w:lvlText w:val="%6."/>
      <w:lvlJc w:val="left"/>
      <w:pPr>
        <w:tabs>
          <w:tab w:val="num" w:pos="4320"/>
        </w:tabs>
        <w:ind w:left="4320" w:hanging="360"/>
      </w:pPr>
    </w:lvl>
    <w:lvl w:ilvl="6" w:tplc="5F18AAFE" w:tentative="1">
      <w:start w:val="1"/>
      <w:numFmt w:val="decimal"/>
      <w:lvlText w:val="%7."/>
      <w:lvlJc w:val="left"/>
      <w:pPr>
        <w:tabs>
          <w:tab w:val="num" w:pos="5040"/>
        </w:tabs>
        <w:ind w:left="5040" w:hanging="360"/>
      </w:pPr>
    </w:lvl>
    <w:lvl w:ilvl="7" w:tplc="70FABCC0" w:tentative="1">
      <w:start w:val="1"/>
      <w:numFmt w:val="decimal"/>
      <w:lvlText w:val="%8."/>
      <w:lvlJc w:val="left"/>
      <w:pPr>
        <w:tabs>
          <w:tab w:val="num" w:pos="5760"/>
        </w:tabs>
        <w:ind w:left="5760" w:hanging="360"/>
      </w:pPr>
    </w:lvl>
    <w:lvl w:ilvl="8" w:tplc="A64635B6" w:tentative="1">
      <w:start w:val="1"/>
      <w:numFmt w:val="decimal"/>
      <w:lvlText w:val="%9."/>
      <w:lvlJc w:val="left"/>
      <w:pPr>
        <w:tabs>
          <w:tab w:val="num" w:pos="6480"/>
        </w:tabs>
        <w:ind w:left="6480" w:hanging="36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F082E"/>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297226"/>
    <w:multiLevelType w:val="hybridMultilevel"/>
    <w:tmpl w:val="0D8CF06A"/>
    <w:lvl w:ilvl="0" w:tplc="B464DAC8">
      <w:start w:val="1"/>
      <w:numFmt w:val="lowerLetter"/>
      <w:lvlText w:val="%1."/>
      <w:lvlJc w:val="left"/>
      <w:pPr>
        <w:ind w:left="770" w:hanging="360"/>
      </w:pPr>
      <w:rPr>
        <w:rFonts w:hint="default"/>
        <w:sz w:val="20"/>
        <w:szCs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17B5F7F"/>
    <w:multiLevelType w:val="hybridMultilevel"/>
    <w:tmpl w:val="F5A43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E5BEA"/>
    <w:multiLevelType w:val="hybridMultilevel"/>
    <w:tmpl w:val="C2F82A86"/>
    <w:lvl w:ilvl="0" w:tplc="9B581326">
      <w:start w:val="1"/>
      <w:numFmt w:val="decimal"/>
      <w:lvlText w:val="%1."/>
      <w:lvlJc w:val="left"/>
      <w:pPr>
        <w:tabs>
          <w:tab w:val="num" w:pos="720"/>
        </w:tabs>
        <w:ind w:left="720" w:hanging="360"/>
      </w:pPr>
    </w:lvl>
    <w:lvl w:ilvl="1" w:tplc="1AF22C96" w:tentative="1">
      <w:start w:val="1"/>
      <w:numFmt w:val="decimal"/>
      <w:lvlText w:val="%2."/>
      <w:lvlJc w:val="left"/>
      <w:pPr>
        <w:tabs>
          <w:tab w:val="num" w:pos="1440"/>
        </w:tabs>
        <w:ind w:left="1440" w:hanging="360"/>
      </w:pPr>
    </w:lvl>
    <w:lvl w:ilvl="2" w:tplc="D69E1010" w:tentative="1">
      <w:start w:val="1"/>
      <w:numFmt w:val="decimal"/>
      <w:lvlText w:val="%3."/>
      <w:lvlJc w:val="left"/>
      <w:pPr>
        <w:tabs>
          <w:tab w:val="num" w:pos="2160"/>
        </w:tabs>
        <w:ind w:left="2160" w:hanging="360"/>
      </w:pPr>
    </w:lvl>
    <w:lvl w:ilvl="3" w:tplc="7EDAE2D4" w:tentative="1">
      <w:start w:val="1"/>
      <w:numFmt w:val="decimal"/>
      <w:lvlText w:val="%4."/>
      <w:lvlJc w:val="left"/>
      <w:pPr>
        <w:tabs>
          <w:tab w:val="num" w:pos="2880"/>
        </w:tabs>
        <w:ind w:left="2880" w:hanging="360"/>
      </w:pPr>
    </w:lvl>
    <w:lvl w:ilvl="4" w:tplc="853235C4" w:tentative="1">
      <w:start w:val="1"/>
      <w:numFmt w:val="decimal"/>
      <w:lvlText w:val="%5."/>
      <w:lvlJc w:val="left"/>
      <w:pPr>
        <w:tabs>
          <w:tab w:val="num" w:pos="3600"/>
        </w:tabs>
        <w:ind w:left="3600" w:hanging="360"/>
      </w:pPr>
    </w:lvl>
    <w:lvl w:ilvl="5" w:tplc="2E027EB6" w:tentative="1">
      <w:start w:val="1"/>
      <w:numFmt w:val="decimal"/>
      <w:lvlText w:val="%6."/>
      <w:lvlJc w:val="left"/>
      <w:pPr>
        <w:tabs>
          <w:tab w:val="num" w:pos="4320"/>
        </w:tabs>
        <w:ind w:left="4320" w:hanging="360"/>
      </w:pPr>
    </w:lvl>
    <w:lvl w:ilvl="6" w:tplc="86ACFABC" w:tentative="1">
      <w:start w:val="1"/>
      <w:numFmt w:val="decimal"/>
      <w:lvlText w:val="%7."/>
      <w:lvlJc w:val="left"/>
      <w:pPr>
        <w:tabs>
          <w:tab w:val="num" w:pos="5040"/>
        </w:tabs>
        <w:ind w:left="5040" w:hanging="360"/>
      </w:pPr>
    </w:lvl>
    <w:lvl w:ilvl="7" w:tplc="955A2F8A" w:tentative="1">
      <w:start w:val="1"/>
      <w:numFmt w:val="decimal"/>
      <w:lvlText w:val="%8."/>
      <w:lvlJc w:val="left"/>
      <w:pPr>
        <w:tabs>
          <w:tab w:val="num" w:pos="5760"/>
        </w:tabs>
        <w:ind w:left="5760" w:hanging="360"/>
      </w:pPr>
    </w:lvl>
    <w:lvl w:ilvl="8" w:tplc="0FF4489C" w:tentative="1">
      <w:start w:val="1"/>
      <w:numFmt w:val="decimal"/>
      <w:lvlText w:val="%9."/>
      <w:lvlJc w:val="left"/>
      <w:pPr>
        <w:tabs>
          <w:tab w:val="num" w:pos="6480"/>
        </w:tabs>
        <w:ind w:left="6480" w:hanging="36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0DE0FB2"/>
    <w:multiLevelType w:val="multilevel"/>
    <w:tmpl w:val="BD7E03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01547B"/>
    <w:multiLevelType w:val="hybridMultilevel"/>
    <w:tmpl w:val="5A12F0C0"/>
    <w:lvl w:ilvl="0" w:tplc="BDA03276">
      <w:start w:val="1"/>
      <w:numFmt w:val="decimal"/>
      <w:lvlText w:val="%1."/>
      <w:lvlJc w:val="left"/>
      <w:pPr>
        <w:tabs>
          <w:tab w:val="num" w:pos="720"/>
        </w:tabs>
        <w:ind w:left="720" w:hanging="360"/>
      </w:pPr>
    </w:lvl>
    <w:lvl w:ilvl="1" w:tplc="3F98160E" w:tentative="1">
      <w:start w:val="1"/>
      <w:numFmt w:val="decimal"/>
      <w:lvlText w:val="%2."/>
      <w:lvlJc w:val="left"/>
      <w:pPr>
        <w:tabs>
          <w:tab w:val="num" w:pos="1440"/>
        </w:tabs>
        <w:ind w:left="1440" w:hanging="360"/>
      </w:pPr>
    </w:lvl>
    <w:lvl w:ilvl="2" w:tplc="94DAE6E0" w:tentative="1">
      <w:start w:val="1"/>
      <w:numFmt w:val="decimal"/>
      <w:lvlText w:val="%3."/>
      <w:lvlJc w:val="left"/>
      <w:pPr>
        <w:tabs>
          <w:tab w:val="num" w:pos="2160"/>
        </w:tabs>
        <w:ind w:left="2160" w:hanging="360"/>
      </w:pPr>
    </w:lvl>
    <w:lvl w:ilvl="3" w:tplc="C54A31D2" w:tentative="1">
      <w:start w:val="1"/>
      <w:numFmt w:val="decimal"/>
      <w:lvlText w:val="%4."/>
      <w:lvlJc w:val="left"/>
      <w:pPr>
        <w:tabs>
          <w:tab w:val="num" w:pos="2880"/>
        </w:tabs>
        <w:ind w:left="2880" w:hanging="360"/>
      </w:pPr>
    </w:lvl>
    <w:lvl w:ilvl="4" w:tplc="C102E42C" w:tentative="1">
      <w:start w:val="1"/>
      <w:numFmt w:val="decimal"/>
      <w:lvlText w:val="%5."/>
      <w:lvlJc w:val="left"/>
      <w:pPr>
        <w:tabs>
          <w:tab w:val="num" w:pos="3600"/>
        </w:tabs>
        <w:ind w:left="3600" w:hanging="360"/>
      </w:pPr>
    </w:lvl>
    <w:lvl w:ilvl="5" w:tplc="307A207E" w:tentative="1">
      <w:start w:val="1"/>
      <w:numFmt w:val="decimal"/>
      <w:lvlText w:val="%6."/>
      <w:lvlJc w:val="left"/>
      <w:pPr>
        <w:tabs>
          <w:tab w:val="num" w:pos="4320"/>
        </w:tabs>
        <w:ind w:left="4320" w:hanging="360"/>
      </w:pPr>
    </w:lvl>
    <w:lvl w:ilvl="6" w:tplc="D452D5E4" w:tentative="1">
      <w:start w:val="1"/>
      <w:numFmt w:val="decimal"/>
      <w:lvlText w:val="%7."/>
      <w:lvlJc w:val="left"/>
      <w:pPr>
        <w:tabs>
          <w:tab w:val="num" w:pos="5040"/>
        </w:tabs>
        <w:ind w:left="5040" w:hanging="360"/>
      </w:pPr>
    </w:lvl>
    <w:lvl w:ilvl="7" w:tplc="120A6728" w:tentative="1">
      <w:start w:val="1"/>
      <w:numFmt w:val="decimal"/>
      <w:lvlText w:val="%8."/>
      <w:lvlJc w:val="left"/>
      <w:pPr>
        <w:tabs>
          <w:tab w:val="num" w:pos="5760"/>
        </w:tabs>
        <w:ind w:left="5760" w:hanging="360"/>
      </w:pPr>
    </w:lvl>
    <w:lvl w:ilvl="8" w:tplc="D8C8165E" w:tentative="1">
      <w:start w:val="1"/>
      <w:numFmt w:val="decimal"/>
      <w:lvlText w:val="%9."/>
      <w:lvlJc w:val="left"/>
      <w:pPr>
        <w:tabs>
          <w:tab w:val="num" w:pos="6480"/>
        </w:tabs>
        <w:ind w:left="6480" w:hanging="360"/>
      </w:pPr>
    </w:lvl>
  </w:abstractNum>
  <w:abstractNum w:abstractNumId="22" w15:restartNumberingAfterBreak="0">
    <w:nsid w:val="59D333EB"/>
    <w:multiLevelType w:val="hybridMultilevel"/>
    <w:tmpl w:val="FB9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4D104E"/>
    <w:multiLevelType w:val="hybridMultilevel"/>
    <w:tmpl w:val="5B2ACF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51E090E"/>
    <w:multiLevelType w:val="hybridMultilevel"/>
    <w:tmpl w:val="0B30AF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585011"/>
    <w:multiLevelType w:val="hybridMultilevel"/>
    <w:tmpl w:val="A0961F48"/>
    <w:lvl w:ilvl="0" w:tplc="3C74B904">
      <w:numFmt w:val="bullet"/>
      <w:lvlText w:val="-"/>
      <w:lvlJc w:val="left"/>
      <w:pPr>
        <w:ind w:left="820" w:hanging="420"/>
      </w:pPr>
      <w:rPr>
        <w:rFonts w:ascii="Arial" w:eastAsia="Yu Mincho" w:hAnsi="Arial" w:cs="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8"/>
  </w:num>
  <w:num w:numId="7">
    <w:abstractNumId w:val="19"/>
  </w:num>
  <w:num w:numId="8">
    <w:abstractNumId w:val="10"/>
  </w:num>
  <w:num w:numId="9">
    <w:abstractNumId w:val="25"/>
  </w:num>
  <w:num w:numId="10">
    <w:abstractNumId w:val="6"/>
  </w:num>
  <w:num w:numId="11">
    <w:abstractNumId w:val="6"/>
  </w:num>
  <w:num w:numId="12">
    <w:abstractNumId w:val="17"/>
  </w:num>
  <w:num w:numId="13">
    <w:abstractNumId w:val="22"/>
  </w:num>
  <w:num w:numId="14">
    <w:abstractNumId w:val="7"/>
  </w:num>
  <w:num w:numId="15">
    <w:abstractNumId w:val="22"/>
  </w:num>
  <w:num w:numId="16">
    <w:abstractNumId w:val="8"/>
  </w:num>
  <w:num w:numId="17">
    <w:abstractNumId w:val="23"/>
  </w:num>
  <w:num w:numId="18">
    <w:abstractNumId w:val="9"/>
  </w:num>
  <w:num w:numId="19">
    <w:abstractNumId w:val="14"/>
  </w:num>
  <w:num w:numId="20">
    <w:abstractNumId w:val="2"/>
  </w:num>
  <w:num w:numId="21">
    <w:abstractNumId w:val="20"/>
  </w:num>
  <w:num w:numId="22">
    <w:abstractNumId w:val="15"/>
  </w:num>
  <w:num w:numId="23">
    <w:abstractNumId w:val="3"/>
  </w:num>
  <w:num w:numId="24">
    <w:abstractNumId w:val="4"/>
  </w:num>
  <w:num w:numId="25">
    <w:abstractNumId w:val="16"/>
  </w:num>
  <w:num w:numId="26">
    <w:abstractNumId w:val="21"/>
  </w:num>
  <w:num w:numId="27">
    <w:abstractNumId w:val="5"/>
  </w:num>
  <w:num w:numId="28">
    <w:abstractNumId w:val="12"/>
  </w:num>
  <w:num w:numId="29">
    <w:abstractNumId w:val="2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2"/>
    <w:rsid w:val="000046E7"/>
    <w:rsid w:val="00007575"/>
    <w:rsid w:val="00010D07"/>
    <w:rsid w:val="00011128"/>
    <w:rsid w:val="00015DFF"/>
    <w:rsid w:val="00016557"/>
    <w:rsid w:val="00023C40"/>
    <w:rsid w:val="0003216C"/>
    <w:rsid w:val="00033397"/>
    <w:rsid w:val="00040095"/>
    <w:rsid w:val="00041203"/>
    <w:rsid w:val="00043E89"/>
    <w:rsid w:val="00047EC2"/>
    <w:rsid w:val="00052781"/>
    <w:rsid w:val="00056B1C"/>
    <w:rsid w:val="00065268"/>
    <w:rsid w:val="000679EF"/>
    <w:rsid w:val="00073C9C"/>
    <w:rsid w:val="0007684F"/>
    <w:rsid w:val="00080512"/>
    <w:rsid w:val="000902A8"/>
    <w:rsid w:val="00090468"/>
    <w:rsid w:val="00094568"/>
    <w:rsid w:val="000B7BCF"/>
    <w:rsid w:val="000C522B"/>
    <w:rsid w:val="000D1F56"/>
    <w:rsid w:val="000D5767"/>
    <w:rsid w:val="000D58AB"/>
    <w:rsid w:val="000D792B"/>
    <w:rsid w:val="000E0AA0"/>
    <w:rsid w:val="000F1279"/>
    <w:rsid w:val="000F3948"/>
    <w:rsid w:val="001079F2"/>
    <w:rsid w:val="00112F1A"/>
    <w:rsid w:val="00115CB2"/>
    <w:rsid w:val="001162CA"/>
    <w:rsid w:val="0011786C"/>
    <w:rsid w:val="00122B9A"/>
    <w:rsid w:val="0012460F"/>
    <w:rsid w:val="001248F3"/>
    <w:rsid w:val="00125EFC"/>
    <w:rsid w:val="001367C4"/>
    <w:rsid w:val="00145075"/>
    <w:rsid w:val="00145A6C"/>
    <w:rsid w:val="00145F97"/>
    <w:rsid w:val="0015441A"/>
    <w:rsid w:val="00156D3D"/>
    <w:rsid w:val="00163126"/>
    <w:rsid w:val="0016326B"/>
    <w:rsid w:val="001741A0"/>
    <w:rsid w:val="00174290"/>
    <w:rsid w:val="00175FA0"/>
    <w:rsid w:val="001837DC"/>
    <w:rsid w:val="00184F30"/>
    <w:rsid w:val="0018585C"/>
    <w:rsid w:val="00193BB2"/>
    <w:rsid w:val="00194CD0"/>
    <w:rsid w:val="001A05B4"/>
    <w:rsid w:val="001A1AB6"/>
    <w:rsid w:val="001A3A3A"/>
    <w:rsid w:val="001A552F"/>
    <w:rsid w:val="001B1D28"/>
    <w:rsid w:val="001B49C9"/>
    <w:rsid w:val="001B4E43"/>
    <w:rsid w:val="001B6DB6"/>
    <w:rsid w:val="001C23F4"/>
    <w:rsid w:val="001C25FF"/>
    <w:rsid w:val="001C4F79"/>
    <w:rsid w:val="001C5103"/>
    <w:rsid w:val="001C515B"/>
    <w:rsid w:val="001D7032"/>
    <w:rsid w:val="001E0393"/>
    <w:rsid w:val="001E51FB"/>
    <w:rsid w:val="001F168B"/>
    <w:rsid w:val="001F7831"/>
    <w:rsid w:val="00202C12"/>
    <w:rsid w:val="00204045"/>
    <w:rsid w:val="0020647A"/>
    <w:rsid w:val="002068AE"/>
    <w:rsid w:val="0020712B"/>
    <w:rsid w:val="0020795E"/>
    <w:rsid w:val="00210589"/>
    <w:rsid w:val="00223267"/>
    <w:rsid w:val="00223E08"/>
    <w:rsid w:val="0022606D"/>
    <w:rsid w:val="00231728"/>
    <w:rsid w:val="00236DED"/>
    <w:rsid w:val="00244A05"/>
    <w:rsid w:val="002467C6"/>
    <w:rsid w:val="00250404"/>
    <w:rsid w:val="0025287C"/>
    <w:rsid w:val="002610D8"/>
    <w:rsid w:val="0026464F"/>
    <w:rsid w:val="0026729D"/>
    <w:rsid w:val="00270FD5"/>
    <w:rsid w:val="002723BD"/>
    <w:rsid w:val="002747EC"/>
    <w:rsid w:val="00280617"/>
    <w:rsid w:val="00280EE7"/>
    <w:rsid w:val="00284DC0"/>
    <w:rsid w:val="002855BF"/>
    <w:rsid w:val="00290ADA"/>
    <w:rsid w:val="0029467F"/>
    <w:rsid w:val="002A4EC8"/>
    <w:rsid w:val="002A5AE5"/>
    <w:rsid w:val="002A6425"/>
    <w:rsid w:val="002A7FAD"/>
    <w:rsid w:val="002B0ED8"/>
    <w:rsid w:val="002B6AB6"/>
    <w:rsid w:val="002C10A8"/>
    <w:rsid w:val="002E0ECE"/>
    <w:rsid w:val="002E3BEA"/>
    <w:rsid w:val="002F0D22"/>
    <w:rsid w:val="002F3B40"/>
    <w:rsid w:val="00306AB2"/>
    <w:rsid w:val="00306CAF"/>
    <w:rsid w:val="00307A26"/>
    <w:rsid w:val="00311B17"/>
    <w:rsid w:val="003172DC"/>
    <w:rsid w:val="00322222"/>
    <w:rsid w:val="00325AE3"/>
    <w:rsid w:val="00326069"/>
    <w:rsid w:val="00332F71"/>
    <w:rsid w:val="00340163"/>
    <w:rsid w:val="00344ADF"/>
    <w:rsid w:val="00347556"/>
    <w:rsid w:val="0035462D"/>
    <w:rsid w:val="00361078"/>
    <w:rsid w:val="0036459E"/>
    <w:rsid w:val="00364B41"/>
    <w:rsid w:val="00383096"/>
    <w:rsid w:val="003837E2"/>
    <w:rsid w:val="00387E47"/>
    <w:rsid w:val="0039346C"/>
    <w:rsid w:val="003A41EF"/>
    <w:rsid w:val="003B0F48"/>
    <w:rsid w:val="003B40AD"/>
    <w:rsid w:val="003B5010"/>
    <w:rsid w:val="003C4E37"/>
    <w:rsid w:val="003C6236"/>
    <w:rsid w:val="003D374C"/>
    <w:rsid w:val="003D788F"/>
    <w:rsid w:val="003E16BE"/>
    <w:rsid w:val="003E2F9A"/>
    <w:rsid w:val="003E37AB"/>
    <w:rsid w:val="003E5AFB"/>
    <w:rsid w:val="003F4E28"/>
    <w:rsid w:val="0040000F"/>
    <w:rsid w:val="004006E8"/>
    <w:rsid w:val="00401855"/>
    <w:rsid w:val="00405654"/>
    <w:rsid w:val="00412DFB"/>
    <w:rsid w:val="00414785"/>
    <w:rsid w:val="00447670"/>
    <w:rsid w:val="00450BA3"/>
    <w:rsid w:val="0045745A"/>
    <w:rsid w:val="00465587"/>
    <w:rsid w:val="00477455"/>
    <w:rsid w:val="00480D27"/>
    <w:rsid w:val="0048255A"/>
    <w:rsid w:val="00484B80"/>
    <w:rsid w:val="0048529A"/>
    <w:rsid w:val="004A1F7B"/>
    <w:rsid w:val="004A6AA7"/>
    <w:rsid w:val="004B6893"/>
    <w:rsid w:val="004B79E2"/>
    <w:rsid w:val="004C44D2"/>
    <w:rsid w:val="004D3578"/>
    <w:rsid w:val="004D380D"/>
    <w:rsid w:val="004D5393"/>
    <w:rsid w:val="004E0350"/>
    <w:rsid w:val="004E213A"/>
    <w:rsid w:val="004F4540"/>
    <w:rsid w:val="004F73A7"/>
    <w:rsid w:val="00500920"/>
    <w:rsid w:val="00503171"/>
    <w:rsid w:val="00504E04"/>
    <w:rsid w:val="0050591A"/>
    <w:rsid w:val="00506BA4"/>
    <w:rsid w:val="00506C28"/>
    <w:rsid w:val="0051543B"/>
    <w:rsid w:val="005240AE"/>
    <w:rsid w:val="00532011"/>
    <w:rsid w:val="00534DA0"/>
    <w:rsid w:val="00534FAB"/>
    <w:rsid w:val="00540C6A"/>
    <w:rsid w:val="00542CEA"/>
    <w:rsid w:val="00543E6C"/>
    <w:rsid w:val="0055250C"/>
    <w:rsid w:val="00552608"/>
    <w:rsid w:val="00565087"/>
    <w:rsid w:val="0056573F"/>
    <w:rsid w:val="00571279"/>
    <w:rsid w:val="00580B15"/>
    <w:rsid w:val="00580F8E"/>
    <w:rsid w:val="00581F43"/>
    <w:rsid w:val="0058676C"/>
    <w:rsid w:val="00591A8E"/>
    <w:rsid w:val="005969F5"/>
    <w:rsid w:val="005A49C6"/>
    <w:rsid w:val="005B1805"/>
    <w:rsid w:val="005B3479"/>
    <w:rsid w:val="005B65EC"/>
    <w:rsid w:val="005C1D85"/>
    <w:rsid w:val="005C7CD5"/>
    <w:rsid w:val="005E35A4"/>
    <w:rsid w:val="005F1293"/>
    <w:rsid w:val="006005C8"/>
    <w:rsid w:val="00611566"/>
    <w:rsid w:val="006201F0"/>
    <w:rsid w:val="00631AF0"/>
    <w:rsid w:val="00636EAF"/>
    <w:rsid w:val="0064045F"/>
    <w:rsid w:val="00642CA7"/>
    <w:rsid w:val="00644E0B"/>
    <w:rsid w:val="00646D99"/>
    <w:rsid w:val="00656910"/>
    <w:rsid w:val="006574C0"/>
    <w:rsid w:val="00663649"/>
    <w:rsid w:val="00672996"/>
    <w:rsid w:val="0067638E"/>
    <w:rsid w:val="00677E66"/>
    <w:rsid w:val="00683D26"/>
    <w:rsid w:val="00693988"/>
    <w:rsid w:val="00695D4A"/>
    <w:rsid w:val="00696821"/>
    <w:rsid w:val="006A440C"/>
    <w:rsid w:val="006C0BA7"/>
    <w:rsid w:val="006C5199"/>
    <w:rsid w:val="006C66D8"/>
    <w:rsid w:val="006D1E24"/>
    <w:rsid w:val="006D34EE"/>
    <w:rsid w:val="006D35DE"/>
    <w:rsid w:val="006D495C"/>
    <w:rsid w:val="006E0133"/>
    <w:rsid w:val="006E1057"/>
    <w:rsid w:val="006E1417"/>
    <w:rsid w:val="006E5554"/>
    <w:rsid w:val="006F6A2C"/>
    <w:rsid w:val="006F7C1D"/>
    <w:rsid w:val="007069DC"/>
    <w:rsid w:val="00710201"/>
    <w:rsid w:val="0072073A"/>
    <w:rsid w:val="007342B5"/>
    <w:rsid w:val="00734A5B"/>
    <w:rsid w:val="00742E77"/>
    <w:rsid w:val="00742EE2"/>
    <w:rsid w:val="0074373F"/>
    <w:rsid w:val="00744D85"/>
    <w:rsid w:val="00744E76"/>
    <w:rsid w:val="0075191B"/>
    <w:rsid w:val="00757D40"/>
    <w:rsid w:val="00765990"/>
    <w:rsid w:val="007662B5"/>
    <w:rsid w:val="00770269"/>
    <w:rsid w:val="00777250"/>
    <w:rsid w:val="00781AE3"/>
    <w:rsid w:val="00781F0F"/>
    <w:rsid w:val="00785B56"/>
    <w:rsid w:val="0078727C"/>
    <w:rsid w:val="0079049D"/>
    <w:rsid w:val="00790563"/>
    <w:rsid w:val="00793419"/>
    <w:rsid w:val="00793DC5"/>
    <w:rsid w:val="00796823"/>
    <w:rsid w:val="007A2E55"/>
    <w:rsid w:val="007B18D8"/>
    <w:rsid w:val="007B6EAA"/>
    <w:rsid w:val="007C095F"/>
    <w:rsid w:val="007C2DD0"/>
    <w:rsid w:val="007C7AD4"/>
    <w:rsid w:val="007D729C"/>
    <w:rsid w:val="007E6C21"/>
    <w:rsid w:val="007F2E08"/>
    <w:rsid w:val="007F368C"/>
    <w:rsid w:val="008028A4"/>
    <w:rsid w:val="00810F37"/>
    <w:rsid w:val="00811661"/>
    <w:rsid w:val="0081203B"/>
    <w:rsid w:val="00813245"/>
    <w:rsid w:val="00826146"/>
    <w:rsid w:val="00833585"/>
    <w:rsid w:val="00840DE0"/>
    <w:rsid w:val="0084671D"/>
    <w:rsid w:val="008607A8"/>
    <w:rsid w:val="008628F5"/>
    <w:rsid w:val="0086354A"/>
    <w:rsid w:val="00872C2B"/>
    <w:rsid w:val="008768CA"/>
    <w:rsid w:val="00877EF9"/>
    <w:rsid w:val="00880559"/>
    <w:rsid w:val="008807CD"/>
    <w:rsid w:val="00884611"/>
    <w:rsid w:val="00885F21"/>
    <w:rsid w:val="00892EF1"/>
    <w:rsid w:val="008A0974"/>
    <w:rsid w:val="008A0FAE"/>
    <w:rsid w:val="008A2AA1"/>
    <w:rsid w:val="008B5306"/>
    <w:rsid w:val="008C2E2A"/>
    <w:rsid w:val="008C3057"/>
    <w:rsid w:val="008C58C6"/>
    <w:rsid w:val="008D2E4D"/>
    <w:rsid w:val="008D74A1"/>
    <w:rsid w:val="008E50D1"/>
    <w:rsid w:val="008F396F"/>
    <w:rsid w:val="008F3DCD"/>
    <w:rsid w:val="008F776A"/>
    <w:rsid w:val="0090271F"/>
    <w:rsid w:val="00902C66"/>
    <w:rsid w:val="00902DB9"/>
    <w:rsid w:val="0090466A"/>
    <w:rsid w:val="009211D0"/>
    <w:rsid w:val="00923655"/>
    <w:rsid w:val="0092385A"/>
    <w:rsid w:val="00931873"/>
    <w:rsid w:val="00932652"/>
    <w:rsid w:val="00936071"/>
    <w:rsid w:val="009376CD"/>
    <w:rsid w:val="00940212"/>
    <w:rsid w:val="00940AF5"/>
    <w:rsid w:val="00941C85"/>
    <w:rsid w:val="00942EC2"/>
    <w:rsid w:val="009471EC"/>
    <w:rsid w:val="00954F99"/>
    <w:rsid w:val="00956E1A"/>
    <w:rsid w:val="0095702C"/>
    <w:rsid w:val="00961B32"/>
    <w:rsid w:val="00962509"/>
    <w:rsid w:val="00970DB3"/>
    <w:rsid w:val="00974BB0"/>
    <w:rsid w:val="00975BCD"/>
    <w:rsid w:val="009928A9"/>
    <w:rsid w:val="00993B70"/>
    <w:rsid w:val="00994108"/>
    <w:rsid w:val="009A0AF3"/>
    <w:rsid w:val="009A7890"/>
    <w:rsid w:val="009B07CD"/>
    <w:rsid w:val="009C19E9"/>
    <w:rsid w:val="009C3E2C"/>
    <w:rsid w:val="009C550C"/>
    <w:rsid w:val="009C746B"/>
    <w:rsid w:val="009D4273"/>
    <w:rsid w:val="009D74A6"/>
    <w:rsid w:val="009E0E87"/>
    <w:rsid w:val="009E49BA"/>
    <w:rsid w:val="009F1FE6"/>
    <w:rsid w:val="009F23BF"/>
    <w:rsid w:val="009F3BD8"/>
    <w:rsid w:val="009F7C4C"/>
    <w:rsid w:val="009F7DD0"/>
    <w:rsid w:val="00A10F02"/>
    <w:rsid w:val="00A204CA"/>
    <w:rsid w:val="00A209D6"/>
    <w:rsid w:val="00A22738"/>
    <w:rsid w:val="00A2677F"/>
    <w:rsid w:val="00A30A25"/>
    <w:rsid w:val="00A34005"/>
    <w:rsid w:val="00A36F5F"/>
    <w:rsid w:val="00A430EC"/>
    <w:rsid w:val="00A52221"/>
    <w:rsid w:val="00A53724"/>
    <w:rsid w:val="00A54B2B"/>
    <w:rsid w:val="00A6284E"/>
    <w:rsid w:val="00A63A03"/>
    <w:rsid w:val="00A7011A"/>
    <w:rsid w:val="00A73323"/>
    <w:rsid w:val="00A82346"/>
    <w:rsid w:val="00A84825"/>
    <w:rsid w:val="00A86390"/>
    <w:rsid w:val="00A86637"/>
    <w:rsid w:val="00A87534"/>
    <w:rsid w:val="00A877B4"/>
    <w:rsid w:val="00A91D7C"/>
    <w:rsid w:val="00A9671C"/>
    <w:rsid w:val="00AA1553"/>
    <w:rsid w:val="00AA47C4"/>
    <w:rsid w:val="00AB249C"/>
    <w:rsid w:val="00AB25E0"/>
    <w:rsid w:val="00AB29FF"/>
    <w:rsid w:val="00AC0D86"/>
    <w:rsid w:val="00AC40DE"/>
    <w:rsid w:val="00AC597A"/>
    <w:rsid w:val="00AD3B76"/>
    <w:rsid w:val="00AD7945"/>
    <w:rsid w:val="00AE0E55"/>
    <w:rsid w:val="00B05380"/>
    <w:rsid w:val="00B05962"/>
    <w:rsid w:val="00B05A31"/>
    <w:rsid w:val="00B0683D"/>
    <w:rsid w:val="00B07185"/>
    <w:rsid w:val="00B147F8"/>
    <w:rsid w:val="00B15449"/>
    <w:rsid w:val="00B15ED6"/>
    <w:rsid w:val="00B16C2F"/>
    <w:rsid w:val="00B27303"/>
    <w:rsid w:val="00B30BEB"/>
    <w:rsid w:val="00B31DBE"/>
    <w:rsid w:val="00B46AA1"/>
    <w:rsid w:val="00B470B7"/>
    <w:rsid w:val="00B47FD1"/>
    <w:rsid w:val="00B516BB"/>
    <w:rsid w:val="00B51FC0"/>
    <w:rsid w:val="00B5644E"/>
    <w:rsid w:val="00B57EC9"/>
    <w:rsid w:val="00B63E4F"/>
    <w:rsid w:val="00B7198B"/>
    <w:rsid w:val="00B7538C"/>
    <w:rsid w:val="00B84DB2"/>
    <w:rsid w:val="00BB7BB0"/>
    <w:rsid w:val="00BC0D09"/>
    <w:rsid w:val="00BC3555"/>
    <w:rsid w:val="00BC37C2"/>
    <w:rsid w:val="00BD4336"/>
    <w:rsid w:val="00BD5D42"/>
    <w:rsid w:val="00BF592D"/>
    <w:rsid w:val="00C02176"/>
    <w:rsid w:val="00C05901"/>
    <w:rsid w:val="00C118B6"/>
    <w:rsid w:val="00C1216C"/>
    <w:rsid w:val="00C12B51"/>
    <w:rsid w:val="00C14FAF"/>
    <w:rsid w:val="00C24471"/>
    <w:rsid w:val="00C24650"/>
    <w:rsid w:val="00C25465"/>
    <w:rsid w:val="00C33079"/>
    <w:rsid w:val="00C41366"/>
    <w:rsid w:val="00C46387"/>
    <w:rsid w:val="00C55A12"/>
    <w:rsid w:val="00C60992"/>
    <w:rsid w:val="00C6242A"/>
    <w:rsid w:val="00C6553E"/>
    <w:rsid w:val="00C727A9"/>
    <w:rsid w:val="00C83A13"/>
    <w:rsid w:val="00C85275"/>
    <w:rsid w:val="00C86F10"/>
    <w:rsid w:val="00C9068C"/>
    <w:rsid w:val="00C92967"/>
    <w:rsid w:val="00CA2A75"/>
    <w:rsid w:val="00CA3D0C"/>
    <w:rsid w:val="00CA654B"/>
    <w:rsid w:val="00CB72B8"/>
    <w:rsid w:val="00CC1DEA"/>
    <w:rsid w:val="00CC3BAB"/>
    <w:rsid w:val="00CC4298"/>
    <w:rsid w:val="00CC5C85"/>
    <w:rsid w:val="00CD0BA8"/>
    <w:rsid w:val="00CD2A83"/>
    <w:rsid w:val="00CD30A8"/>
    <w:rsid w:val="00CD4C7B"/>
    <w:rsid w:val="00CD58FE"/>
    <w:rsid w:val="00CE092B"/>
    <w:rsid w:val="00CE380D"/>
    <w:rsid w:val="00CF1C11"/>
    <w:rsid w:val="00CF2198"/>
    <w:rsid w:val="00CF3468"/>
    <w:rsid w:val="00D03CAE"/>
    <w:rsid w:val="00D203AA"/>
    <w:rsid w:val="00D20C98"/>
    <w:rsid w:val="00D237E8"/>
    <w:rsid w:val="00D24A3A"/>
    <w:rsid w:val="00D259A0"/>
    <w:rsid w:val="00D33BE3"/>
    <w:rsid w:val="00D33E66"/>
    <w:rsid w:val="00D371A7"/>
    <w:rsid w:val="00D3792D"/>
    <w:rsid w:val="00D43DB3"/>
    <w:rsid w:val="00D5197A"/>
    <w:rsid w:val="00D52B37"/>
    <w:rsid w:val="00D55E47"/>
    <w:rsid w:val="00D56987"/>
    <w:rsid w:val="00D62E19"/>
    <w:rsid w:val="00D67CD1"/>
    <w:rsid w:val="00D71BC6"/>
    <w:rsid w:val="00D738D6"/>
    <w:rsid w:val="00D74994"/>
    <w:rsid w:val="00D80795"/>
    <w:rsid w:val="00D808DC"/>
    <w:rsid w:val="00D854BE"/>
    <w:rsid w:val="00D87E00"/>
    <w:rsid w:val="00D9134D"/>
    <w:rsid w:val="00D96D11"/>
    <w:rsid w:val="00DA5FE6"/>
    <w:rsid w:val="00DA7A03"/>
    <w:rsid w:val="00DB0DB8"/>
    <w:rsid w:val="00DB1818"/>
    <w:rsid w:val="00DC309B"/>
    <w:rsid w:val="00DC4DA2"/>
    <w:rsid w:val="00DC5261"/>
    <w:rsid w:val="00DC73CB"/>
    <w:rsid w:val="00DE04D0"/>
    <w:rsid w:val="00DE13C6"/>
    <w:rsid w:val="00DE25D2"/>
    <w:rsid w:val="00DE5DCF"/>
    <w:rsid w:val="00DE690A"/>
    <w:rsid w:val="00DE7FA0"/>
    <w:rsid w:val="00DF76AF"/>
    <w:rsid w:val="00E07D14"/>
    <w:rsid w:val="00E35A07"/>
    <w:rsid w:val="00E425B3"/>
    <w:rsid w:val="00E43152"/>
    <w:rsid w:val="00E46C08"/>
    <w:rsid w:val="00E471CF"/>
    <w:rsid w:val="00E4780C"/>
    <w:rsid w:val="00E556B2"/>
    <w:rsid w:val="00E60AB1"/>
    <w:rsid w:val="00E614BE"/>
    <w:rsid w:val="00E62835"/>
    <w:rsid w:val="00E62ED1"/>
    <w:rsid w:val="00E70012"/>
    <w:rsid w:val="00E7085F"/>
    <w:rsid w:val="00E77089"/>
    <w:rsid w:val="00E77645"/>
    <w:rsid w:val="00E83697"/>
    <w:rsid w:val="00E859B6"/>
    <w:rsid w:val="00EA66C9"/>
    <w:rsid w:val="00EA7DD4"/>
    <w:rsid w:val="00EB5268"/>
    <w:rsid w:val="00EC0997"/>
    <w:rsid w:val="00EC0A5B"/>
    <w:rsid w:val="00EC4A25"/>
    <w:rsid w:val="00ED0A14"/>
    <w:rsid w:val="00ED14C0"/>
    <w:rsid w:val="00EF612C"/>
    <w:rsid w:val="00F025A2"/>
    <w:rsid w:val="00F036E9"/>
    <w:rsid w:val="00F07388"/>
    <w:rsid w:val="00F111BE"/>
    <w:rsid w:val="00F11A14"/>
    <w:rsid w:val="00F11A38"/>
    <w:rsid w:val="00F2026E"/>
    <w:rsid w:val="00F2210A"/>
    <w:rsid w:val="00F24093"/>
    <w:rsid w:val="00F31372"/>
    <w:rsid w:val="00F37743"/>
    <w:rsid w:val="00F54A3D"/>
    <w:rsid w:val="00F54CB0"/>
    <w:rsid w:val="00F570D8"/>
    <w:rsid w:val="00F579CD"/>
    <w:rsid w:val="00F616D3"/>
    <w:rsid w:val="00F653B8"/>
    <w:rsid w:val="00F71B89"/>
    <w:rsid w:val="00F7353C"/>
    <w:rsid w:val="00F76F8F"/>
    <w:rsid w:val="00F84D55"/>
    <w:rsid w:val="00F90D3D"/>
    <w:rsid w:val="00F941DF"/>
    <w:rsid w:val="00F9548B"/>
    <w:rsid w:val="00F954A7"/>
    <w:rsid w:val="00FA1266"/>
    <w:rsid w:val="00FA332D"/>
    <w:rsid w:val="00FB155D"/>
    <w:rsid w:val="00FB36FA"/>
    <w:rsid w:val="00FB5F4E"/>
    <w:rsid w:val="00FC1192"/>
    <w:rsid w:val="00FC12F8"/>
    <w:rsid w:val="00FC614A"/>
    <w:rsid w:val="00FE106D"/>
    <w:rsid w:val="00FE251B"/>
    <w:rsid w:val="00FE65C9"/>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13CBBEB-1D89-4955-B3DE-277EE70B3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5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3152"/>
    <w:pPr>
      <w:spacing w:before="100" w:beforeAutospacing="1" w:after="100" w:afterAutospacing="1"/>
    </w:pPr>
    <w:rPr>
      <w:sz w:val="24"/>
      <w:szCs w:val="24"/>
      <w:lang w:val="en-US"/>
    </w:rPr>
  </w:style>
  <w:style w:type="paragraph" w:styleId="ListParagraph">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Normal"/>
    <w:link w:val="ListParagraphChar"/>
    <w:uiPriority w:val="34"/>
    <w:qFormat/>
    <w:rsid w:val="00E43152"/>
    <w:pPr>
      <w:spacing w:after="0"/>
      <w:ind w:left="720"/>
      <w:contextualSpacing/>
    </w:pPr>
    <w:rPr>
      <w:sz w:val="24"/>
      <w:szCs w:val="24"/>
      <w:lang w:val="en-US"/>
    </w:rPr>
  </w:style>
  <w:style w:type="character" w:customStyle="1" w:styleId="ListParagraphChar">
    <w:name w:val="List Paragraph Char"/>
    <w:aliases w:val="- Bullets Char,Lista1 Char,?? ?? Char,????? Char,???? Char,列出段落1 Char,中等深浅网格 1 - 着色 21 Char,¥ê¥¹¥È¶ÎÂä Char,¥¡¡¡¡ì¬º¥¹¥È¶ÎÂä Char,ÁÐ³ö¶ÎÂä Char,列表段落1 Char,—ño’i—Ž Char,1st level - Bullet List Paragraph Char,Paragrafo elenco Char"/>
    <w:link w:val="ListParagraph"/>
    <w:uiPriority w:val="34"/>
    <w:qFormat/>
    <w:locked/>
    <w:rsid w:val="00DE7FA0"/>
    <w:rPr>
      <w:sz w:val="24"/>
      <w:szCs w:val="24"/>
      <w:lang w:val="en-US" w:eastAsia="en-US"/>
    </w:rPr>
  </w:style>
  <w:style w:type="character" w:styleId="CommentReference">
    <w:name w:val="annotation reference"/>
    <w:basedOn w:val="DefaultParagraphFont"/>
    <w:rsid w:val="00FB155D"/>
    <w:rPr>
      <w:sz w:val="16"/>
      <w:szCs w:val="16"/>
    </w:rPr>
  </w:style>
  <w:style w:type="paragraph" w:styleId="CommentText">
    <w:name w:val="annotation text"/>
    <w:basedOn w:val="Normal"/>
    <w:link w:val="CommentTextChar"/>
    <w:rsid w:val="00FB155D"/>
  </w:style>
  <w:style w:type="character" w:customStyle="1" w:styleId="CommentTextChar">
    <w:name w:val="Comment Text Char"/>
    <w:basedOn w:val="DefaultParagraphFont"/>
    <w:link w:val="CommentText"/>
    <w:rsid w:val="00FB155D"/>
    <w:rPr>
      <w:lang w:eastAsia="en-US"/>
    </w:rPr>
  </w:style>
  <w:style w:type="paragraph" w:styleId="CommentSubject">
    <w:name w:val="annotation subject"/>
    <w:basedOn w:val="CommentText"/>
    <w:next w:val="CommentText"/>
    <w:link w:val="CommentSubjectChar"/>
    <w:rsid w:val="00FB155D"/>
    <w:rPr>
      <w:b/>
      <w:bCs/>
    </w:rPr>
  </w:style>
  <w:style w:type="character" w:customStyle="1" w:styleId="CommentSubjectChar">
    <w:name w:val="Comment Subject Char"/>
    <w:basedOn w:val="CommentTextChar"/>
    <w:link w:val="CommentSubject"/>
    <w:rsid w:val="00FB155D"/>
    <w:rPr>
      <w:b/>
      <w:bCs/>
      <w:lang w:eastAsia="en-US"/>
    </w:rPr>
  </w:style>
  <w:style w:type="paragraph" w:styleId="Revision">
    <w:name w:val="Revision"/>
    <w:hidden/>
    <w:uiPriority w:val="99"/>
    <w:semiHidden/>
    <w:rsid w:val="00306AB2"/>
    <w:rPr>
      <w:lang w:eastAsia="en-US"/>
    </w:rPr>
  </w:style>
  <w:style w:type="paragraph" w:styleId="Caption">
    <w:name w:val="caption"/>
    <w:basedOn w:val="Normal"/>
    <w:next w:val="Normal"/>
    <w:unhideWhenUsed/>
    <w:qFormat/>
    <w:rsid w:val="00387E47"/>
    <w:pPr>
      <w:spacing w:after="200"/>
    </w:pPr>
    <w:rPr>
      <w:i/>
      <w:iCs/>
      <w:color w:val="44546A" w:themeColor="text2"/>
      <w:sz w:val="18"/>
      <w:szCs w:val="18"/>
    </w:rPr>
  </w:style>
  <w:style w:type="paragraph" w:customStyle="1" w:styleId="Doc-text2">
    <w:name w:val="Doc-text2"/>
    <w:basedOn w:val="Normal"/>
    <w:link w:val="Doc-text2Char"/>
    <w:qFormat/>
    <w:rsid w:val="001631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3126"/>
    <w:rPr>
      <w:rFonts w:ascii="Arial" w:eastAsia="MS Mincho" w:hAnsi="Arial"/>
      <w:szCs w:val="24"/>
    </w:rPr>
  </w:style>
  <w:style w:type="paragraph" w:styleId="BodyText">
    <w:name w:val="Body Text"/>
    <w:basedOn w:val="Normal"/>
    <w:link w:val="BodyTextChar"/>
    <w:unhideWhenUsed/>
    <w:qFormat/>
    <w:rsid w:val="003D788F"/>
    <w:pPr>
      <w:overflowPunct w:val="0"/>
      <w:autoSpaceDE w:val="0"/>
      <w:autoSpaceDN w:val="0"/>
      <w:adjustRightInd w:val="0"/>
      <w:spacing w:after="120"/>
    </w:pPr>
    <w:rPr>
      <w:rFonts w:eastAsia="SimSun"/>
      <w:color w:val="000000"/>
      <w:lang w:val="en-US" w:eastAsia="ja-JP"/>
    </w:rPr>
  </w:style>
  <w:style w:type="character" w:customStyle="1" w:styleId="BodyTextChar">
    <w:name w:val="Body Text Char"/>
    <w:basedOn w:val="DefaultParagraphFont"/>
    <w:link w:val="BodyText"/>
    <w:qFormat/>
    <w:rsid w:val="003D788F"/>
    <w:rPr>
      <w:rFonts w:eastAsia="SimSun"/>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042506">
      <w:bodyDiv w:val="1"/>
      <w:marLeft w:val="0"/>
      <w:marRight w:val="0"/>
      <w:marTop w:val="0"/>
      <w:marBottom w:val="0"/>
      <w:divBdr>
        <w:top w:val="none" w:sz="0" w:space="0" w:color="auto"/>
        <w:left w:val="none" w:sz="0" w:space="0" w:color="auto"/>
        <w:bottom w:val="none" w:sz="0" w:space="0" w:color="auto"/>
        <w:right w:val="none" w:sz="0" w:space="0" w:color="auto"/>
      </w:divBdr>
    </w:div>
    <w:div w:id="393165719">
      <w:bodyDiv w:val="1"/>
      <w:marLeft w:val="0"/>
      <w:marRight w:val="0"/>
      <w:marTop w:val="0"/>
      <w:marBottom w:val="0"/>
      <w:divBdr>
        <w:top w:val="none" w:sz="0" w:space="0" w:color="auto"/>
        <w:left w:val="none" w:sz="0" w:space="0" w:color="auto"/>
        <w:bottom w:val="none" w:sz="0" w:space="0" w:color="auto"/>
        <w:right w:val="none" w:sz="0" w:space="0" w:color="auto"/>
      </w:divBdr>
    </w:div>
    <w:div w:id="732780450">
      <w:bodyDiv w:val="1"/>
      <w:marLeft w:val="0"/>
      <w:marRight w:val="0"/>
      <w:marTop w:val="0"/>
      <w:marBottom w:val="0"/>
      <w:divBdr>
        <w:top w:val="none" w:sz="0" w:space="0" w:color="auto"/>
        <w:left w:val="none" w:sz="0" w:space="0" w:color="auto"/>
        <w:bottom w:val="none" w:sz="0" w:space="0" w:color="auto"/>
        <w:right w:val="none" w:sz="0" w:space="0" w:color="auto"/>
      </w:divBdr>
    </w:div>
    <w:div w:id="743070739">
      <w:bodyDiv w:val="1"/>
      <w:marLeft w:val="0"/>
      <w:marRight w:val="0"/>
      <w:marTop w:val="0"/>
      <w:marBottom w:val="0"/>
      <w:divBdr>
        <w:top w:val="none" w:sz="0" w:space="0" w:color="auto"/>
        <w:left w:val="none" w:sz="0" w:space="0" w:color="auto"/>
        <w:bottom w:val="none" w:sz="0" w:space="0" w:color="auto"/>
        <w:right w:val="none" w:sz="0" w:space="0" w:color="auto"/>
      </w:divBdr>
    </w:div>
    <w:div w:id="753865539">
      <w:bodyDiv w:val="1"/>
      <w:marLeft w:val="0"/>
      <w:marRight w:val="0"/>
      <w:marTop w:val="0"/>
      <w:marBottom w:val="0"/>
      <w:divBdr>
        <w:top w:val="none" w:sz="0" w:space="0" w:color="auto"/>
        <w:left w:val="none" w:sz="0" w:space="0" w:color="auto"/>
        <w:bottom w:val="none" w:sz="0" w:space="0" w:color="auto"/>
        <w:right w:val="none" w:sz="0" w:space="0" w:color="auto"/>
      </w:divBdr>
      <w:divsChild>
        <w:div w:id="727531227">
          <w:marLeft w:val="547"/>
          <w:marRight w:val="0"/>
          <w:marTop w:val="0"/>
          <w:marBottom w:val="120"/>
          <w:divBdr>
            <w:top w:val="none" w:sz="0" w:space="0" w:color="auto"/>
            <w:left w:val="none" w:sz="0" w:space="0" w:color="auto"/>
            <w:bottom w:val="none" w:sz="0" w:space="0" w:color="auto"/>
            <w:right w:val="none" w:sz="0" w:space="0" w:color="auto"/>
          </w:divBdr>
        </w:div>
        <w:div w:id="1396471377">
          <w:marLeft w:val="547"/>
          <w:marRight w:val="0"/>
          <w:marTop w:val="0"/>
          <w:marBottom w:val="120"/>
          <w:divBdr>
            <w:top w:val="none" w:sz="0" w:space="0" w:color="auto"/>
            <w:left w:val="none" w:sz="0" w:space="0" w:color="auto"/>
            <w:bottom w:val="none" w:sz="0" w:space="0" w:color="auto"/>
            <w:right w:val="none" w:sz="0" w:space="0" w:color="auto"/>
          </w:divBdr>
        </w:div>
        <w:div w:id="1410078279">
          <w:marLeft w:val="547"/>
          <w:marRight w:val="0"/>
          <w:marTop w:val="0"/>
          <w:marBottom w:val="120"/>
          <w:divBdr>
            <w:top w:val="none" w:sz="0" w:space="0" w:color="auto"/>
            <w:left w:val="none" w:sz="0" w:space="0" w:color="auto"/>
            <w:bottom w:val="none" w:sz="0" w:space="0" w:color="auto"/>
            <w:right w:val="none" w:sz="0" w:space="0" w:color="auto"/>
          </w:divBdr>
        </w:div>
        <w:div w:id="1797799652">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6800449">
      <w:bodyDiv w:val="1"/>
      <w:marLeft w:val="0"/>
      <w:marRight w:val="0"/>
      <w:marTop w:val="0"/>
      <w:marBottom w:val="0"/>
      <w:divBdr>
        <w:top w:val="none" w:sz="0" w:space="0" w:color="auto"/>
        <w:left w:val="none" w:sz="0" w:space="0" w:color="auto"/>
        <w:bottom w:val="none" w:sz="0" w:space="0" w:color="auto"/>
        <w:right w:val="none" w:sz="0" w:space="0" w:color="auto"/>
      </w:divBdr>
      <w:divsChild>
        <w:div w:id="318774469">
          <w:marLeft w:val="547"/>
          <w:marRight w:val="0"/>
          <w:marTop w:val="0"/>
          <w:marBottom w:val="120"/>
          <w:divBdr>
            <w:top w:val="none" w:sz="0" w:space="0" w:color="auto"/>
            <w:left w:val="none" w:sz="0" w:space="0" w:color="auto"/>
            <w:bottom w:val="none" w:sz="0" w:space="0" w:color="auto"/>
            <w:right w:val="none" w:sz="0" w:space="0" w:color="auto"/>
          </w:divBdr>
        </w:div>
        <w:div w:id="1174801040">
          <w:marLeft w:val="547"/>
          <w:marRight w:val="0"/>
          <w:marTop w:val="0"/>
          <w:marBottom w:val="120"/>
          <w:divBdr>
            <w:top w:val="none" w:sz="0" w:space="0" w:color="auto"/>
            <w:left w:val="none" w:sz="0" w:space="0" w:color="auto"/>
            <w:bottom w:val="none" w:sz="0" w:space="0" w:color="auto"/>
            <w:right w:val="none" w:sz="0" w:space="0" w:color="auto"/>
          </w:divBdr>
        </w:div>
        <w:div w:id="1205875513">
          <w:marLeft w:val="547"/>
          <w:marRight w:val="0"/>
          <w:marTop w:val="0"/>
          <w:marBottom w:val="120"/>
          <w:divBdr>
            <w:top w:val="none" w:sz="0" w:space="0" w:color="auto"/>
            <w:left w:val="none" w:sz="0" w:space="0" w:color="auto"/>
            <w:bottom w:val="none" w:sz="0" w:space="0" w:color="auto"/>
            <w:right w:val="none" w:sz="0" w:space="0" w:color="auto"/>
          </w:divBdr>
        </w:div>
        <w:div w:id="1799640286">
          <w:marLeft w:val="547"/>
          <w:marRight w:val="0"/>
          <w:marTop w:val="0"/>
          <w:marBottom w:val="120"/>
          <w:divBdr>
            <w:top w:val="none" w:sz="0" w:space="0" w:color="auto"/>
            <w:left w:val="none" w:sz="0" w:space="0" w:color="auto"/>
            <w:bottom w:val="none" w:sz="0" w:space="0" w:color="auto"/>
            <w:right w:val="none" w:sz="0" w:space="0" w:color="auto"/>
          </w:divBdr>
        </w:div>
      </w:divsChild>
    </w:div>
    <w:div w:id="11885652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658857">
      <w:bodyDiv w:val="1"/>
      <w:marLeft w:val="0"/>
      <w:marRight w:val="0"/>
      <w:marTop w:val="0"/>
      <w:marBottom w:val="0"/>
      <w:divBdr>
        <w:top w:val="none" w:sz="0" w:space="0" w:color="auto"/>
        <w:left w:val="none" w:sz="0" w:space="0" w:color="auto"/>
        <w:bottom w:val="none" w:sz="0" w:space="0" w:color="auto"/>
        <w:right w:val="none" w:sz="0" w:space="0" w:color="auto"/>
      </w:divBdr>
    </w:div>
    <w:div w:id="1769696100">
      <w:bodyDiv w:val="1"/>
      <w:marLeft w:val="0"/>
      <w:marRight w:val="0"/>
      <w:marTop w:val="0"/>
      <w:marBottom w:val="0"/>
      <w:divBdr>
        <w:top w:val="none" w:sz="0" w:space="0" w:color="auto"/>
        <w:left w:val="none" w:sz="0" w:space="0" w:color="auto"/>
        <w:bottom w:val="none" w:sz="0" w:space="0" w:color="auto"/>
        <w:right w:val="none" w:sz="0" w:space="0" w:color="auto"/>
      </w:divBdr>
    </w:div>
    <w:div w:id="1911844320">
      <w:bodyDiv w:val="1"/>
      <w:marLeft w:val="0"/>
      <w:marRight w:val="0"/>
      <w:marTop w:val="0"/>
      <w:marBottom w:val="0"/>
      <w:divBdr>
        <w:top w:val="none" w:sz="0" w:space="0" w:color="auto"/>
        <w:left w:val="none" w:sz="0" w:space="0" w:color="auto"/>
        <w:bottom w:val="none" w:sz="0" w:space="0" w:color="auto"/>
        <w:right w:val="none" w:sz="0" w:space="0" w:color="auto"/>
      </w:divBdr>
      <w:divsChild>
        <w:div w:id="52046274">
          <w:marLeft w:val="547"/>
          <w:marRight w:val="0"/>
          <w:marTop w:val="0"/>
          <w:marBottom w:val="60"/>
          <w:divBdr>
            <w:top w:val="none" w:sz="0" w:space="0" w:color="auto"/>
            <w:left w:val="none" w:sz="0" w:space="0" w:color="auto"/>
            <w:bottom w:val="none" w:sz="0" w:space="0" w:color="auto"/>
            <w:right w:val="none" w:sz="0" w:space="0" w:color="auto"/>
          </w:divBdr>
        </w:div>
        <w:div w:id="363411056">
          <w:marLeft w:val="547"/>
          <w:marRight w:val="0"/>
          <w:marTop w:val="0"/>
          <w:marBottom w:val="60"/>
          <w:divBdr>
            <w:top w:val="none" w:sz="0" w:space="0" w:color="auto"/>
            <w:left w:val="none" w:sz="0" w:space="0" w:color="auto"/>
            <w:bottom w:val="none" w:sz="0" w:space="0" w:color="auto"/>
            <w:right w:val="none" w:sz="0" w:space="0" w:color="auto"/>
          </w:divBdr>
        </w:div>
        <w:div w:id="502091090">
          <w:marLeft w:val="547"/>
          <w:marRight w:val="0"/>
          <w:marTop w:val="0"/>
          <w:marBottom w:val="60"/>
          <w:divBdr>
            <w:top w:val="none" w:sz="0" w:space="0" w:color="auto"/>
            <w:left w:val="none" w:sz="0" w:space="0" w:color="auto"/>
            <w:bottom w:val="none" w:sz="0" w:space="0" w:color="auto"/>
            <w:right w:val="none" w:sz="0" w:space="0" w:color="auto"/>
          </w:divBdr>
        </w:div>
        <w:div w:id="573471008">
          <w:marLeft w:val="547"/>
          <w:marRight w:val="0"/>
          <w:marTop w:val="0"/>
          <w:marBottom w:val="60"/>
          <w:divBdr>
            <w:top w:val="none" w:sz="0" w:space="0" w:color="auto"/>
            <w:left w:val="none" w:sz="0" w:space="0" w:color="auto"/>
            <w:bottom w:val="none" w:sz="0" w:space="0" w:color="auto"/>
            <w:right w:val="none" w:sz="0" w:space="0" w:color="auto"/>
          </w:divBdr>
        </w:div>
        <w:div w:id="598298686">
          <w:marLeft w:val="547"/>
          <w:marRight w:val="0"/>
          <w:marTop w:val="0"/>
          <w:marBottom w:val="60"/>
          <w:divBdr>
            <w:top w:val="none" w:sz="0" w:space="0" w:color="auto"/>
            <w:left w:val="none" w:sz="0" w:space="0" w:color="auto"/>
            <w:bottom w:val="none" w:sz="0" w:space="0" w:color="auto"/>
            <w:right w:val="none" w:sz="0" w:space="0" w:color="auto"/>
          </w:divBdr>
        </w:div>
        <w:div w:id="601841414">
          <w:marLeft w:val="547"/>
          <w:marRight w:val="0"/>
          <w:marTop w:val="0"/>
          <w:marBottom w:val="60"/>
          <w:divBdr>
            <w:top w:val="none" w:sz="0" w:space="0" w:color="auto"/>
            <w:left w:val="none" w:sz="0" w:space="0" w:color="auto"/>
            <w:bottom w:val="none" w:sz="0" w:space="0" w:color="auto"/>
            <w:right w:val="none" w:sz="0" w:space="0" w:color="auto"/>
          </w:divBdr>
        </w:div>
        <w:div w:id="620385375">
          <w:marLeft w:val="547"/>
          <w:marRight w:val="0"/>
          <w:marTop w:val="0"/>
          <w:marBottom w:val="60"/>
          <w:divBdr>
            <w:top w:val="none" w:sz="0" w:space="0" w:color="auto"/>
            <w:left w:val="none" w:sz="0" w:space="0" w:color="auto"/>
            <w:bottom w:val="none" w:sz="0" w:space="0" w:color="auto"/>
            <w:right w:val="none" w:sz="0" w:space="0" w:color="auto"/>
          </w:divBdr>
        </w:div>
        <w:div w:id="777027045">
          <w:marLeft w:val="547"/>
          <w:marRight w:val="0"/>
          <w:marTop w:val="0"/>
          <w:marBottom w:val="60"/>
          <w:divBdr>
            <w:top w:val="none" w:sz="0" w:space="0" w:color="auto"/>
            <w:left w:val="none" w:sz="0" w:space="0" w:color="auto"/>
            <w:bottom w:val="none" w:sz="0" w:space="0" w:color="auto"/>
            <w:right w:val="none" w:sz="0" w:space="0" w:color="auto"/>
          </w:divBdr>
        </w:div>
        <w:div w:id="1184173399">
          <w:marLeft w:val="547"/>
          <w:marRight w:val="0"/>
          <w:marTop w:val="0"/>
          <w:marBottom w:val="60"/>
          <w:divBdr>
            <w:top w:val="none" w:sz="0" w:space="0" w:color="auto"/>
            <w:left w:val="none" w:sz="0" w:space="0" w:color="auto"/>
            <w:bottom w:val="none" w:sz="0" w:space="0" w:color="auto"/>
            <w:right w:val="none" w:sz="0" w:space="0" w:color="auto"/>
          </w:divBdr>
        </w:div>
        <w:div w:id="1377389166">
          <w:marLeft w:val="547"/>
          <w:marRight w:val="0"/>
          <w:marTop w:val="0"/>
          <w:marBottom w:val="60"/>
          <w:divBdr>
            <w:top w:val="none" w:sz="0" w:space="0" w:color="auto"/>
            <w:left w:val="none" w:sz="0" w:space="0" w:color="auto"/>
            <w:bottom w:val="none" w:sz="0" w:space="0" w:color="auto"/>
            <w:right w:val="none" w:sz="0" w:space="0" w:color="auto"/>
          </w:divBdr>
        </w:div>
        <w:div w:id="1386950721">
          <w:marLeft w:val="547"/>
          <w:marRight w:val="0"/>
          <w:marTop w:val="0"/>
          <w:marBottom w:val="60"/>
          <w:divBdr>
            <w:top w:val="none" w:sz="0" w:space="0" w:color="auto"/>
            <w:left w:val="none" w:sz="0" w:space="0" w:color="auto"/>
            <w:bottom w:val="none" w:sz="0" w:space="0" w:color="auto"/>
            <w:right w:val="none" w:sz="0" w:space="0" w:color="auto"/>
          </w:divBdr>
        </w:div>
        <w:div w:id="1490249388">
          <w:marLeft w:val="547"/>
          <w:marRight w:val="0"/>
          <w:marTop w:val="0"/>
          <w:marBottom w:val="60"/>
          <w:divBdr>
            <w:top w:val="none" w:sz="0" w:space="0" w:color="auto"/>
            <w:left w:val="none" w:sz="0" w:space="0" w:color="auto"/>
            <w:bottom w:val="none" w:sz="0" w:space="0" w:color="auto"/>
            <w:right w:val="none" w:sz="0" w:space="0" w:color="auto"/>
          </w:divBdr>
        </w:div>
        <w:div w:id="1518544790">
          <w:marLeft w:val="547"/>
          <w:marRight w:val="0"/>
          <w:marTop w:val="0"/>
          <w:marBottom w:val="60"/>
          <w:divBdr>
            <w:top w:val="none" w:sz="0" w:space="0" w:color="auto"/>
            <w:left w:val="none" w:sz="0" w:space="0" w:color="auto"/>
            <w:bottom w:val="none" w:sz="0" w:space="0" w:color="auto"/>
            <w:right w:val="none" w:sz="0" w:space="0" w:color="auto"/>
          </w:divBdr>
        </w:div>
        <w:div w:id="1550410112">
          <w:marLeft w:val="547"/>
          <w:marRight w:val="0"/>
          <w:marTop w:val="0"/>
          <w:marBottom w:val="60"/>
          <w:divBdr>
            <w:top w:val="none" w:sz="0" w:space="0" w:color="auto"/>
            <w:left w:val="none" w:sz="0" w:space="0" w:color="auto"/>
            <w:bottom w:val="none" w:sz="0" w:space="0" w:color="auto"/>
            <w:right w:val="none" w:sz="0" w:space="0" w:color="auto"/>
          </w:divBdr>
        </w:div>
        <w:div w:id="1616281299">
          <w:marLeft w:val="547"/>
          <w:marRight w:val="0"/>
          <w:marTop w:val="0"/>
          <w:marBottom w:val="60"/>
          <w:divBdr>
            <w:top w:val="none" w:sz="0" w:space="0" w:color="auto"/>
            <w:left w:val="none" w:sz="0" w:space="0" w:color="auto"/>
            <w:bottom w:val="none" w:sz="0" w:space="0" w:color="auto"/>
            <w:right w:val="none" w:sz="0" w:space="0" w:color="auto"/>
          </w:divBdr>
        </w:div>
        <w:div w:id="1718507524">
          <w:marLeft w:val="547"/>
          <w:marRight w:val="0"/>
          <w:marTop w:val="0"/>
          <w:marBottom w:val="60"/>
          <w:divBdr>
            <w:top w:val="none" w:sz="0" w:space="0" w:color="auto"/>
            <w:left w:val="none" w:sz="0" w:space="0" w:color="auto"/>
            <w:bottom w:val="none" w:sz="0" w:space="0" w:color="auto"/>
            <w:right w:val="none" w:sz="0" w:space="0" w:color="auto"/>
          </w:divBdr>
        </w:div>
        <w:div w:id="1760366351">
          <w:marLeft w:val="547"/>
          <w:marRight w:val="0"/>
          <w:marTop w:val="0"/>
          <w:marBottom w:val="60"/>
          <w:divBdr>
            <w:top w:val="none" w:sz="0" w:space="0" w:color="auto"/>
            <w:left w:val="none" w:sz="0" w:space="0" w:color="auto"/>
            <w:bottom w:val="none" w:sz="0" w:space="0" w:color="auto"/>
            <w:right w:val="none" w:sz="0" w:space="0" w:color="auto"/>
          </w:divBdr>
        </w:div>
        <w:div w:id="1834373487">
          <w:marLeft w:val="547"/>
          <w:marRight w:val="0"/>
          <w:marTop w:val="0"/>
          <w:marBottom w:val="60"/>
          <w:divBdr>
            <w:top w:val="none" w:sz="0" w:space="0" w:color="auto"/>
            <w:left w:val="none" w:sz="0" w:space="0" w:color="auto"/>
            <w:bottom w:val="none" w:sz="0" w:space="0" w:color="auto"/>
            <w:right w:val="none" w:sz="0" w:space="0" w:color="auto"/>
          </w:divBdr>
        </w:div>
      </w:divsChild>
    </w:div>
    <w:div w:id="2001539009">
      <w:bodyDiv w:val="1"/>
      <w:marLeft w:val="0"/>
      <w:marRight w:val="0"/>
      <w:marTop w:val="0"/>
      <w:marBottom w:val="0"/>
      <w:divBdr>
        <w:top w:val="none" w:sz="0" w:space="0" w:color="auto"/>
        <w:left w:val="none" w:sz="0" w:space="0" w:color="auto"/>
        <w:bottom w:val="none" w:sz="0" w:space="0" w:color="auto"/>
        <w:right w:val="none" w:sz="0" w:space="0" w:color="auto"/>
      </w:divBdr>
    </w:div>
    <w:div w:id="21113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1016.zip"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6bis-e/Docs/R2-2200991.zip"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b-e/Docs/R1-2200799.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5AIRPNAIUNRU-859666464-10697</_dlc_DocId>
    <_dlc_DocIdUrl xmlns="71c5aaf6-e6ce-465b-b873-5148d2a4c105">
      <Url>https://nokia.sharepoint.com/sites/c5g/e2earch/_layouts/15/DocIdRedir.aspx?ID=5AIRPNAIUNRU-859666464-10697</Url>
      <Description>5AIRPNAIUNRU-859666464-10697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1863</TotalTime>
  <Pages>6</Pages>
  <Words>2432</Words>
  <Characters>13168</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15569</CharactersWithSpaces>
  <SharedDoc>false</SharedDoc>
  <HyperlinkBase/>
  <HLinks>
    <vt:vector size="18" baseType="variant">
      <vt:variant>
        <vt:i4>5374004</vt:i4>
      </vt:variant>
      <vt:variant>
        <vt:i4>9</vt:i4>
      </vt:variant>
      <vt:variant>
        <vt:i4>0</vt:i4>
      </vt:variant>
      <vt:variant>
        <vt:i4>5</vt:i4>
      </vt:variant>
      <vt:variant>
        <vt:lpwstr>https://www.3gpp.org/ftp/TSG_RAN/WG1_RL1/TSGR1_107b-e/Docs/R1-2200799.zip</vt:lpwstr>
      </vt:variant>
      <vt:variant>
        <vt:lpwstr/>
      </vt:variant>
      <vt:variant>
        <vt:i4>3145805</vt:i4>
      </vt:variant>
      <vt:variant>
        <vt:i4>6</vt:i4>
      </vt:variant>
      <vt:variant>
        <vt:i4>0</vt:i4>
      </vt:variant>
      <vt:variant>
        <vt:i4>5</vt:i4>
      </vt:variant>
      <vt:variant>
        <vt:lpwstr>https://www.3gpp.org/ftp/tsg_ran/WG2_RL2/TSGR2_116bis-e/Docs/R2-2201016.zip</vt:lpwstr>
      </vt:variant>
      <vt:variant>
        <vt:lpwstr/>
      </vt:variant>
      <vt:variant>
        <vt:i4>3735619</vt:i4>
      </vt:variant>
      <vt:variant>
        <vt:i4>3</vt:i4>
      </vt:variant>
      <vt:variant>
        <vt:i4>0</vt:i4>
      </vt:variant>
      <vt:variant>
        <vt:i4>5</vt:i4>
      </vt:variant>
      <vt:variant>
        <vt:lpwstr>https://www.3gpp.org/ftp/tsg_ran/WG2_RL2/TSGR2_116bis-e/Docs/R2-2200991.zip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318</cp:revision>
  <dcterms:created xsi:type="dcterms:W3CDTF">2016-08-11T09:53:00Z</dcterms:created>
  <dcterms:modified xsi:type="dcterms:W3CDTF">2022-02-14T11:14:00Z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2b2c9ab2-e160-488d-aa9b-a4d2e67effdc</vt:lpwstr>
  </property>
</Properties>
</file>