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818D20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B20E3">
        <w:rPr>
          <w:bCs/>
          <w:noProof w:val="0"/>
          <w:sz w:val="24"/>
          <w:szCs w:val="24"/>
        </w:rPr>
        <w:t xml:space="preserve">7 </w:t>
      </w:r>
      <w:r w:rsidR="00244A05">
        <w:rPr>
          <w:bCs/>
          <w:noProof w:val="0"/>
          <w:sz w:val="24"/>
          <w:szCs w:val="24"/>
        </w:rPr>
        <w:t>Electronic</w:t>
      </w:r>
      <w:r w:rsidRPr="00B266B0">
        <w:rPr>
          <w:bCs/>
          <w:noProof w:val="0"/>
          <w:sz w:val="24"/>
          <w:szCs w:val="24"/>
        </w:rPr>
        <w:tab/>
      </w:r>
      <w:r w:rsidR="001656EB">
        <w:rPr>
          <w:bCs/>
          <w:noProof w:val="0"/>
          <w:sz w:val="24"/>
          <w:szCs w:val="24"/>
        </w:rPr>
        <w:t>R2-2</w:t>
      </w:r>
      <w:r w:rsidR="00583A3D">
        <w:rPr>
          <w:bCs/>
          <w:noProof w:val="0"/>
          <w:sz w:val="24"/>
          <w:szCs w:val="24"/>
        </w:rPr>
        <w:t>20</w:t>
      </w:r>
      <w:r w:rsidR="00364EE1">
        <w:rPr>
          <w:bCs/>
          <w:noProof w:val="0"/>
          <w:sz w:val="24"/>
          <w:szCs w:val="24"/>
        </w:rPr>
        <w:t>2742</w:t>
      </w:r>
    </w:p>
    <w:p w14:paraId="11776FA6" w14:textId="4C7DF44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w:t>
      </w:r>
      <w:r w:rsidR="003103FF">
        <w:rPr>
          <w:rFonts w:eastAsia="SimSun"/>
          <w:bCs/>
          <w:sz w:val="24"/>
          <w:szCs w:val="24"/>
          <w:lang w:eastAsia="zh-CN"/>
        </w:rPr>
        <w:t xml:space="preserve"> </w:t>
      </w:r>
      <w:r w:rsidR="00BB20E3">
        <w:rPr>
          <w:rFonts w:eastAsia="SimSun"/>
          <w:bCs/>
          <w:sz w:val="24"/>
          <w:szCs w:val="24"/>
          <w:lang w:eastAsia="zh-CN"/>
        </w:rPr>
        <w:t xml:space="preserve">February 21 -March </w:t>
      </w:r>
      <w:r w:rsidR="003103FF">
        <w:rPr>
          <w:rFonts w:eastAsia="SimSun"/>
          <w:bCs/>
          <w:sz w:val="24"/>
          <w:szCs w:val="24"/>
          <w:lang w:eastAsia="zh-CN"/>
        </w:rPr>
        <w:t xml:space="preserve"> </w:t>
      </w:r>
      <w:r w:rsidR="00BB20E3">
        <w:rPr>
          <w:rFonts w:eastAsia="SimSun"/>
          <w:bCs/>
          <w:sz w:val="24"/>
          <w:szCs w:val="24"/>
          <w:lang w:eastAsia="zh-CN"/>
        </w:rPr>
        <w:t xml:space="preserve">3 </w:t>
      </w:r>
      <w:r w:rsidR="003103FF">
        <w:rPr>
          <w:rFonts w:eastAsia="SimSun"/>
          <w:bCs/>
          <w:sz w:val="24"/>
          <w:szCs w:val="24"/>
          <w:lang w:eastAsia="zh-CN"/>
        </w:rPr>
        <w:t>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73950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320">
        <w:rPr>
          <w:rFonts w:cs="Arial"/>
          <w:b/>
          <w:bCs/>
          <w:sz w:val="24"/>
        </w:rPr>
        <w:t>9</w:t>
      </w:r>
      <w:r w:rsidR="00E15320">
        <w:rPr>
          <w:rFonts w:cs="Arial"/>
          <w:b/>
          <w:bCs/>
          <w:sz w:val="24"/>
          <w:lang w:eastAsia="ja-JP"/>
        </w:rPr>
        <w:t>.2.</w:t>
      </w:r>
      <w:r w:rsidR="00364EE1">
        <w:rPr>
          <w:rFonts w:cs="Arial"/>
          <w:b/>
          <w:bCs/>
          <w:sz w:val="24"/>
          <w:lang w:eastAsia="ja-JP"/>
        </w:rPr>
        <w:t>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B67A84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4EE1" w:rsidRPr="00364EE1">
        <w:rPr>
          <w:rFonts w:ascii="Arial" w:hAnsi="Arial" w:cs="Arial"/>
          <w:b/>
          <w:bCs/>
          <w:sz w:val="24"/>
        </w:rPr>
        <w:t xml:space="preserve">Further analysis </w:t>
      </w:r>
      <w:r w:rsidR="00364EE1" w:rsidRPr="00364EE1">
        <w:rPr>
          <w:rFonts w:ascii="Arial" w:hAnsi="Arial" w:cs="Arial"/>
          <w:b/>
          <w:bCs/>
          <w:sz w:val="24"/>
        </w:rPr>
        <w:t>on remaining</w:t>
      </w:r>
      <w:r w:rsidR="00364EE1" w:rsidRPr="00364EE1">
        <w:rPr>
          <w:rFonts w:ascii="Arial" w:hAnsi="Arial" w:cs="Arial"/>
          <w:b/>
          <w:bCs/>
          <w:sz w:val="24"/>
        </w:rPr>
        <w:t xml:space="preserve"> open </w:t>
      </w:r>
      <w:proofErr w:type="gramStart"/>
      <w:r w:rsidR="00364EE1" w:rsidRPr="00364EE1">
        <w:rPr>
          <w:rFonts w:ascii="Arial" w:hAnsi="Arial" w:cs="Arial"/>
          <w:b/>
          <w:bCs/>
          <w:sz w:val="24"/>
        </w:rPr>
        <w:t>issues  for</w:t>
      </w:r>
      <w:proofErr w:type="gramEnd"/>
      <w:r w:rsidR="00364EE1" w:rsidRPr="00364EE1">
        <w:rPr>
          <w:rFonts w:ascii="Arial" w:hAnsi="Arial" w:cs="Arial"/>
          <w:b/>
          <w:bCs/>
          <w:sz w:val="24"/>
        </w:rPr>
        <w:t xml:space="preserve"> IoT-NTN Capabilities</w:t>
      </w:r>
    </w:p>
    <w:p w14:paraId="1F147C23" w14:textId="0687DD01"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15320" w:rsidRPr="000A7145">
        <w:rPr>
          <w:rFonts w:ascii="Arial" w:hAnsi="Arial" w:cs="Arial"/>
          <w:b/>
          <w:bCs/>
          <w:sz w:val="24"/>
        </w:rPr>
        <w:t>LTE_NBIOT_eMTC_NTN</w:t>
      </w:r>
      <w:proofErr w:type="spellEnd"/>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125455" w14:textId="5008FE40" w:rsidR="003103FF" w:rsidRDefault="00BB20E3" w:rsidP="00E15320">
      <w:r>
        <w:t>Following are the RAN2 agreements on UE capability signalling for IoT-NTN in RAN2-116bis-e.</w:t>
      </w:r>
    </w:p>
    <w:p w14:paraId="160780F6" w14:textId="77777777" w:rsidR="00BB20E3" w:rsidRPr="00BB20E3" w:rsidRDefault="00BB20E3" w:rsidP="00BB20E3">
      <w:pPr>
        <w:pStyle w:val="Agreement"/>
        <w:numPr>
          <w:ilvl w:val="0"/>
          <w:numId w:val="16"/>
        </w:numPr>
        <w:tabs>
          <w:tab w:val="clear" w:pos="360"/>
          <w:tab w:val="num" w:pos="1619"/>
        </w:tabs>
        <w:ind w:left="1619"/>
        <w:rPr>
          <w:b w:val="0"/>
          <w:bCs/>
        </w:rPr>
      </w:pPr>
      <w:r w:rsidRPr="00BB20E3">
        <w:rPr>
          <w:b w:val="0"/>
          <w:bCs/>
        </w:rPr>
        <w:t>[047] IoT-NTN support is indicated by single per UE capability indication. This capability indication comprises of all RAN1 features needed for IoT-NTN and the following control plane and user plane functionalities of RAN2.</w:t>
      </w:r>
    </w:p>
    <w:p w14:paraId="38EB1531" w14:textId="77777777" w:rsidR="00BB20E3" w:rsidRPr="00BB20E3" w:rsidRDefault="00BB20E3" w:rsidP="00BB20E3">
      <w:pPr>
        <w:pStyle w:val="Agreement"/>
        <w:numPr>
          <w:ilvl w:val="0"/>
          <w:numId w:val="0"/>
        </w:numPr>
        <w:tabs>
          <w:tab w:val="left" w:pos="720"/>
        </w:tabs>
        <w:ind w:left="1619"/>
        <w:rPr>
          <w:b w:val="0"/>
          <w:bCs/>
        </w:rPr>
      </w:pPr>
      <w:r w:rsidRPr="00BB20E3">
        <w:rPr>
          <w:b w:val="0"/>
          <w:bCs/>
        </w:rPr>
        <w:t>- TA Pre-compensation, RAR Window adjustments and MAC contention resolution Timer adjustments.</w:t>
      </w:r>
    </w:p>
    <w:p w14:paraId="2D98B8A4" w14:textId="77777777" w:rsidR="00BB20E3" w:rsidRPr="00BB20E3" w:rsidRDefault="00BB20E3" w:rsidP="00BB20E3">
      <w:pPr>
        <w:pStyle w:val="Agreement"/>
        <w:numPr>
          <w:ilvl w:val="0"/>
          <w:numId w:val="0"/>
        </w:numPr>
        <w:tabs>
          <w:tab w:val="left" w:pos="720"/>
        </w:tabs>
        <w:ind w:left="1619"/>
        <w:rPr>
          <w:b w:val="0"/>
          <w:bCs/>
        </w:rPr>
      </w:pPr>
      <w:r w:rsidRPr="00BB20E3">
        <w:rPr>
          <w:b w:val="0"/>
          <w:bCs/>
        </w:rPr>
        <w:t>- Timer adjustments for PDCP/RLC/MAC for NTN operation.</w:t>
      </w:r>
    </w:p>
    <w:p w14:paraId="56F03C20" w14:textId="77777777" w:rsidR="00BB20E3" w:rsidRPr="00BB20E3" w:rsidRDefault="00BB20E3" w:rsidP="00BB20E3">
      <w:pPr>
        <w:pStyle w:val="Agreement"/>
        <w:numPr>
          <w:ilvl w:val="0"/>
          <w:numId w:val="0"/>
        </w:numPr>
        <w:tabs>
          <w:tab w:val="left" w:pos="720"/>
        </w:tabs>
        <w:ind w:left="1619"/>
        <w:rPr>
          <w:b w:val="0"/>
          <w:bCs/>
        </w:rPr>
      </w:pPr>
      <w:r w:rsidRPr="00BB20E3">
        <w:rPr>
          <w:b w:val="0"/>
          <w:bCs/>
        </w:rPr>
        <w:t>- Acquisition of new SIB for IoT-NTN access</w:t>
      </w:r>
    </w:p>
    <w:p w14:paraId="593F7B94" w14:textId="77777777" w:rsidR="00BB20E3" w:rsidRPr="00BB20E3" w:rsidRDefault="00BB20E3" w:rsidP="00BB20E3">
      <w:pPr>
        <w:pStyle w:val="Agreement"/>
        <w:numPr>
          <w:ilvl w:val="0"/>
          <w:numId w:val="0"/>
        </w:numPr>
        <w:tabs>
          <w:tab w:val="left" w:pos="720"/>
        </w:tabs>
        <w:ind w:left="1619"/>
        <w:rPr>
          <w:b w:val="0"/>
          <w:bCs/>
        </w:rPr>
      </w:pPr>
      <w:r w:rsidRPr="00BB20E3">
        <w:rPr>
          <w:b w:val="0"/>
          <w:bCs/>
        </w:rPr>
        <w:t>- GNSS Support.</w:t>
      </w:r>
    </w:p>
    <w:p w14:paraId="7374C271" w14:textId="033484B0" w:rsidR="00BB20E3" w:rsidRPr="00BB20E3" w:rsidRDefault="00BB20E3" w:rsidP="00BB20E3">
      <w:pPr>
        <w:pStyle w:val="Agreement"/>
        <w:numPr>
          <w:ilvl w:val="0"/>
          <w:numId w:val="16"/>
        </w:numPr>
        <w:tabs>
          <w:tab w:val="clear" w:pos="360"/>
          <w:tab w:val="num" w:pos="1619"/>
        </w:tabs>
        <w:ind w:left="1619"/>
        <w:rPr>
          <w:b w:val="0"/>
          <w:bCs/>
        </w:rPr>
      </w:pPr>
      <w:r w:rsidRPr="00BB20E3">
        <w:rPr>
          <w:b w:val="0"/>
          <w:bCs/>
        </w:rPr>
        <w:t>FFS whether Support for soft TA switching procedure is optional for IoT-NTN UE.</w:t>
      </w:r>
    </w:p>
    <w:p w14:paraId="6154558C" w14:textId="10D30552" w:rsidR="00BB20E3" w:rsidRPr="00BB20E3" w:rsidRDefault="00BB20E3" w:rsidP="00BB20E3">
      <w:pPr>
        <w:pStyle w:val="Agreement"/>
        <w:numPr>
          <w:ilvl w:val="0"/>
          <w:numId w:val="16"/>
        </w:numPr>
        <w:tabs>
          <w:tab w:val="clear" w:pos="360"/>
          <w:tab w:val="num" w:pos="1619"/>
        </w:tabs>
        <w:ind w:left="1619"/>
        <w:rPr>
          <w:b w:val="0"/>
          <w:bCs/>
        </w:rPr>
      </w:pPr>
      <w:r w:rsidRPr="00BB20E3">
        <w:rPr>
          <w:b w:val="0"/>
          <w:bCs/>
        </w:rPr>
        <w:t xml:space="preserve">FFS whether Support for PUR Timer modifications is optional for IoT-NTN UE that supports PUR for terrestrial case. </w:t>
      </w:r>
    </w:p>
    <w:p w14:paraId="7B62B64B" w14:textId="0A7FC2CF" w:rsidR="00BB20E3" w:rsidRPr="00BB20E3" w:rsidRDefault="00BB20E3" w:rsidP="00BB20E3">
      <w:pPr>
        <w:pStyle w:val="Agreement"/>
        <w:numPr>
          <w:ilvl w:val="0"/>
          <w:numId w:val="16"/>
        </w:numPr>
        <w:tabs>
          <w:tab w:val="clear" w:pos="360"/>
          <w:tab w:val="num" w:pos="1619"/>
        </w:tabs>
        <w:ind w:left="1619"/>
        <w:rPr>
          <w:b w:val="0"/>
          <w:bCs/>
        </w:rPr>
      </w:pPr>
      <w:r w:rsidRPr="00BB20E3">
        <w:rPr>
          <w:b w:val="0"/>
          <w:bCs/>
        </w:rPr>
        <w:t>TA Reporting is optional for IoT-NTN UE with separate capability indication from UE</w:t>
      </w:r>
    </w:p>
    <w:p w14:paraId="14F864AB" w14:textId="6261232A" w:rsidR="00BB20E3" w:rsidRPr="00BB20E3" w:rsidRDefault="00BB20E3" w:rsidP="00BB20E3">
      <w:pPr>
        <w:pStyle w:val="Agreement"/>
        <w:numPr>
          <w:ilvl w:val="0"/>
          <w:numId w:val="16"/>
        </w:numPr>
        <w:tabs>
          <w:tab w:val="clear" w:pos="360"/>
          <w:tab w:val="num" w:pos="1619"/>
        </w:tabs>
        <w:ind w:left="1619"/>
        <w:rPr>
          <w:b w:val="0"/>
          <w:bCs/>
        </w:rPr>
      </w:pPr>
      <w:r w:rsidRPr="00BB20E3">
        <w:rPr>
          <w:b w:val="0"/>
          <w:bCs/>
        </w:rPr>
        <w:t>Capability bit signalling is not needed for support of cell reselection based on timer functionality. UE not having this capability will follow legacy cell reselection behaviour.</w:t>
      </w:r>
    </w:p>
    <w:p w14:paraId="183AACB2" w14:textId="438EE34A" w:rsidR="00BB20E3" w:rsidRPr="00BB20E3" w:rsidRDefault="00BB20E3" w:rsidP="00BB20E3">
      <w:pPr>
        <w:pStyle w:val="Agreement"/>
        <w:numPr>
          <w:ilvl w:val="0"/>
          <w:numId w:val="16"/>
        </w:numPr>
        <w:tabs>
          <w:tab w:val="clear" w:pos="360"/>
          <w:tab w:val="num" w:pos="1619"/>
        </w:tabs>
        <w:ind w:left="1619"/>
        <w:rPr>
          <w:b w:val="0"/>
          <w:bCs/>
        </w:rPr>
      </w:pPr>
      <w:r w:rsidRPr="00BB20E3">
        <w:rPr>
          <w:b w:val="0"/>
          <w:bCs/>
        </w:rPr>
        <w:t xml:space="preserve">FFS if the Existing CHO capability indication can be reused for IoT-NTN CHO (FFS if it can be applied to terrestrial case). </w:t>
      </w:r>
    </w:p>
    <w:p w14:paraId="1DFFE176" w14:textId="5BB27056" w:rsidR="00BB20E3" w:rsidRPr="00BB20E3" w:rsidRDefault="00BB20E3" w:rsidP="00BB20E3">
      <w:pPr>
        <w:pStyle w:val="Agreement"/>
        <w:numPr>
          <w:ilvl w:val="0"/>
          <w:numId w:val="16"/>
        </w:numPr>
        <w:tabs>
          <w:tab w:val="clear" w:pos="360"/>
          <w:tab w:val="num" w:pos="1619"/>
        </w:tabs>
        <w:ind w:left="1619"/>
        <w:rPr>
          <w:b w:val="0"/>
          <w:bCs/>
        </w:rPr>
      </w:pPr>
      <w:r w:rsidRPr="00BB20E3">
        <w:rPr>
          <w:b w:val="0"/>
          <w:bCs/>
        </w:rPr>
        <w:t xml:space="preserve">FFS whether Capability Indication of existing IoT-Features until Rel-16 are reused in NTN, or to what extent they need to be duplicated to allow for different Interop Test (IOT) Status.  </w:t>
      </w:r>
    </w:p>
    <w:p w14:paraId="7C793991" w14:textId="77777777" w:rsidR="00BB20E3" w:rsidRDefault="00BB20E3" w:rsidP="00BB20E3">
      <w:pPr>
        <w:pStyle w:val="Doc-text2"/>
        <w:ind w:left="0" w:firstLine="0"/>
        <w:rPr>
          <w:lang w:val="en-US"/>
        </w:rPr>
      </w:pPr>
    </w:p>
    <w:p w14:paraId="040EBA17" w14:textId="229CEDB3" w:rsidR="00BB20E3" w:rsidRDefault="00BB20E3" w:rsidP="00E15320">
      <w:r>
        <w:t>In this discuss we further analyse the remaining open issues as per the above agreements and proposals for further specification work</w:t>
      </w:r>
    </w:p>
    <w:p w14:paraId="4F547731" w14:textId="2A1A2763" w:rsidR="00A209D6" w:rsidRDefault="00A209D6" w:rsidP="00B7538C">
      <w:pPr>
        <w:pStyle w:val="Heading1"/>
      </w:pPr>
      <w:r w:rsidRPr="006E13D1">
        <w:t>2</w:t>
      </w:r>
      <w:r w:rsidRPr="006E13D1">
        <w:tab/>
      </w:r>
      <w:r w:rsidR="00E15320">
        <w:t>Discussion</w:t>
      </w:r>
    </w:p>
    <w:p w14:paraId="10183366" w14:textId="4E0ECB77" w:rsidR="000E148C" w:rsidRDefault="00BB20E3" w:rsidP="000E148C">
      <w:r>
        <w:t xml:space="preserve">As the system information contents will not provide specific indication on whether the cell is LEO or GEO. </w:t>
      </w:r>
      <w:r w:rsidR="00EE6412">
        <w:t>Moreover,</w:t>
      </w:r>
      <w:r>
        <w:t xml:space="preserve"> there is UE capability differentiation for LEO and GEO NTN access defined till now. It is possible to know that whether cell belongs to moving cell system or not based on system information broadcasting multiple TAC. But if there is single capability for NTN access for LEO and GEO, and if the UE does not support soft TA procedure it should not be allowed to camp onto the cell. This will require further specification changes related to </w:t>
      </w:r>
      <w:r w:rsidR="00EE6412">
        <w:t xml:space="preserve">cell selection and initial camping procedure. </w:t>
      </w:r>
    </w:p>
    <w:p w14:paraId="28A0763D" w14:textId="6A77031A" w:rsidR="00392DCA" w:rsidRDefault="00392DCA" w:rsidP="000E148C">
      <w:pPr>
        <w:rPr>
          <w:b/>
          <w:bCs/>
        </w:rPr>
      </w:pPr>
      <w:r w:rsidRPr="00392DCA">
        <w:rPr>
          <w:b/>
          <w:bCs/>
        </w:rPr>
        <w:t xml:space="preserve">Proposal 1: </w:t>
      </w:r>
      <w:r>
        <w:rPr>
          <w:b/>
          <w:bCs/>
        </w:rPr>
        <w:t xml:space="preserve">If support for soft TA switching is optional UE capability, RAN2 to discuss the specification impacts for cell selection procedure for the UE </w:t>
      </w:r>
      <w:r w:rsidR="001A0667">
        <w:rPr>
          <w:b/>
          <w:bCs/>
        </w:rPr>
        <w:t>on accessing the cell broadcasting multiple TAC.</w:t>
      </w:r>
    </w:p>
    <w:p w14:paraId="1EE578D1" w14:textId="2A1D5B3C" w:rsidR="001A0667" w:rsidRDefault="001A0667" w:rsidP="00ED5893">
      <w:r>
        <w:t xml:space="preserve">The enhancements to PUR functionality can be introduced as separate capability for IoT-NTN access in addition to the existing PUR capability. This allows reuse of PUR capability indication as such for scenario where it can be used </w:t>
      </w:r>
      <w:r>
        <w:lastRenderedPageBreak/>
        <w:t>without extensio</w:t>
      </w:r>
      <w:r w:rsidR="009876AE">
        <w:t xml:space="preserve">n such as LEO.  Network can decide on activating the feature based on basic and additional capability of the UE. This separation also </w:t>
      </w:r>
      <w:proofErr w:type="gramStart"/>
      <w:r w:rsidR="009876AE">
        <w:t>help</w:t>
      </w:r>
      <w:proofErr w:type="gramEnd"/>
      <w:r w:rsidR="009876AE">
        <w:t xml:space="preserve"> to enable PUR operation without the timer enhancements for sone NTN scenario where timer extension is not needed such as HAPS.</w:t>
      </w:r>
    </w:p>
    <w:p w14:paraId="525C4B55" w14:textId="156DD8BF" w:rsidR="009876AE" w:rsidRDefault="009876AE" w:rsidP="009876AE">
      <w:pPr>
        <w:rPr>
          <w:b/>
          <w:bCs/>
        </w:rPr>
      </w:pPr>
      <w:r w:rsidRPr="00392DCA">
        <w:rPr>
          <w:b/>
          <w:bCs/>
        </w:rPr>
        <w:t xml:space="preserve">Proposal </w:t>
      </w:r>
      <w:r>
        <w:rPr>
          <w:b/>
          <w:bCs/>
        </w:rPr>
        <w:t>2</w:t>
      </w:r>
      <w:r w:rsidRPr="00392DCA">
        <w:rPr>
          <w:b/>
          <w:bCs/>
        </w:rPr>
        <w:t xml:space="preserve">: </w:t>
      </w:r>
      <w:r>
        <w:rPr>
          <w:b/>
          <w:bCs/>
        </w:rPr>
        <w:t>PUR Timer extension is introduced as separate capability Indication for IoT-NTN.</w:t>
      </w:r>
    </w:p>
    <w:p w14:paraId="5A9D4BFC" w14:textId="23200827" w:rsidR="000E148C" w:rsidRDefault="001A0667" w:rsidP="00ED5893">
      <w:r>
        <w:t>For eMTC-NTN UE, the existing capability indication of LTE CHO can be reused with additional clarification that this capability is applicable only if UE is accessing the NTN cell.  As connected mode mobility robustness is not important feature for eMTC Terrestrial devices we don’t see need to extend the applicability for terrestrial eMTC devices.</w:t>
      </w:r>
    </w:p>
    <w:p w14:paraId="7CDE07D3" w14:textId="5A0338B9" w:rsidR="001A0667" w:rsidRDefault="001A0667" w:rsidP="001A0667">
      <w:pPr>
        <w:rPr>
          <w:b/>
          <w:bCs/>
        </w:rPr>
      </w:pPr>
      <w:r w:rsidRPr="00392DCA">
        <w:rPr>
          <w:b/>
          <w:bCs/>
        </w:rPr>
        <w:t xml:space="preserve">Proposal </w:t>
      </w:r>
      <w:r w:rsidR="009876AE">
        <w:rPr>
          <w:b/>
          <w:bCs/>
        </w:rPr>
        <w:t>3</w:t>
      </w:r>
      <w:r w:rsidRPr="00392DCA">
        <w:rPr>
          <w:b/>
          <w:bCs/>
        </w:rPr>
        <w:t xml:space="preserve">: </w:t>
      </w:r>
      <w:r>
        <w:rPr>
          <w:b/>
          <w:bCs/>
        </w:rPr>
        <w:t>LTE CHO capability indication can be re-used for eMTC-NTN with additional clarification that for eMTC device feature is applicable only for NTN access.</w:t>
      </w:r>
    </w:p>
    <w:p w14:paraId="48A3F649" w14:textId="6FAB761F" w:rsidR="009876AE" w:rsidRDefault="009876AE" w:rsidP="001A0667">
      <w:r>
        <w:t xml:space="preserve">During the study phase, on the applicability of existing IoT features until Rel-16 for NTN access RAN2 concluded that all features are considered as supported for NTN unless issues or need for modifications are identified for specific features. This also implies that these feature capabilities can be as such re-used for IoT-NTN without introducing separate indication for NTN access. Only for the features which requires special changes for NTN access separate indication will be needed. </w:t>
      </w:r>
    </w:p>
    <w:p w14:paraId="1FDF6E1D" w14:textId="0C7ECEB9" w:rsidR="009876AE" w:rsidRPr="009876AE" w:rsidRDefault="009876AE" w:rsidP="001A0667">
      <w:r>
        <w:t xml:space="preserve">In our view, IoT-NTN device will be modification of terrestrial IoT device for NTN access based on specific release as decided by the UE vendor. </w:t>
      </w:r>
      <w:proofErr w:type="gramStart"/>
      <w:r>
        <w:t>So</w:t>
      </w:r>
      <w:proofErr w:type="gramEnd"/>
      <w:r>
        <w:t xml:space="preserve"> all the UE capabilities of base IoT will be inherited for IoT-NTN UE. Introducing separate capability indication for all the features is not needed until the scenario where some basic features needed for NTN but not required for </w:t>
      </w:r>
      <w:r w:rsidR="001054AE">
        <w:t>TN is established.</w:t>
      </w:r>
    </w:p>
    <w:p w14:paraId="7E4A20EC" w14:textId="45A9E8F7" w:rsidR="001A0667" w:rsidRPr="00FB24E8" w:rsidRDefault="001054AE" w:rsidP="00ED5893">
      <w:r>
        <w:rPr>
          <w:b/>
          <w:bCs/>
        </w:rPr>
        <w:t xml:space="preserve">Proposal 4: Reuse of </w:t>
      </w:r>
      <w:r w:rsidRPr="00BB20E3">
        <w:rPr>
          <w:b/>
          <w:bCs/>
        </w:rPr>
        <w:t xml:space="preserve">Capability Indication of existing IoT-Features until Rel-16 </w:t>
      </w:r>
      <w:r>
        <w:rPr>
          <w:b/>
          <w:bCs/>
        </w:rPr>
        <w:t>for IoT-NTN is considered as basis for the applicability of these feature</w:t>
      </w:r>
      <w:r w:rsidR="00364EE1">
        <w:rPr>
          <w:b/>
          <w:bCs/>
        </w:rPr>
        <w:t>s for NTN</w:t>
      </w:r>
      <w:r>
        <w:rPr>
          <w:b/>
          <w:bCs/>
        </w:rPr>
        <w:t>. Duplication of capability indication for specific feature can be supported if the need is justified.</w:t>
      </w:r>
    </w:p>
    <w:p w14:paraId="5FF2457F" w14:textId="11A84A2C" w:rsidR="00A209D6" w:rsidRPr="006E13D1" w:rsidRDefault="00A209D6" w:rsidP="00A209D6">
      <w:pPr>
        <w:pStyle w:val="Heading1"/>
      </w:pPr>
      <w:r w:rsidRPr="006E13D1">
        <w:t>4</w:t>
      </w:r>
      <w:r w:rsidRPr="006E13D1">
        <w:tab/>
      </w:r>
      <w:r w:rsidR="008C3057">
        <w:t>Conclusion</w:t>
      </w:r>
    </w:p>
    <w:p w14:paraId="7CCD81EB" w14:textId="418F4597" w:rsidR="00576C6A" w:rsidRDefault="00117FBB" w:rsidP="004F73A7">
      <w:r>
        <w:t>In this discussion paper we analyse the UE capabilities and associated signalling procedures required for IoT-NTN. We make following proposals based on the analysis.</w:t>
      </w:r>
    </w:p>
    <w:p w14:paraId="3206C9F7" w14:textId="219925CD" w:rsidR="00364EE1" w:rsidRDefault="00364EE1" w:rsidP="00364EE1">
      <w:pPr>
        <w:rPr>
          <w:b/>
          <w:bCs/>
        </w:rPr>
      </w:pPr>
      <w:r w:rsidRPr="00392DCA">
        <w:rPr>
          <w:b/>
          <w:bCs/>
        </w:rPr>
        <w:t xml:space="preserve">Proposal 1: </w:t>
      </w:r>
      <w:r>
        <w:rPr>
          <w:b/>
          <w:bCs/>
        </w:rPr>
        <w:t>If support for soft TA switching is optional UE capability, RAN2 to discuss the specification impacts for cell selection procedure for the UE on accessing the cell broadcasting multiple TAC.</w:t>
      </w:r>
    </w:p>
    <w:p w14:paraId="7D2AF11D" w14:textId="77777777" w:rsidR="00364EE1" w:rsidRDefault="00364EE1" w:rsidP="00364EE1">
      <w:pPr>
        <w:rPr>
          <w:b/>
          <w:bCs/>
        </w:rPr>
      </w:pPr>
      <w:r w:rsidRPr="00392DCA">
        <w:rPr>
          <w:b/>
          <w:bCs/>
        </w:rPr>
        <w:t xml:space="preserve">Proposal </w:t>
      </w:r>
      <w:r>
        <w:rPr>
          <w:b/>
          <w:bCs/>
        </w:rPr>
        <w:t>2</w:t>
      </w:r>
      <w:r w:rsidRPr="00392DCA">
        <w:rPr>
          <w:b/>
          <w:bCs/>
        </w:rPr>
        <w:t xml:space="preserve">: </w:t>
      </w:r>
      <w:r>
        <w:rPr>
          <w:b/>
          <w:bCs/>
        </w:rPr>
        <w:t>PUR Timer extension is introduced as separate capability Indication for IoT-NTN.</w:t>
      </w:r>
    </w:p>
    <w:p w14:paraId="49F43A65" w14:textId="1FBFAC90" w:rsidR="00364EE1" w:rsidRDefault="00364EE1" w:rsidP="00364EE1">
      <w:pPr>
        <w:rPr>
          <w:b/>
          <w:bCs/>
        </w:rPr>
      </w:pPr>
      <w:r w:rsidRPr="00392DCA">
        <w:rPr>
          <w:b/>
          <w:bCs/>
        </w:rPr>
        <w:t xml:space="preserve">Proposal </w:t>
      </w:r>
      <w:r>
        <w:rPr>
          <w:b/>
          <w:bCs/>
        </w:rPr>
        <w:t>3</w:t>
      </w:r>
      <w:r w:rsidRPr="00392DCA">
        <w:rPr>
          <w:b/>
          <w:bCs/>
        </w:rPr>
        <w:t xml:space="preserve">: </w:t>
      </w:r>
      <w:r>
        <w:rPr>
          <w:b/>
          <w:bCs/>
        </w:rPr>
        <w:t>LTE CHO capability indication can be re-used for eMTC-NTN with additional clarification that for eMTC device feature is applicable only for NTN access.</w:t>
      </w:r>
    </w:p>
    <w:p w14:paraId="55011BBF" w14:textId="77777777" w:rsidR="00364EE1" w:rsidRPr="00FB24E8" w:rsidRDefault="00364EE1" w:rsidP="00364EE1">
      <w:r>
        <w:rPr>
          <w:b/>
          <w:bCs/>
        </w:rPr>
        <w:t xml:space="preserve">Proposal 4: Reuse of </w:t>
      </w:r>
      <w:r w:rsidRPr="00BB20E3">
        <w:rPr>
          <w:b/>
          <w:bCs/>
        </w:rPr>
        <w:t xml:space="preserve">Capability Indication of existing IoT-Features until Rel-16 </w:t>
      </w:r>
      <w:r>
        <w:rPr>
          <w:b/>
          <w:bCs/>
        </w:rPr>
        <w:t>for IoT-NTN is considered as basis for the applicability of these features for NTN. Duplication of capability indication for specific feature can be supported if the need is justified.</w:t>
      </w:r>
    </w:p>
    <w:p w14:paraId="0B4BFCB9" w14:textId="77777777" w:rsidR="00364EE1" w:rsidRDefault="00364EE1" w:rsidP="00364EE1">
      <w:pPr>
        <w:rPr>
          <w:b/>
          <w:bCs/>
        </w:rPr>
      </w:pPr>
    </w:p>
    <w:p w14:paraId="306D869A" w14:textId="77777777" w:rsidR="00117FBB" w:rsidRDefault="00117FBB" w:rsidP="004F73A7"/>
    <w:p w14:paraId="35F222F4" w14:textId="318DC54C" w:rsidR="00080512" w:rsidRDefault="00E15320" w:rsidP="00F54D75">
      <w:pPr>
        <w:pStyle w:val="Heading1"/>
      </w:pPr>
      <w:r>
        <w:t>Reference</w:t>
      </w:r>
    </w:p>
    <w:p w14:paraId="26D6D485" w14:textId="6288BE1F" w:rsidR="007A08AC" w:rsidRDefault="007A08AC" w:rsidP="007A08AC">
      <w:r>
        <w:t xml:space="preserve">[1] </w:t>
      </w:r>
      <w:r w:rsidRPr="007A08AC">
        <w:rPr>
          <w:rFonts w:hint="eastAsia"/>
        </w:rPr>
        <w:t>R</w:t>
      </w:r>
      <w:r w:rsidRPr="007A08AC">
        <w:t>2</w:t>
      </w:r>
      <w:r w:rsidRPr="007A08AC">
        <w:rPr>
          <w:rFonts w:hint="eastAsia"/>
        </w:rPr>
        <w:t>-</w:t>
      </w:r>
      <w:r w:rsidRPr="007A08AC">
        <w:t>2107813 Analysis on mobility aspects for IoT-NTN</w:t>
      </w:r>
    </w:p>
    <w:p w14:paraId="32F2930A" w14:textId="16EBAD4A" w:rsidR="00925E3F" w:rsidRDefault="00925E3F" w:rsidP="007A08AC">
      <w:r>
        <w:t>[2] R2-2200040 :</w:t>
      </w:r>
      <w:r w:rsidR="00364EE1">
        <w:t xml:space="preserve"> R</w:t>
      </w:r>
      <w:r>
        <w:t>eport on e-mail discussion on NR-NTN UE capabilities</w:t>
      </w:r>
    </w:p>
    <w:p w14:paraId="6A639CC3" w14:textId="2086D5E5" w:rsidR="00364EE1" w:rsidRPr="007A08AC" w:rsidRDefault="00364EE1" w:rsidP="007A08AC">
      <w:r>
        <w:t xml:space="preserve">[3] </w:t>
      </w:r>
      <w:r w:rsidRPr="00364EE1">
        <w:t>R2-2201981</w:t>
      </w:r>
      <w:r w:rsidRPr="00364EE1">
        <w:t xml:space="preserve"> </w:t>
      </w:r>
      <w:r w:rsidRPr="00364EE1">
        <w:t>Discussion on [AT116bis-e][047][IoT-NTN] UE capabilities</w:t>
      </w:r>
    </w:p>
    <w:p w14:paraId="648C869A" w14:textId="24D11A00" w:rsidR="00F54D75" w:rsidRDefault="00F54D75" w:rsidP="00F54D75"/>
    <w:p w14:paraId="62C154C9" w14:textId="77777777" w:rsidR="009B589C" w:rsidRPr="009B589C" w:rsidRDefault="009B589C" w:rsidP="009B589C"/>
    <w:p w14:paraId="04DF38A9" w14:textId="77777777" w:rsidR="00F54D75" w:rsidRPr="00F54D75" w:rsidRDefault="00F54D75" w:rsidP="00F54D75"/>
    <w:sectPr w:rsidR="00F54D75" w:rsidRPr="00F54D7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C4455" w14:textId="77777777" w:rsidR="00880903" w:rsidRDefault="00880903">
      <w:r>
        <w:separator/>
      </w:r>
    </w:p>
  </w:endnote>
  <w:endnote w:type="continuationSeparator" w:id="0">
    <w:p w14:paraId="681ADEC5" w14:textId="77777777" w:rsidR="00880903" w:rsidRDefault="00880903">
      <w:r>
        <w:continuationSeparator/>
      </w:r>
    </w:p>
  </w:endnote>
  <w:endnote w:type="continuationNotice" w:id="1">
    <w:p w14:paraId="7CB828FD" w14:textId="77777777" w:rsidR="00880903" w:rsidRDefault="00880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33AF1" w14:textId="77777777" w:rsidR="00880903" w:rsidRDefault="00880903">
      <w:r>
        <w:separator/>
      </w:r>
    </w:p>
  </w:footnote>
  <w:footnote w:type="continuationSeparator" w:id="0">
    <w:p w14:paraId="2745A75D" w14:textId="77777777" w:rsidR="00880903" w:rsidRDefault="00880903">
      <w:r>
        <w:continuationSeparator/>
      </w:r>
    </w:p>
  </w:footnote>
  <w:footnote w:type="continuationNotice" w:id="1">
    <w:p w14:paraId="47E4D8FB" w14:textId="77777777" w:rsidR="00880903" w:rsidRDefault="008809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F36FE"/>
    <w:multiLevelType w:val="hybridMultilevel"/>
    <w:tmpl w:val="002A8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472A4F"/>
    <w:multiLevelType w:val="hybridMultilevel"/>
    <w:tmpl w:val="9B020A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6E803AF"/>
    <w:multiLevelType w:val="hybridMultilevel"/>
    <w:tmpl w:val="E548B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432E3D"/>
    <w:multiLevelType w:val="hybridMultilevel"/>
    <w:tmpl w:val="2C285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1"/>
  </w:num>
  <w:num w:numId="7">
    <w:abstractNumId w:val="12"/>
  </w:num>
  <w:num w:numId="8">
    <w:abstractNumId w:val="3"/>
  </w:num>
  <w:num w:numId="9">
    <w:abstractNumId w:val="13"/>
  </w:num>
  <w:num w:numId="10">
    <w:abstractNumId w:val="1"/>
  </w:num>
  <w:num w:numId="11">
    <w:abstractNumId w:val="7"/>
  </w:num>
  <w:num w:numId="12">
    <w:abstractNumId w:val="4"/>
  </w:num>
  <w:num w:numId="13">
    <w:abstractNumId w:val="5"/>
  </w:num>
  <w:num w:numId="14">
    <w:abstractNumId w:val="6"/>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CE"/>
    <w:rsid w:val="00005745"/>
    <w:rsid w:val="00005A57"/>
    <w:rsid w:val="00016557"/>
    <w:rsid w:val="00023C40"/>
    <w:rsid w:val="00033397"/>
    <w:rsid w:val="00040095"/>
    <w:rsid w:val="00065268"/>
    <w:rsid w:val="00073C9C"/>
    <w:rsid w:val="00080512"/>
    <w:rsid w:val="00090468"/>
    <w:rsid w:val="00094568"/>
    <w:rsid w:val="000B7BCF"/>
    <w:rsid w:val="000C522B"/>
    <w:rsid w:val="000D58AB"/>
    <w:rsid w:val="000E148C"/>
    <w:rsid w:val="001054AE"/>
    <w:rsid w:val="00112F1A"/>
    <w:rsid w:val="00117FBB"/>
    <w:rsid w:val="00133068"/>
    <w:rsid w:val="00145075"/>
    <w:rsid w:val="001656EB"/>
    <w:rsid w:val="001741A0"/>
    <w:rsid w:val="00175FA0"/>
    <w:rsid w:val="00194CD0"/>
    <w:rsid w:val="001A0667"/>
    <w:rsid w:val="001B49C9"/>
    <w:rsid w:val="001C23F4"/>
    <w:rsid w:val="001C4F79"/>
    <w:rsid w:val="001F168B"/>
    <w:rsid w:val="001F7831"/>
    <w:rsid w:val="00204045"/>
    <w:rsid w:val="0020712B"/>
    <w:rsid w:val="00217FEB"/>
    <w:rsid w:val="0022606D"/>
    <w:rsid w:val="00231728"/>
    <w:rsid w:val="00244A05"/>
    <w:rsid w:val="00250404"/>
    <w:rsid w:val="002610D8"/>
    <w:rsid w:val="002747EC"/>
    <w:rsid w:val="002855BF"/>
    <w:rsid w:val="002900A4"/>
    <w:rsid w:val="002C20C3"/>
    <w:rsid w:val="002D55FF"/>
    <w:rsid w:val="002E1A60"/>
    <w:rsid w:val="002E56B9"/>
    <w:rsid w:val="002F0D22"/>
    <w:rsid w:val="002F3EC5"/>
    <w:rsid w:val="002F5AEE"/>
    <w:rsid w:val="003103FF"/>
    <w:rsid w:val="00311B17"/>
    <w:rsid w:val="00311B5F"/>
    <w:rsid w:val="0031225F"/>
    <w:rsid w:val="003172DC"/>
    <w:rsid w:val="00325AE3"/>
    <w:rsid w:val="00326069"/>
    <w:rsid w:val="0035462D"/>
    <w:rsid w:val="0036459E"/>
    <w:rsid w:val="00364B41"/>
    <w:rsid w:val="00364EE1"/>
    <w:rsid w:val="00375A51"/>
    <w:rsid w:val="00383096"/>
    <w:rsid w:val="00392DCA"/>
    <w:rsid w:val="0039346C"/>
    <w:rsid w:val="003A41EF"/>
    <w:rsid w:val="003A4B11"/>
    <w:rsid w:val="003B40AD"/>
    <w:rsid w:val="003C4E37"/>
    <w:rsid w:val="003D55F3"/>
    <w:rsid w:val="003E16BE"/>
    <w:rsid w:val="003E2087"/>
    <w:rsid w:val="003E26A4"/>
    <w:rsid w:val="003F4E28"/>
    <w:rsid w:val="003F5E20"/>
    <w:rsid w:val="003F6F71"/>
    <w:rsid w:val="004006E8"/>
    <w:rsid w:val="00401855"/>
    <w:rsid w:val="0040247A"/>
    <w:rsid w:val="00415A46"/>
    <w:rsid w:val="00427E64"/>
    <w:rsid w:val="00443C2C"/>
    <w:rsid w:val="00450584"/>
    <w:rsid w:val="00463AF8"/>
    <w:rsid w:val="00465587"/>
    <w:rsid w:val="00477455"/>
    <w:rsid w:val="00490004"/>
    <w:rsid w:val="00494FDB"/>
    <w:rsid w:val="004A1F7B"/>
    <w:rsid w:val="004B0E95"/>
    <w:rsid w:val="004B47F2"/>
    <w:rsid w:val="004C44D2"/>
    <w:rsid w:val="004D3578"/>
    <w:rsid w:val="004D380D"/>
    <w:rsid w:val="004E213A"/>
    <w:rsid w:val="004F4540"/>
    <w:rsid w:val="004F73A7"/>
    <w:rsid w:val="00503171"/>
    <w:rsid w:val="00506C28"/>
    <w:rsid w:val="00506E6E"/>
    <w:rsid w:val="00524B53"/>
    <w:rsid w:val="00534DA0"/>
    <w:rsid w:val="00543E6C"/>
    <w:rsid w:val="00565087"/>
    <w:rsid w:val="0056573F"/>
    <w:rsid w:val="00571279"/>
    <w:rsid w:val="00576C6A"/>
    <w:rsid w:val="00583A3D"/>
    <w:rsid w:val="005A0B4B"/>
    <w:rsid w:val="005A49C6"/>
    <w:rsid w:val="005C275B"/>
    <w:rsid w:val="00611566"/>
    <w:rsid w:val="00625EC5"/>
    <w:rsid w:val="006453A5"/>
    <w:rsid w:val="00646D99"/>
    <w:rsid w:val="0065258F"/>
    <w:rsid w:val="00656910"/>
    <w:rsid w:val="006574C0"/>
    <w:rsid w:val="00696821"/>
    <w:rsid w:val="00697897"/>
    <w:rsid w:val="006C66D8"/>
    <w:rsid w:val="006C7042"/>
    <w:rsid w:val="006D1E24"/>
    <w:rsid w:val="006D35DE"/>
    <w:rsid w:val="006E1057"/>
    <w:rsid w:val="006E1417"/>
    <w:rsid w:val="006F6A2C"/>
    <w:rsid w:val="00704645"/>
    <w:rsid w:val="007069DC"/>
    <w:rsid w:val="00710201"/>
    <w:rsid w:val="0072073A"/>
    <w:rsid w:val="007342B5"/>
    <w:rsid w:val="00734A5B"/>
    <w:rsid w:val="0073533C"/>
    <w:rsid w:val="00744E76"/>
    <w:rsid w:val="00757D40"/>
    <w:rsid w:val="00765690"/>
    <w:rsid w:val="007662B5"/>
    <w:rsid w:val="00781F0F"/>
    <w:rsid w:val="0078346C"/>
    <w:rsid w:val="0078727C"/>
    <w:rsid w:val="0079049D"/>
    <w:rsid w:val="00793DC5"/>
    <w:rsid w:val="00796823"/>
    <w:rsid w:val="007A08AC"/>
    <w:rsid w:val="007A2E55"/>
    <w:rsid w:val="007A76BE"/>
    <w:rsid w:val="007B18D8"/>
    <w:rsid w:val="007C095F"/>
    <w:rsid w:val="007C2DD0"/>
    <w:rsid w:val="007F2E08"/>
    <w:rsid w:val="008028A4"/>
    <w:rsid w:val="00811C19"/>
    <w:rsid w:val="00813245"/>
    <w:rsid w:val="00815031"/>
    <w:rsid w:val="00835CB6"/>
    <w:rsid w:val="00840C27"/>
    <w:rsid w:val="00840DE0"/>
    <w:rsid w:val="008607A8"/>
    <w:rsid w:val="0086354A"/>
    <w:rsid w:val="008768CA"/>
    <w:rsid w:val="00877EF9"/>
    <w:rsid w:val="00880559"/>
    <w:rsid w:val="00880903"/>
    <w:rsid w:val="00886131"/>
    <w:rsid w:val="008B4289"/>
    <w:rsid w:val="008B5306"/>
    <w:rsid w:val="008C022F"/>
    <w:rsid w:val="008C2E2A"/>
    <w:rsid w:val="008C3057"/>
    <w:rsid w:val="008C77A8"/>
    <w:rsid w:val="008D2E4D"/>
    <w:rsid w:val="008F396F"/>
    <w:rsid w:val="008F3DCD"/>
    <w:rsid w:val="0090271F"/>
    <w:rsid w:val="00902DB9"/>
    <w:rsid w:val="0090466A"/>
    <w:rsid w:val="00923655"/>
    <w:rsid w:val="00925E3F"/>
    <w:rsid w:val="00936071"/>
    <w:rsid w:val="009376CD"/>
    <w:rsid w:val="00940212"/>
    <w:rsid w:val="00942EC2"/>
    <w:rsid w:val="009472C0"/>
    <w:rsid w:val="0095349A"/>
    <w:rsid w:val="00961B32"/>
    <w:rsid w:val="00962509"/>
    <w:rsid w:val="00970094"/>
    <w:rsid w:val="00970DB3"/>
    <w:rsid w:val="00974BB0"/>
    <w:rsid w:val="00975BCD"/>
    <w:rsid w:val="009876AE"/>
    <w:rsid w:val="009928A9"/>
    <w:rsid w:val="009A0AF3"/>
    <w:rsid w:val="009A22D6"/>
    <w:rsid w:val="009B07CD"/>
    <w:rsid w:val="009B589C"/>
    <w:rsid w:val="009C19E9"/>
    <w:rsid w:val="009C33C4"/>
    <w:rsid w:val="009D5637"/>
    <w:rsid w:val="009D74A6"/>
    <w:rsid w:val="009E0E87"/>
    <w:rsid w:val="00A011BB"/>
    <w:rsid w:val="00A10F02"/>
    <w:rsid w:val="00A204CA"/>
    <w:rsid w:val="00A209D6"/>
    <w:rsid w:val="00A22738"/>
    <w:rsid w:val="00A430EC"/>
    <w:rsid w:val="00A53724"/>
    <w:rsid w:val="00A54B2B"/>
    <w:rsid w:val="00A636D6"/>
    <w:rsid w:val="00A73B3F"/>
    <w:rsid w:val="00A82346"/>
    <w:rsid w:val="00A9671C"/>
    <w:rsid w:val="00AA1553"/>
    <w:rsid w:val="00AB385B"/>
    <w:rsid w:val="00AE04EE"/>
    <w:rsid w:val="00B05380"/>
    <w:rsid w:val="00B05962"/>
    <w:rsid w:val="00B05DD0"/>
    <w:rsid w:val="00B15449"/>
    <w:rsid w:val="00B16C2F"/>
    <w:rsid w:val="00B22C6A"/>
    <w:rsid w:val="00B27303"/>
    <w:rsid w:val="00B47FD1"/>
    <w:rsid w:val="00B516BB"/>
    <w:rsid w:val="00B53AF8"/>
    <w:rsid w:val="00B606E6"/>
    <w:rsid w:val="00B72274"/>
    <w:rsid w:val="00B7538C"/>
    <w:rsid w:val="00B84DB2"/>
    <w:rsid w:val="00BA5752"/>
    <w:rsid w:val="00BB20E3"/>
    <w:rsid w:val="00BC3555"/>
    <w:rsid w:val="00C12B51"/>
    <w:rsid w:val="00C24650"/>
    <w:rsid w:val="00C25465"/>
    <w:rsid w:val="00C33079"/>
    <w:rsid w:val="00C55A12"/>
    <w:rsid w:val="00C6278C"/>
    <w:rsid w:val="00C6553E"/>
    <w:rsid w:val="00C65CA4"/>
    <w:rsid w:val="00C77CDA"/>
    <w:rsid w:val="00C8277C"/>
    <w:rsid w:val="00C83A13"/>
    <w:rsid w:val="00C86F10"/>
    <w:rsid w:val="00C9068C"/>
    <w:rsid w:val="00C92967"/>
    <w:rsid w:val="00CA3D0C"/>
    <w:rsid w:val="00CA654B"/>
    <w:rsid w:val="00CB72B8"/>
    <w:rsid w:val="00CD0BA8"/>
    <w:rsid w:val="00CD4088"/>
    <w:rsid w:val="00CD4C7B"/>
    <w:rsid w:val="00CD58FE"/>
    <w:rsid w:val="00CF4B42"/>
    <w:rsid w:val="00D33BE3"/>
    <w:rsid w:val="00D3792D"/>
    <w:rsid w:val="00D55E47"/>
    <w:rsid w:val="00D560C6"/>
    <w:rsid w:val="00D62E19"/>
    <w:rsid w:val="00D67CD1"/>
    <w:rsid w:val="00D738D6"/>
    <w:rsid w:val="00D80795"/>
    <w:rsid w:val="00D82DC0"/>
    <w:rsid w:val="00D854BE"/>
    <w:rsid w:val="00D87E00"/>
    <w:rsid w:val="00D9134D"/>
    <w:rsid w:val="00D96D11"/>
    <w:rsid w:val="00DA7A03"/>
    <w:rsid w:val="00DB0DB8"/>
    <w:rsid w:val="00DB1818"/>
    <w:rsid w:val="00DC309B"/>
    <w:rsid w:val="00DC4DA2"/>
    <w:rsid w:val="00DC5261"/>
    <w:rsid w:val="00DD19AC"/>
    <w:rsid w:val="00DD27CA"/>
    <w:rsid w:val="00DE25D2"/>
    <w:rsid w:val="00DF1978"/>
    <w:rsid w:val="00DF4467"/>
    <w:rsid w:val="00E15320"/>
    <w:rsid w:val="00E422EE"/>
    <w:rsid w:val="00E46C08"/>
    <w:rsid w:val="00E471CF"/>
    <w:rsid w:val="00E62835"/>
    <w:rsid w:val="00E63ED1"/>
    <w:rsid w:val="00E77645"/>
    <w:rsid w:val="00E83697"/>
    <w:rsid w:val="00E859B6"/>
    <w:rsid w:val="00EA66C9"/>
    <w:rsid w:val="00EC4A25"/>
    <w:rsid w:val="00ED5893"/>
    <w:rsid w:val="00EE6412"/>
    <w:rsid w:val="00EF612C"/>
    <w:rsid w:val="00F025A2"/>
    <w:rsid w:val="00F036E9"/>
    <w:rsid w:val="00F07388"/>
    <w:rsid w:val="00F1125E"/>
    <w:rsid w:val="00F2026E"/>
    <w:rsid w:val="00F2210A"/>
    <w:rsid w:val="00F23E2E"/>
    <w:rsid w:val="00F31372"/>
    <w:rsid w:val="00F37743"/>
    <w:rsid w:val="00F54A3D"/>
    <w:rsid w:val="00F54CB0"/>
    <w:rsid w:val="00F54D75"/>
    <w:rsid w:val="00F579CD"/>
    <w:rsid w:val="00F653B8"/>
    <w:rsid w:val="00F71B89"/>
    <w:rsid w:val="00F7353C"/>
    <w:rsid w:val="00F76F8F"/>
    <w:rsid w:val="00F87725"/>
    <w:rsid w:val="00F941DF"/>
    <w:rsid w:val="00FA1266"/>
    <w:rsid w:val="00FA6D4C"/>
    <w:rsid w:val="00FB24E8"/>
    <w:rsid w:val="00FB36FA"/>
    <w:rsid w:val="00FC1192"/>
    <w:rsid w:val="00FE08BE"/>
    <w:rsid w:val="00FE106D"/>
    <w:rsid w:val="00FE251B"/>
    <w:rsid w:val="00FE4AF8"/>
    <w:rsid w:val="00FF58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1532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basedOn w:val="Normal"/>
    <w:next w:val="Normal"/>
    <w:unhideWhenUsed/>
    <w:qFormat/>
    <w:rsid w:val="00490004"/>
    <w:pPr>
      <w:spacing w:after="200"/>
    </w:pPr>
    <w:rPr>
      <w:i/>
      <w:iCs/>
      <w:color w:val="44546A" w:themeColor="text2"/>
      <w:sz w:val="18"/>
      <w:szCs w:val="18"/>
    </w:rPr>
  </w:style>
  <w:style w:type="character" w:customStyle="1" w:styleId="Doc-text2Char">
    <w:name w:val="Doc-text2 Char"/>
    <w:basedOn w:val="DefaultParagraphFont"/>
    <w:link w:val="Doc-text2"/>
    <w:locked/>
    <w:rsid w:val="00BB20E3"/>
    <w:rPr>
      <w:rFonts w:ascii="Arial" w:hAnsi="Arial" w:cs="Arial"/>
    </w:rPr>
  </w:style>
  <w:style w:type="paragraph" w:customStyle="1" w:styleId="Doc-text2">
    <w:name w:val="Doc-text2"/>
    <w:basedOn w:val="Normal"/>
    <w:link w:val="Doc-text2Char"/>
    <w:rsid w:val="00BB20E3"/>
    <w:pPr>
      <w:spacing w:after="0"/>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3659536">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5AIRPNAIUNRU-859666464-10373</_dlc_DocId>
    <_dlc_DocIdUrl xmlns="71c5aaf6-e6ce-465b-b873-5148d2a4c105">
      <Url>https://nokia.sharepoint.com/sites/c5g/e2earch/_layouts/15/DocIdRedir.aspx?ID=5AIRPNAIUNRU-859666464-10373</Url>
      <Description>5AIRPNAIUNRU-859666464-10373</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09F8187-F91D-42FF-8EAD-23236267E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9704C-8EBA-4730-A25B-E9D885C74CFF}">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926</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2022-02-14T15:54:00Z</dcterms:created>
  <dcterms:modified xsi:type="dcterms:W3CDTF">2022-02-14T15:54:00Z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f3f01c7a-f068-4ace-9485-0a8f8dfd456c</vt:lpwstr>
  </property>
</Properties>
</file>