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a5"/>
            <w:bCs/>
            <w:noProof w:val="0"/>
            <w:sz w:val="24"/>
            <w:szCs w:val="24"/>
          </w:rPr>
          <w:t>R2-210xxxx</w:t>
        </w:r>
      </w:hyperlink>
    </w:p>
    <w:p w14:paraId="11776FA6" w14:textId="47A025C5" w:rsidR="00A209D6" w:rsidRPr="006D2AAA" w:rsidRDefault="009928A9" w:rsidP="00A209D6">
      <w:pPr>
        <w:pStyle w:val="a3"/>
        <w:tabs>
          <w:tab w:val="right" w:pos="9639"/>
        </w:tabs>
        <w:rPr>
          <w:rFonts w:eastAsia="宋体"/>
          <w:bCs/>
          <w:sz w:val="24"/>
          <w:szCs w:val="24"/>
          <w:lang w:eastAsia="zh-CN"/>
        </w:rPr>
      </w:pPr>
      <w:r w:rsidRPr="006D2AAA">
        <w:rPr>
          <w:rFonts w:eastAsia="宋体"/>
          <w:bCs/>
          <w:sz w:val="24"/>
          <w:szCs w:val="24"/>
          <w:lang w:eastAsia="zh-CN"/>
        </w:rPr>
        <w:t>Elbonia</w:t>
      </w:r>
      <w:r w:rsidR="006574C0" w:rsidRPr="006D2AAA">
        <w:rPr>
          <w:rFonts w:eastAsia="宋体"/>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a5"/>
          </w:rPr>
          <w:t>R2-2109353</w:t>
        </w:r>
      </w:hyperlink>
      <w:r w:rsidRPr="006D2AAA">
        <w:t xml:space="preserve">, </w:t>
      </w:r>
      <w:hyperlink r:id="rId14" w:history="1">
        <w:r w:rsidR="008A0714" w:rsidRPr="006D2AAA">
          <w:rPr>
            <w:rStyle w:val="a5"/>
          </w:rPr>
          <w:t>R2-2109353</w:t>
        </w:r>
      </w:hyperlink>
      <w:r w:rsidRPr="006D2AAA">
        <w:t xml:space="preserve">, </w:t>
      </w:r>
      <w:hyperlink r:id="rId15" w:history="1">
        <w:r w:rsidR="008A0714" w:rsidRPr="006D2AAA">
          <w:rPr>
            <w:rStyle w:val="a5"/>
          </w:rPr>
          <w:t>R2-2109889</w:t>
        </w:r>
      </w:hyperlink>
      <w:r w:rsidRPr="006D2AAA">
        <w:t xml:space="preserve">, </w:t>
      </w:r>
      <w:hyperlink r:id="rId16" w:history="1">
        <w:r w:rsidR="008A0714" w:rsidRPr="006D2AAA">
          <w:rPr>
            <w:rStyle w:val="a5"/>
          </w:rPr>
          <w:t>R2-2109890</w:t>
        </w:r>
      </w:hyperlink>
      <w:r w:rsidRPr="006D2AAA">
        <w:t xml:space="preserve">, </w:t>
      </w:r>
      <w:hyperlink r:id="rId17" w:history="1">
        <w:r w:rsidR="008A0714" w:rsidRPr="006D2AAA">
          <w:rPr>
            <w:rStyle w:val="a5"/>
          </w:rPr>
          <w:t>R2-2111153</w:t>
        </w:r>
      </w:hyperlink>
      <w:r w:rsidRPr="006D2AAA">
        <w:t xml:space="preserve">, </w:t>
      </w:r>
      <w:hyperlink r:id="rId18" w:history="1">
        <w:r w:rsidR="008A0714" w:rsidRPr="006D2AAA">
          <w:rPr>
            <w:rStyle w:val="a5"/>
          </w:rPr>
          <w:t>R2-2110787</w:t>
        </w:r>
      </w:hyperlink>
      <w:r w:rsidRPr="006D2AAA">
        <w:t xml:space="preserve">, </w:t>
      </w:r>
      <w:hyperlink r:id="rId19" w:history="1">
        <w:r w:rsidR="008A0714" w:rsidRPr="006D2AAA">
          <w:rPr>
            <w:rStyle w:val="a5"/>
          </w:rPr>
          <w:t>R2-2109794</w:t>
        </w:r>
      </w:hyperlink>
      <w:r w:rsidRPr="006D2AAA">
        <w:t xml:space="preserve">, </w:t>
      </w:r>
      <w:hyperlink r:id="rId20" w:history="1">
        <w:r w:rsidR="008A0714" w:rsidRPr="006D2AAA">
          <w:rPr>
            <w:rStyle w:val="a5"/>
          </w:rPr>
          <w:t>R2-2109795</w:t>
        </w:r>
      </w:hyperlink>
      <w:r w:rsidRPr="006D2AAA">
        <w:t xml:space="preserve">, </w:t>
      </w:r>
      <w:hyperlink r:id="rId21" w:history="1">
        <w:r w:rsidR="008A0714" w:rsidRPr="006D2AAA">
          <w:rPr>
            <w:rStyle w:val="a5"/>
          </w:rPr>
          <w:t>R2-2110086</w:t>
        </w:r>
      </w:hyperlink>
      <w:r w:rsidRPr="006D2AAA">
        <w:t xml:space="preserve">, </w:t>
      </w:r>
      <w:hyperlink r:id="rId22" w:history="1">
        <w:r w:rsidR="008A0714" w:rsidRPr="006D2AAA">
          <w:rPr>
            <w:rStyle w:val="a5"/>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BE2397" w:rsidP="004C7CF9">
      <w:pPr>
        <w:pStyle w:val="Doc-title"/>
      </w:pPr>
      <w:hyperlink r:id="rId23" w:history="1">
        <w:r w:rsidR="008A0714" w:rsidRPr="006D2AAA">
          <w:rPr>
            <w:rStyle w:val="a5"/>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BE2397" w:rsidP="004C7CF9">
      <w:pPr>
        <w:pStyle w:val="Doc-title"/>
      </w:pPr>
      <w:hyperlink r:id="rId24" w:history="1">
        <w:r w:rsidR="008A0714" w:rsidRPr="006D2AAA">
          <w:rPr>
            <w:rStyle w:val="a5"/>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BE2397" w:rsidP="004C7CF9">
      <w:pPr>
        <w:pStyle w:val="Doc-title"/>
      </w:pPr>
      <w:hyperlink r:id="rId25" w:history="1">
        <w:r w:rsidR="008A0714" w:rsidRPr="006D2AAA">
          <w:rPr>
            <w:rStyle w:val="a5"/>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BE2397" w:rsidP="004C7CF9">
      <w:pPr>
        <w:pStyle w:val="Doc-title"/>
      </w:pPr>
      <w:hyperlink r:id="rId26" w:history="1">
        <w:r w:rsidR="008A0714" w:rsidRPr="006D2AAA">
          <w:rPr>
            <w:rStyle w:val="a5"/>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BE2397" w:rsidP="004C7CF9">
      <w:pPr>
        <w:pStyle w:val="Doc-title"/>
      </w:pPr>
      <w:hyperlink r:id="rId27" w:history="1">
        <w:r w:rsidR="008A0714" w:rsidRPr="006D2AAA">
          <w:rPr>
            <w:rStyle w:val="a5"/>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BE2397" w:rsidP="004C7CF9">
      <w:pPr>
        <w:pStyle w:val="Doc-title"/>
      </w:pPr>
      <w:hyperlink r:id="rId28" w:history="1">
        <w:r w:rsidR="008A0714" w:rsidRPr="006D2AAA">
          <w:rPr>
            <w:rStyle w:val="a5"/>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BE2397" w:rsidP="004C7CF9">
      <w:pPr>
        <w:pStyle w:val="Doc-title"/>
      </w:pPr>
      <w:hyperlink r:id="rId29" w:history="1">
        <w:r w:rsidR="008A0714" w:rsidRPr="006D2AAA">
          <w:rPr>
            <w:rStyle w:val="a5"/>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BE2397" w:rsidP="004C7CF9">
      <w:pPr>
        <w:pStyle w:val="Doc-title"/>
      </w:pPr>
      <w:hyperlink r:id="rId30" w:history="1">
        <w:r w:rsidR="008A0714" w:rsidRPr="006D2AAA">
          <w:rPr>
            <w:rStyle w:val="a5"/>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BE2397" w:rsidP="004C7CF9">
      <w:pPr>
        <w:pStyle w:val="Doc-title"/>
      </w:pPr>
      <w:hyperlink r:id="rId31" w:history="1">
        <w:r w:rsidR="008A0714" w:rsidRPr="006D2AAA">
          <w:rPr>
            <w:rStyle w:val="a5"/>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BE2397" w:rsidP="00E764D2">
      <w:pPr>
        <w:pStyle w:val="Doc-title"/>
      </w:pPr>
      <w:hyperlink r:id="rId32" w:history="1">
        <w:r w:rsidR="008A0714" w:rsidRPr="006D2AAA">
          <w:rPr>
            <w:rStyle w:val="a5"/>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宋体"/>
                <w:lang w:eastAsia="zh-CN"/>
              </w:rPr>
            </w:pPr>
            <w:r>
              <w:rPr>
                <w:rFonts w:eastAsia="宋体" w:hint="eastAsia"/>
                <w:lang w:eastAsia="zh-CN"/>
              </w:rPr>
              <w:t>q</w:t>
            </w:r>
            <w:r>
              <w:rPr>
                <w:rFonts w:eastAsia="宋体"/>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B5F97" w:rsidRPr="006D2AAA" w:rsidRDefault="00CB5F97" w:rsidP="00CB5F97">
            <w:pPr>
              <w:pStyle w:val="TAC"/>
              <w:spacing w:before="20" w:after="20"/>
              <w:ind w:left="57" w:right="57"/>
              <w:jc w:val="left"/>
              <w:rPr>
                <w:lang w:eastAsia="zh-CN"/>
              </w:rPr>
            </w:pP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a5"/>
          </w:rPr>
          <w:t>R2-2109353</w:t>
        </w:r>
      </w:hyperlink>
      <w:r w:rsidRPr="006D2AAA">
        <w:t xml:space="preserve"> to both RAN1 and RAN2, and RAN1 already responded to it in </w:t>
      </w:r>
      <w:hyperlink r:id="rId34" w:history="1">
        <w:r w:rsidR="008A0714" w:rsidRPr="006D2AAA">
          <w:rPr>
            <w:rStyle w:val="a5"/>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a5"/>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if there is any limitation for the UL carrier positions (not just BWP positions) legacy UEs support for </w:t>
            </w:r>
            <w:r w:rsidRPr="006D2AAA">
              <w:rPr>
                <w:rFonts w:eastAsia="宋体" w:cs="Arial"/>
                <w:b w:val="0"/>
                <w:i/>
                <w:iCs/>
                <w:noProof w:val="0"/>
                <w:sz w:val="20"/>
                <w:lang w:eastAsia="zh-CN"/>
              </w:rPr>
              <w:t>uplinkChannelBW-PerSCS-List</w:t>
            </w:r>
            <w:r w:rsidRPr="006D2AAA">
              <w:rPr>
                <w:rFonts w:eastAsia="宋体" w:cs="Arial"/>
                <w:b w:val="0"/>
                <w:noProof w:val="0"/>
                <w:sz w:val="20"/>
                <w:lang w:eastAsia="zh-CN"/>
              </w:rPr>
              <w:t xml:space="preserve"> and </w:t>
            </w:r>
            <w:r w:rsidRPr="006D2AAA">
              <w:rPr>
                <w:rFonts w:eastAsia="宋体" w:cs="Arial"/>
                <w:b w:val="0"/>
                <w:i/>
                <w:iCs/>
                <w:noProof w:val="0"/>
                <w:sz w:val="20"/>
                <w:lang w:eastAsia="zh-CN"/>
              </w:rPr>
              <w:t>scs-SpecificCarrierList</w:t>
            </w:r>
            <w:r w:rsidRPr="006D2AAA">
              <w:rPr>
                <w:rFonts w:eastAsia="宋体"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宋体" w:cs="Arial"/>
                <w:b w:val="0"/>
                <w:noProof w:val="0"/>
                <w:color w:val="4472C4" w:themeColor="accent5"/>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宋体" w:cs="Arial"/>
                <w:b w:val="0"/>
                <w:noProof w:val="0"/>
                <w:sz w:val="20"/>
                <w:lang w:eastAsia="zh-CN"/>
              </w:rPr>
            </w:pPr>
          </w:p>
          <w:p w14:paraId="221C6D7F"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宋体" w:cs="Arial"/>
                <w:bCs/>
                <w:color w:val="00B050"/>
                <w:sz w:val="20"/>
                <w:lang w:val="en-US" w:eastAsia="zh-CN"/>
              </w:rPr>
            </w:pPr>
            <w:r>
              <w:rPr>
                <w:rFonts w:eastAsia="宋体"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宋体" w:cs="Arial"/>
                <w:bCs/>
                <w:color w:val="00B050"/>
                <w:sz w:val="20"/>
                <w:lang w:val="en-US" w:eastAsia="zh-CN"/>
              </w:rPr>
            </w:pPr>
            <w:r w:rsidRPr="007729B2">
              <w:rPr>
                <w:rFonts w:eastAsia="宋体"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宋体" w:cs="Arial"/>
                <w:b w:val="0"/>
                <w:noProof w:val="0"/>
                <w:sz w:val="20"/>
                <w:lang w:eastAsia="zh-CN"/>
              </w:rPr>
            </w:pPr>
            <w:r w:rsidRPr="005E68E1">
              <w:rPr>
                <w:rFonts w:eastAsia="宋体"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signaling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Similar view as RAN1 response. The UE behavior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general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620DC7"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620DC7" w:rsidRPr="006D2AAA" w:rsidRDefault="00620DC7" w:rsidP="00620DC7">
            <w:pPr>
              <w:pStyle w:val="TAC"/>
              <w:spacing w:before="20" w:after="20"/>
              <w:ind w:left="57" w:right="57"/>
              <w:jc w:val="left"/>
              <w:rPr>
                <w:lang w:eastAsia="zh-CN"/>
              </w:rPr>
            </w:pP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a5"/>
          </w:rPr>
          <w:t>R2-2111209</w:t>
        </w:r>
      </w:hyperlink>
      <w:r w:rsidRPr="006D2AAA">
        <w:t xml:space="preserve"> for this topic: </w:t>
      </w:r>
    </w:p>
    <w:tbl>
      <w:tblPr>
        <w:tblStyle w:val="aa"/>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lastRenderedPageBreak/>
              <w:t>For the overlapping CBWs from network perspective (one cell approach):</w:t>
            </w:r>
          </w:p>
          <w:p w14:paraId="67B5C42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9"/>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9"/>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9"/>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9"/>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9"/>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Regarding singleSSB/CORESET: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宋体"/>
                <w:u w:val="single"/>
                <w:lang w:eastAsia="zh-CN"/>
              </w:rPr>
            </w:pPr>
            <w:r w:rsidRPr="00620DC7">
              <w:rPr>
                <w:rFonts w:eastAsia="宋体" w:hint="eastAsia"/>
                <w:u w:val="single"/>
                <w:lang w:eastAsia="zh-CN"/>
              </w:rPr>
              <w:t>O</w:t>
            </w:r>
            <w:r w:rsidRPr="00620DC7">
              <w:rPr>
                <w:rFonts w:eastAsia="宋体"/>
                <w:u w:val="single"/>
                <w:lang w:eastAsia="zh-CN"/>
              </w:rPr>
              <w:t>n single SSB:</w:t>
            </w:r>
          </w:p>
          <w:p w14:paraId="1F617200" w14:textId="77777777" w:rsidR="00620DC7" w:rsidRDefault="00620DC7" w:rsidP="00620DC7">
            <w:pPr>
              <w:pStyle w:val="TAC"/>
              <w:spacing w:before="20" w:after="20"/>
              <w:ind w:left="57" w:right="57"/>
              <w:jc w:val="left"/>
              <w:rPr>
                <w:rFonts w:eastAsia="宋体"/>
                <w:lang w:eastAsia="zh-CN"/>
              </w:rPr>
            </w:pPr>
            <w:r>
              <w:rPr>
                <w:rFonts w:eastAsia="宋体"/>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宋体"/>
                <w:lang w:eastAsia="zh-CN"/>
              </w:rPr>
            </w:pPr>
          </w:p>
          <w:p w14:paraId="7550B399" w14:textId="77777777" w:rsidR="00620DC7" w:rsidRPr="009037A5" w:rsidRDefault="00620DC7" w:rsidP="00620DC7">
            <w:pPr>
              <w:pStyle w:val="TAC"/>
              <w:spacing w:before="20" w:after="20"/>
              <w:ind w:left="57" w:right="57"/>
              <w:jc w:val="left"/>
              <w:rPr>
                <w:rFonts w:eastAsia="宋体"/>
                <w:u w:val="single"/>
                <w:lang w:eastAsia="zh-CN"/>
              </w:rPr>
            </w:pPr>
            <w:r w:rsidRPr="009037A5">
              <w:rPr>
                <w:rFonts w:eastAsia="宋体" w:hint="eastAsia"/>
                <w:u w:val="single"/>
                <w:lang w:eastAsia="zh-CN"/>
              </w:rPr>
              <w:t>O</w:t>
            </w:r>
            <w:r w:rsidRPr="009037A5">
              <w:rPr>
                <w:rFonts w:eastAsia="宋体"/>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宋体"/>
                <w:lang w:eastAsia="zh-CN"/>
              </w:rPr>
              <w:t>Similar to the observation by QC, it would be good to firstly clarify the scenario a bit more, i.e., the “two-cell” approach (</w:t>
            </w:r>
            <w:r w:rsidRPr="000A47A5">
              <w:rPr>
                <w:rFonts w:eastAsia="宋体"/>
                <w:lang w:eastAsia="zh-CN"/>
              </w:rPr>
              <w:t>"absoluteFrequencySSB" is different</w:t>
            </w:r>
            <w:r>
              <w:rPr>
                <w:rFonts w:eastAsia="宋体"/>
                <w:lang w:eastAsia="zh-CN"/>
              </w:rPr>
              <w:t>) vs. the “mixed-one-cell” (</w:t>
            </w:r>
            <w:r w:rsidRPr="000A47A5">
              <w:rPr>
                <w:rFonts w:eastAsia="宋体"/>
                <w:lang w:eastAsia="zh-CN"/>
              </w:rPr>
              <w:t>"absoluteFrequencySSB"</w:t>
            </w:r>
            <w:r>
              <w:rPr>
                <w:rFonts w:eastAsia="宋体"/>
                <w:lang w:eastAsia="zh-CN"/>
              </w:rPr>
              <w:t xml:space="preserve"> is same). </w:t>
            </w:r>
            <w:r>
              <w:rPr>
                <w:rFonts w:eastAsia="宋体" w:hint="eastAsia"/>
                <w:lang w:eastAsia="zh-CN"/>
              </w:rPr>
              <w:t>A</w:t>
            </w:r>
            <w:r>
              <w:rPr>
                <w:rFonts w:eastAsia="宋体"/>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general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signaling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Our view is inline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r w:rsidR="00847063">
              <w:t>,</w:t>
            </w:r>
            <w:r w:rsidR="00847063">
              <w:rPr>
                <w:lang w:eastAsia="zh-CN"/>
              </w:rPr>
              <w:t>”</w:t>
            </w:r>
            <w:r>
              <w:rPr>
                <w:lang w:eastAsia="zh-CN"/>
              </w:rPr>
              <w:t xml:space="preserve">  the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r w:rsidRPr="000A7AD5">
              <w:rPr>
                <w:i/>
                <w:lang w:eastAsia="zh-CN"/>
              </w:rPr>
              <w:t>absoluteFrequencySSB</w:t>
            </w:r>
            <w:r>
              <w:rPr>
                <w:lang w:eastAsia="zh-CN"/>
              </w:rPr>
              <w:t xml:space="preserve"> is same or slightly different,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620DC7"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10A04D0F"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620DC7" w:rsidRPr="006D2AAA" w:rsidRDefault="00620DC7" w:rsidP="00620DC7">
            <w:pPr>
              <w:pStyle w:val="TAC"/>
              <w:spacing w:before="20" w:after="20"/>
              <w:ind w:left="57" w:right="57"/>
              <w:jc w:val="left"/>
              <w:rPr>
                <w:lang w:eastAsia="zh-CN"/>
              </w:rPr>
            </w:pP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a5"/>
          </w:rPr>
          <w:t>R2-2111209</w:t>
        </w:r>
      </w:hyperlink>
      <w:r w:rsidRPr="006D2AAA">
        <w:t xml:space="preserve"> for this topic: </w:t>
      </w:r>
    </w:p>
    <w:p w14:paraId="3EE6E439" w14:textId="77777777" w:rsidR="008A0714" w:rsidRPr="006D2AAA" w:rsidRDefault="008A0714" w:rsidP="008A0714">
      <w:pPr>
        <w:pStyle w:val="a9"/>
        <w:ind w:left="1440" w:firstLineChars="0" w:firstLine="0"/>
        <w:jc w:val="left"/>
        <w:rPr>
          <w:rFonts w:cs="Arial"/>
          <w:sz w:val="20"/>
          <w:lang w:val="en-GB" w:eastAsia="zh-CN"/>
        </w:rPr>
      </w:pPr>
    </w:p>
    <w:tbl>
      <w:tblPr>
        <w:tblStyle w:val="aa"/>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宋体" w:cs="Arial"/>
                <w:bCs/>
                <w:noProof w:val="0"/>
                <w:sz w:val="20"/>
                <w:lang w:eastAsia="zh-CN"/>
              </w:rPr>
            </w:pPr>
            <w:bookmarkStart w:id="0" w:name="_Hlk86682970"/>
            <w:r w:rsidRPr="006D2AAA">
              <w:rPr>
                <w:rFonts w:eastAsia="宋体" w:cs="Arial"/>
                <w:bCs/>
                <w:noProof w:val="0"/>
                <w:sz w:val="20"/>
                <w:lang w:eastAsia="zh-CN"/>
              </w:rPr>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宋体"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宋体"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宋体"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9"/>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a9"/>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lastRenderedPageBreak/>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620DC7"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620DC7" w:rsidRPr="006D2AAA" w:rsidRDefault="00620DC7" w:rsidP="00620DC7">
            <w:pPr>
              <w:pStyle w:val="TAC"/>
              <w:spacing w:before="20" w:after="20"/>
              <w:ind w:left="57" w:right="57"/>
              <w:jc w:val="left"/>
              <w:rPr>
                <w:lang w:eastAsia="zh-CN"/>
              </w:rPr>
            </w:pP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a5"/>
          </w:rPr>
          <w:t>R2-2111209</w:t>
        </w:r>
      </w:hyperlink>
      <w:r w:rsidRPr="006D2AAA">
        <w:t xml:space="preserve"> for this topic: </w:t>
      </w:r>
    </w:p>
    <w:tbl>
      <w:tblPr>
        <w:tblStyle w:val="aa"/>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eastAsia="宋体" w:cs="Arial"/>
                <w:b w:val="0"/>
                <w:noProof w:val="0"/>
                <w:sz w:val="20"/>
                <w:lang w:eastAsia="zh-CN"/>
              </w:rPr>
              <w:t xml:space="preserve">Is it possible to configure the UE with a dedicated </w:t>
            </w:r>
            <w:r w:rsidRPr="006D2AAA">
              <w:rPr>
                <w:rFonts w:eastAsia="宋体" w:cs="Arial"/>
                <w:b w:val="0"/>
                <w:i/>
                <w:iCs/>
                <w:noProof w:val="0"/>
                <w:sz w:val="20"/>
                <w:lang w:eastAsia="zh-CN"/>
              </w:rPr>
              <w:t xml:space="preserve">carrierBandwidth </w:t>
            </w:r>
            <w:r w:rsidRPr="006D2AAA">
              <w:rPr>
                <w:rFonts w:eastAsia="宋体" w:cs="Arial"/>
                <w:b w:val="0"/>
                <w:noProof w:val="0"/>
                <w:sz w:val="20"/>
                <w:lang w:eastAsia="zh-CN"/>
              </w:rPr>
              <w:t xml:space="preserve">in the </w:t>
            </w:r>
            <w:r w:rsidRPr="006D2AAA">
              <w:rPr>
                <w:rFonts w:eastAsia="宋体" w:cs="Arial"/>
                <w:b w:val="0"/>
                <w:i/>
                <w:iCs/>
                <w:noProof w:val="0"/>
                <w:sz w:val="20"/>
                <w:lang w:eastAsia="zh-CN"/>
              </w:rPr>
              <w:t>ServingCellConfig</w:t>
            </w:r>
            <w:r w:rsidRPr="006D2AAA">
              <w:rPr>
                <w:rFonts w:eastAsia="宋体" w:cs="Arial"/>
                <w:b w:val="0"/>
                <w:noProof w:val="0"/>
                <w:sz w:val="20"/>
                <w:lang w:eastAsia="zh-CN"/>
              </w:rPr>
              <w:t xml:space="preserve"> that is wider than/partially outside the </w:t>
            </w:r>
            <w:r w:rsidRPr="006D2AAA">
              <w:rPr>
                <w:rFonts w:eastAsia="宋体" w:cs="Arial"/>
                <w:b w:val="0"/>
                <w:i/>
                <w:iCs/>
                <w:noProof w:val="0"/>
                <w:sz w:val="20"/>
                <w:lang w:eastAsia="zh-CN"/>
              </w:rPr>
              <w:t xml:space="preserve">carrierBandwidth </w:t>
            </w:r>
            <w:r w:rsidRPr="006D2AAA">
              <w:rPr>
                <w:rFonts w:eastAsia="宋体"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宋体" w:cs="Arial"/>
                <w:b w:val="0"/>
                <w:bCs/>
                <w:noProof w:val="0"/>
                <w:sz w:val="20"/>
                <w:lang w:eastAsia="zh-CN"/>
              </w:rPr>
            </w:pPr>
          </w:p>
          <w:p w14:paraId="087FCDC8"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lastRenderedPageBreak/>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宋体" w:hint="eastAsia"/>
                <w:lang w:eastAsia="zh-CN"/>
              </w:rPr>
              <w:t>A</w:t>
            </w:r>
            <w:r>
              <w:rPr>
                <w:rFonts w:eastAsia="宋体"/>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宋体"/>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his case is not possible in the RAN2 signaling, since the dedicated configuration in ServingCellConfig does not determine the resource grid, which is determined by the parameters in ServingCellConfigCommon and ServingCellConfigCommonSIB.</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If companies have different understandings, we strongly suggest to clarify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w:t>
            </w:r>
            <w:bookmarkStart w:id="1" w:name="_GoBack"/>
            <w:bookmarkEnd w:id="1"/>
            <w:r>
              <w:rPr>
                <w:lang w:eastAsia="zh-CN"/>
              </w:rPr>
              <w:t xml:space="preserve"> the need to configure a smaller CBW in SIB1, and reconfigure it to larger value when UE enters RRC_CONNECTED</w:t>
            </w:r>
            <w:r>
              <w:rPr>
                <w:rFonts w:eastAsia="宋体" w:hint="eastAsia"/>
                <w:lang w:eastAsia="zh-CN"/>
              </w:rPr>
              <w:t>,</w:t>
            </w:r>
            <w:r>
              <w:rPr>
                <w:rFonts w:eastAsia="宋体"/>
                <w:lang w:eastAsia="zh-CN"/>
              </w:rPr>
              <w:t xml:space="preserve"> because the CBW from SIB1 will also be used for cell barring determination, it may prevent large BW capable UEs from camping on the cell</w:t>
            </w:r>
            <w:r>
              <w:rPr>
                <w:lang w:eastAsia="zh-CN"/>
              </w:rPr>
              <w:t xml:space="preserve">.   </w:t>
            </w:r>
          </w:p>
        </w:tc>
      </w:tr>
      <w:tr w:rsidR="00620DC7"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620DC7" w:rsidRPr="006D2AAA" w:rsidRDefault="00620DC7" w:rsidP="001079C3">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620DC7" w:rsidRPr="006D2AAA" w:rsidRDefault="00620DC7" w:rsidP="00620DC7">
            <w:pPr>
              <w:pStyle w:val="TAC"/>
              <w:spacing w:before="20" w:after="20"/>
              <w:ind w:left="57" w:right="57"/>
              <w:jc w:val="left"/>
              <w:rPr>
                <w:lang w:eastAsia="zh-CN"/>
              </w:rPr>
            </w:pPr>
          </w:p>
        </w:tc>
      </w:tr>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CCD3" w14:textId="77777777" w:rsidR="00BE2397" w:rsidRDefault="00BE2397">
      <w:r>
        <w:separator/>
      </w:r>
    </w:p>
  </w:endnote>
  <w:endnote w:type="continuationSeparator" w:id="0">
    <w:p w14:paraId="45A6CF8E" w14:textId="77777777" w:rsidR="00BE2397" w:rsidRDefault="00BE2397">
      <w:r>
        <w:continuationSeparator/>
      </w:r>
    </w:p>
  </w:endnote>
  <w:endnote w:type="continuationNotice" w:id="1">
    <w:p w14:paraId="51B5AE6E" w14:textId="77777777" w:rsidR="00BE2397" w:rsidRDefault="00BE2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6676" w14:textId="77777777" w:rsidR="00847063" w:rsidRDefault="008470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B0AB" w14:textId="77777777" w:rsidR="00847063" w:rsidRDefault="008470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07D3" w14:textId="77777777" w:rsidR="00847063" w:rsidRDefault="008470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57D7" w14:textId="77777777" w:rsidR="00BE2397" w:rsidRDefault="00BE2397">
      <w:r>
        <w:separator/>
      </w:r>
    </w:p>
  </w:footnote>
  <w:footnote w:type="continuationSeparator" w:id="0">
    <w:p w14:paraId="390CDC23" w14:textId="77777777" w:rsidR="00BE2397" w:rsidRDefault="00BE2397">
      <w:r>
        <w:continuationSeparator/>
      </w:r>
    </w:p>
  </w:footnote>
  <w:footnote w:type="continuationNotice" w:id="1">
    <w:p w14:paraId="09EF999F" w14:textId="77777777" w:rsidR="00BE2397" w:rsidRDefault="00BE23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C7E8" w14:textId="77777777" w:rsidR="00847063" w:rsidRDefault="008470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C2C9" w14:textId="77777777" w:rsidR="00847063" w:rsidRDefault="008470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1107" w14:textId="77777777" w:rsidR="00847063" w:rsidRDefault="008470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A7AD5"/>
    <w:rsid w:val="000B7BCF"/>
    <w:rsid w:val="000C522B"/>
    <w:rsid w:val="000D58AB"/>
    <w:rsid w:val="001079C3"/>
    <w:rsid w:val="00112F1A"/>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47063"/>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E2397"/>
    <w:rsid w:val="00C12B51"/>
    <w:rsid w:val="00C24650"/>
    <w:rsid w:val="00C2471B"/>
    <w:rsid w:val="00C25465"/>
    <w:rsid w:val="00C33079"/>
    <w:rsid w:val="00C55A12"/>
    <w:rsid w:val="00C6553E"/>
    <w:rsid w:val="00C83A13"/>
    <w:rsid w:val="00C83E9D"/>
    <w:rsid w:val="00C9068C"/>
    <w:rsid w:val="00C92967"/>
    <w:rsid w:val="00CA0AFB"/>
    <w:rsid w:val="00CA3D0C"/>
    <w:rsid w:val="00CA654B"/>
    <w:rsid w:val="00CB5F97"/>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11">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8">
    <w:name w:val="FollowedHyperlink"/>
    <w:basedOn w:val="a0"/>
    <w:rsid w:val="008A0714"/>
    <w:rPr>
      <w:color w:val="954F72" w:themeColor="followedHyperlink"/>
      <w:u w:val="single"/>
    </w:rPr>
  </w:style>
  <w:style w:type="paragraph" w:styleId="a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Char2">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9"/>
    <w:uiPriority w:val="34"/>
    <w:qFormat/>
    <w:locked/>
    <w:rsid w:val="008A0714"/>
    <w:rPr>
      <w:rFonts w:ascii="Calibri" w:eastAsia="宋体" w:hAnsi="Calibri"/>
      <w:kern w:val="2"/>
      <w:sz w:val="21"/>
      <w:szCs w:val="22"/>
      <w:lang w:val="x-none" w:eastAsia="x-none"/>
    </w:rPr>
  </w:style>
  <w:style w:type="table" w:styleId="aa">
    <w:name w:val="Table Grid"/>
    <w:basedOn w:val="a1"/>
    <w:rsid w:val="008A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26707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ZTE-LiuJing</cp:lastModifiedBy>
  <cp:revision>9</cp:revision>
  <dcterms:created xsi:type="dcterms:W3CDTF">2021-11-04T06:48:00Z</dcterms:created>
  <dcterms:modified xsi:type="dcterms:W3CDTF">2021-11-04T08:34:00Z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