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w:t>
      </w:r>
      <w:proofErr w:type="gramStart"/>
      <w:r w:rsidR="0002765F" w:rsidRPr="0002765F">
        <w:rPr>
          <w:sz w:val="22"/>
          <w:szCs w:val="22"/>
        </w:rPr>
        <w:t>e][</w:t>
      </w:r>
      <w:proofErr w:type="gramEnd"/>
      <w:r w:rsidR="0002765F" w:rsidRPr="0002765F">
        <w:rPr>
          <w:sz w:val="22"/>
          <w:szCs w:val="22"/>
        </w:rPr>
        <w:t>009][NR16]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9"/>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[AT116-e][009][NR16]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af5"/>
          </w:rPr>
          <w:t>R2-2109340</w:t>
        </w:r>
      </w:hyperlink>
      <w:r>
        <w:t>,</w:t>
      </w:r>
      <w:r w:rsidRPr="004D4300">
        <w:t xml:space="preserve"> </w:t>
      </w:r>
      <w:hyperlink r:id="rId12" w:tooltip="D:Documents3GPPtsg_ranWG2TSGR2_116-eDocsR2-2109887.zip" w:history="1">
        <w:r w:rsidRPr="00B46812">
          <w:rPr>
            <w:rStyle w:val="af5"/>
          </w:rPr>
          <w:t>R2-2109887</w:t>
        </w:r>
      </w:hyperlink>
      <w:r>
        <w:t>,</w:t>
      </w:r>
      <w:r w:rsidRPr="004D4300">
        <w:t xml:space="preserve"> </w:t>
      </w:r>
      <w:hyperlink r:id="rId13" w:tooltip="D:Documents3GPPtsg_ranWG2TSGR2_116-eDocsR2-2109888.zip" w:history="1">
        <w:r w:rsidRPr="00B46812">
          <w:rPr>
            <w:rStyle w:val="af5"/>
          </w:rPr>
          <w:t>R2-2109888</w:t>
        </w:r>
      </w:hyperlink>
      <w:r>
        <w:t>,</w:t>
      </w:r>
      <w:r w:rsidRPr="004D4300">
        <w:t xml:space="preserve"> </w:t>
      </w:r>
      <w:hyperlink r:id="rId14" w:tooltip="D:Documents3GPPtsg_ranWG2TSGR2_116-eDocsR2-2110682.zip" w:history="1">
        <w:r w:rsidRPr="00B46812">
          <w:rPr>
            <w:rStyle w:val="af5"/>
          </w:rPr>
          <w:t>R2-2110682</w:t>
        </w:r>
      </w:hyperlink>
      <w:r>
        <w:t xml:space="preserve">, </w:t>
      </w:r>
      <w:hyperlink r:id="rId15" w:tooltip="D:Documents3GPPtsg_ranWG2TSGR2_116-eDocsR2-2110683.zip" w:history="1">
        <w:r w:rsidRPr="00B46812">
          <w:rPr>
            <w:rStyle w:val="af5"/>
          </w:rPr>
          <w:t>R2-2110683</w:t>
        </w:r>
      </w:hyperlink>
      <w:r>
        <w:t xml:space="preserve">, </w:t>
      </w:r>
      <w:hyperlink r:id="rId16" w:tooltip="D:Documents3GPPtsg_ranWG2TSGR2_116-eDocsR2-2110684.zip" w:history="1">
        <w:r w:rsidRPr="00B46812">
          <w:rPr>
            <w:rStyle w:val="af5"/>
          </w:rPr>
          <w:t>R2-2110684</w:t>
        </w:r>
      </w:hyperlink>
      <w:r>
        <w:t xml:space="preserve">, </w:t>
      </w:r>
      <w:hyperlink r:id="rId17" w:tooltip="D:Documents3GPPtsg_ranWG2TSGR2_116-eDocsR2-2111036.zip" w:history="1">
        <w:r w:rsidRPr="00B46812">
          <w:rPr>
            <w:rStyle w:val="af5"/>
          </w:rPr>
          <w:t>R2-2111036</w:t>
        </w:r>
      </w:hyperlink>
      <w:r>
        <w:t>,</w:t>
      </w:r>
      <w:r w:rsidRPr="004D4300">
        <w:t xml:space="preserve"> </w:t>
      </w:r>
      <w:hyperlink r:id="rId18" w:tooltip="D:Documents3GPPtsg_ranWG2TSGR2_116-eDocsR2-2110945.zip" w:history="1">
        <w:r w:rsidRPr="00B46812">
          <w:rPr>
            <w:rStyle w:val="af5"/>
          </w:rPr>
          <w:t>R2-2110945</w:t>
        </w:r>
      </w:hyperlink>
      <w:r>
        <w:t>,</w:t>
      </w:r>
      <w:r w:rsidRPr="004D4300">
        <w:t xml:space="preserve"> </w:t>
      </w:r>
      <w:hyperlink r:id="rId19" w:tooltip="D:Documents3GPPtsg_ranWG2TSGR2_116-eDocsR2-2110012.zip" w:history="1">
        <w:r w:rsidRPr="00B46812">
          <w:rPr>
            <w:rStyle w:val="af5"/>
          </w:rPr>
          <w:t>R2-2110012</w:t>
        </w:r>
      </w:hyperlink>
      <w:r>
        <w:t>,</w:t>
      </w:r>
      <w:r w:rsidRPr="004D4300">
        <w:t xml:space="preserve"> </w:t>
      </w:r>
      <w:hyperlink r:id="rId20" w:tooltip="D:Documents3GPPtsg_ranWG2TSGR2_116-eDocsR2-2110756.zip" w:history="1">
        <w:r w:rsidRPr="00B46812">
          <w:rPr>
            <w:rStyle w:val="af5"/>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a9"/>
      </w:pPr>
    </w:p>
    <w:p w14:paraId="768C9979" w14:textId="54CD4649" w:rsidR="00986680" w:rsidRDefault="00986680" w:rsidP="00CE0424">
      <w:pPr>
        <w:pStyle w:val="a9"/>
      </w:pPr>
      <w:r>
        <w:t>Regarding the deadlines, I would like to set the following 2 deadlines:</w:t>
      </w:r>
    </w:p>
    <w:p w14:paraId="73F034A4" w14:textId="52779649" w:rsidR="00986680" w:rsidRDefault="00986680" w:rsidP="00CE0424">
      <w:pPr>
        <w:pStyle w:val="a9"/>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a9"/>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f4"/>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a9"/>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a9"/>
              <w:jc w:val="center"/>
              <w:rPr>
                <w:color w:val="000000" w:themeColor="text1"/>
              </w:rPr>
            </w:pPr>
            <w:r>
              <w:rPr>
                <w:color w:val="000000" w:themeColor="text1"/>
              </w:rPr>
              <w:t>Email</w:t>
            </w:r>
          </w:p>
        </w:tc>
      </w:tr>
      <w:tr w:rsidR="00702049" w:rsidRPr="00475601" w14:paraId="5EA95FC0" w14:textId="77777777" w:rsidTr="00EA0912">
        <w:trPr>
          <w:trHeight w:val="417"/>
        </w:trPr>
        <w:tc>
          <w:tcPr>
            <w:tcW w:w="3397" w:type="dxa"/>
          </w:tcPr>
          <w:p w14:paraId="243CCEDF" w14:textId="35255F65"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475601"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475601"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475601"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r w:rsidR="00D055EA" w:rsidRPr="00475601" w14:paraId="2A434C32" w14:textId="77777777" w:rsidTr="00EA0912">
        <w:trPr>
          <w:trHeight w:val="417"/>
        </w:trPr>
        <w:tc>
          <w:tcPr>
            <w:tcW w:w="3397" w:type="dxa"/>
          </w:tcPr>
          <w:p w14:paraId="7DC59B70" w14:textId="103BD18C"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6259" w:type="dxa"/>
          </w:tcPr>
          <w:p w14:paraId="20E91E7C" w14:textId="76DA5579" w:rsidR="00D055EA" w:rsidRDefault="00EE2CEB" w:rsidP="00EA0912">
            <w:pPr>
              <w:rPr>
                <w:rFonts w:ascii="Arial" w:eastAsiaTheme="minorEastAsia" w:hAnsi="Arial" w:cs="Arial"/>
                <w:lang w:eastAsia="zh-CN"/>
              </w:rPr>
            </w:pPr>
            <w:hyperlink r:id="rId21" w:history="1">
              <w:r w:rsidR="00D871C5" w:rsidRPr="00A534D3">
                <w:rPr>
                  <w:rStyle w:val="af5"/>
                  <w:rFonts w:ascii="Arial" w:eastAsiaTheme="minorEastAsia" w:hAnsi="Arial" w:cs="Arial"/>
                  <w:lang w:eastAsia="zh-CN"/>
                </w:rPr>
                <w:t>antonino.orsino@ericsson.com</w:t>
              </w:r>
            </w:hyperlink>
          </w:p>
        </w:tc>
      </w:tr>
      <w:tr w:rsidR="00D871C5" w:rsidRPr="00475601" w14:paraId="2CB5A0AE" w14:textId="77777777" w:rsidTr="00EA0912">
        <w:trPr>
          <w:trHeight w:val="417"/>
        </w:trPr>
        <w:tc>
          <w:tcPr>
            <w:tcW w:w="3397" w:type="dxa"/>
          </w:tcPr>
          <w:p w14:paraId="5D498267" w14:textId="593B2D8A" w:rsidR="00D871C5" w:rsidRDefault="00D871C5" w:rsidP="00EA0912">
            <w:pPr>
              <w:rPr>
                <w:rFonts w:ascii="Arial" w:eastAsiaTheme="minorEastAsia" w:hAnsi="Arial" w:cs="Arial"/>
                <w:lang w:eastAsia="zh-CN"/>
              </w:rPr>
            </w:pPr>
            <w:r>
              <w:rPr>
                <w:rFonts w:ascii="Arial" w:eastAsiaTheme="minorEastAsia" w:hAnsi="Arial" w:cs="Arial"/>
                <w:lang w:eastAsia="zh-CN"/>
              </w:rPr>
              <w:t>Qualcomm</w:t>
            </w:r>
          </w:p>
        </w:tc>
        <w:tc>
          <w:tcPr>
            <w:tcW w:w="6259" w:type="dxa"/>
          </w:tcPr>
          <w:p w14:paraId="681C9CBB" w14:textId="12D18BFC" w:rsidR="00D871C5" w:rsidRDefault="00D871C5" w:rsidP="00EA0912">
            <w:pPr>
              <w:rPr>
                <w:rFonts w:ascii="Arial" w:eastAsiaTheme="minorEastAsia" w:hAnsi="Arial" w:cs="Arial"/>
                <w:lang w:eastAsia="zh-CN"/>
              </w:rPr>
            </w:pPr>
            <w:r>
              <w:rPr>
                <w:rFonts w:ascii="Arial" w:eastAsiaTheme="minorEastAsia" w:hAnsi="Arial" w:cs="Arial"/>
                <w:lang w:eastAsia="zh-CN"/>
              </w:rPr>
              <w:t>punyaslo@qti.qualcomm.com</w:t>
            </w:r>
          </w:p>
        </w:tc>
      </w:tr>
      <w:tr w:rsidR="00331553" w:rsidRPr="00475601" w14:paraId="6B165B8F" w14:textId="77777777" w:rsidTr="00EA0912">
        <w:trPr>
          <w:trHeight w:val="417"/>
        </w:trPr>
        <w:tc>
          <w:tcPr>
            <w:tcW w:w="3397" w:type="dxa"/>
          </w:tcPr>
          <w:p w14:paraId="00DBA5D0" w14:textId="2F802B76" w:rsidR="00331553" w:rsidRDefault="00331553" w:rsidP="00EA0912">
            <w:pPr>
              <w:rPr>
                <w:rFonts w:ascii="Arial" w:eastAsiaTheme="minorEastAsia" w:hAnsi="Arial" w:cs="Arial"/>
                <w:lang w:eastAsia="zh-CN"/>
              </w:rPr>
            </w:pPr>
            <w:r>
              <w:rPr>
                <w:rFonts w:ascii="Arial" w:eastAsiaTheme="minorEastAsia" w:hAnsi="Arial" w:cs="Arial"/>
                <w:lang w:eastAsia="zh-CN"/>
              </w:rPr>
              <w:t>MediaTek</w:t>
            </w:r>
          </w:p>
        </w:tc>
        <w:tc>
          <w:tcPr>
            <w:tcW w:w="6259" w:type="dxa"/>
          </w:tcPr>
          <w:p w14:paraId="0574C0D5" w14:textId="2E764C57" w:rsidR="00331553" w:rsidRDefault="00331553" w:rsidP="00EA0912">
            <w:pPr>
              <w:rPr>
                <w:rFonts w:ascii="Arial" w:eastAsiaTheme="minorEastAsia" w:hAnsi="Arial" w:cs="Arial"/>
                <w:lang w:eastAsia="zh-CN"/>
              </w:rPr>
            </w:pPr>
            <w:r>
              <w:rPr>
                <w:rFonts w:ascii="Arial" w:eastAsiaTheme="minorEastAsia" w:hAnsi="Arial" w:cs="Arial"/>
                <w:lang w:eastAsia="zh-CN"/>
              </w:rPr>
              <w:t>chun-fan.tsai@mediatek.com</w:t>
            </w:r>
          </w:p>
        </w:tc>
      </w:tr>
      <w:tr w:rsidR="00BD0357" w:rsidRPr="00475601" w14:paraId="56FC5073" w14:textId="77777777" w:rsidTr="00EA0912">
        <w:trPr>
          <w:trHeight w:val="417"/>
        </w:trPr>
        <w:tc>
          <w:tcPr>
            <w:tcW w:w="3397" w:type="dxa"/>
          </w:tcPr>
          <w:p w14:paraId="41754D19" w14:textId="69BD46AF" w:rsidR="00BD0357" w:rsidRDefault="00BD0357" w:rsidP="00EA0912">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6259" w:type="dxa"/>
          </w:tcPr>
          <w:p w14:paraId="4C1B864F" w14:textId="1FFA90B9" w:rsidR="00BD0357" w:rsidRDefault="00BD0357" w:rsidP="00EA0912">
            <w:pPr>
              <w:rPr>
                <w:rFonts w:ascii="Arial" w:eastAsiaTheme="minorEastAsia" w:hAnsi="Arial" w:cs="Arial"/>
                <w:lang w:eastAsia="zh-CN"/>
              </w:rPr>
            </w:pPr>
            <w:r>
              <w:rPr>
                <w:rFonts w:ascii="Arial" w:eastAsiaTheme="minorEastAsia" w:hAnsi="Arial" w:cs="Arial"/>
                <w:lang w:eastAsia="zh-CN"/>
              </w:rPr>
              <w:t>Wulh5@lenovo.com</w:t>
            </w:r>
          </w:p>
        </w:tc>
      </w:tr>
      <w:tr w:rsidR="00456AAA" w:rsidRPr="00475601" w14:paraId="453CBF90" w14:textId="77777777" w:rsidTr="00EA0912">
        <w:trPr>
          <w:trHeight w:val="417"/>
        </w:trPr>
        <w:tc>
          <w:tcPr>
            <w:tcW w:w="3397" w:type="dxa"/>
          </w:tcPr>
          <w:p w14:paraId="0F12D5D5" w14:textId="468DCC22"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6259" w:type="dxa"/>
          </w:tcPr>
          <w:p w14:paraId="60A21642" w14:textId="48DCFF81" w:rsidR="00456AAA" w:rsidRDefault="00456AAA" w:rsidP="00EA0912">
            <w:pPr>
              <w:rPr>
                <w:rFonts w:ascii="Arial" w:eastAsiaTheme="minorEastAsia" w:hAnsi="Arial" w:cs="Arial"/>
                <w:lang w:eastAsia="zh-CN"/>
              </w:rPr>
            </w:pPr>
            <w:r>
              <w:rPr>
                <w:rFonts w:ascii="Arial" w:eastAsiaTheme="minorEastAsia" w:hAnsi="Arial" w:cs="Arial"/>
                <w:lang w:eastAsia="zh-CN"/>
              </w:rPr>
              <w:t>chandrika@catt.cn</w:t>
            </w:r>
          </w:p>
        </w:tc>
      </w:tr>
    </w:tbl>
    <w:p w14:paraId="5B36CEB8" w14:textId="77777777" w:rsidR="00986680" w:rsidRPr="00BD0357" w:rsidRDefault="00986680" w:rsidP="00986680">
      <w:pPr>
        <w:rPr>
          <w:lang w:val="de-DE"/>
        </w:rPr>
      </w:pPr>
    </w:p>
    <w:p w14:paraId="2F06D04C" w14:textId="37AA9DB8" w:rsidR="00DC0D8D" w:rsidRDefault="00986680" w:rsidP="00520291">
      <w:pPr>
        <w:pStyle w:val="1"/>
      </w:pPr>
      <w:r>
        <w:lastRenderedPageBreak/>
        <w:t>3</w:t>
      </w:r>
      <w:r>
        <w:tab/>
        <w:t>Discussion</w:t>
      </w:r>
    </w:p>
    <w:p w14:paraId="7B3197F8" w14:textId="4BEA4A98" w:rsidR="008F67F4" w:rsidRDefault="008F67F4" w:rsidP="008F67F4">
      <w:pPr>
        <w:pStyle w:val="21"/>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EE2CEB" w:rsidP="008F67F4">
      <w:pPr>
        <w:pStyle w:val="Doc-title"/>
      </w:pPr>
      <w:hyperlink r:id="rId22" w:history="1">
        <w:r w:rsidR="008F67F4" w:rsidRPr="008F67F4">
          <w:rPr>
            <w:rStyle w:val="af5"/>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EE2CEB" w:rsidP="008F67F4">
      <w:pPr>
        <w:pStyle w:val="Doc-title"/>
      </w:pPr>
      <w:hyperlink r:id="rId23" w:history="1">
        <w:r w:rsidR="008F67F4" w:rsidRPr="008F67F4">
          <w:rPr>
            <w:rStyle w:val="af5"/>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EE2CEB" w:rsidP="008F67F4">
      <w:pPr>
        <w:pStyle w:val="Doc-title"/>
      </w:pPr>
      <w:hyperlink r:id="rId24" w:history="1">
        <w:r w:rsidR="008F67F4" w:rsidRPr="008F67F4">
          <w:rPr>
            <w:rStyle w:val="af5"/>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EE2CEB" w:rsidP="008F67F4">
      <w:pPr>
        <w:pStyle w:val="Doc-title"/>
      </w:pPr>
      <w:hyperlink r:id="rId25" w:history="1">
        <w:r w:rsidR="008F67F4" w:rsidRPr="008F67F4">
          <w:rPr>
            <w:rStyle w:val="af5"/>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EE2CEB" w:rsidP="008F67F4">
      <w:pPr>
        <w:pStyle w:val="Doc-title"/>
      </w:pPr>
      <w:hyperlink r:id="rId26" w:history="1">
        <w:r w:rsidR="008F67F4" w:rsidRPr="008F67F4">
          <w:rPr>
            <w:rStyle w:val="af5"/>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EE2CEB" w:rsidP="008F67F4">
      <w:pPr>
        <w:pStyle w:val="Doc-title"/>
      </w:pPr>
      <w:hyperlink r:id="rId27" w:history="1">
        <w:r w:rsidR="008F67F4" w:rsidRPr="008F67F4">
          <w:rPr>
            <w:rStyle w:val="af5"/>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EE2CEB" w:rsidP="008F67F4">
      <w:pPr>
        <w:pStyle w:val="Doc-title"/>
      </w:pPr>
      <w:hyperlink r:id="rId28" w:history="1">
        <w:r w:rsidR="008F67F4" w:rsidRPr="008F67F4">
          <w:rPr>
            <w:rStyle w:val="af5"/>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EE2CEB" w:rsidP="008F67F4">
      <w:pPr>
        <w:pStyle w:val="Doc-title"/>
      </w:pPr>
      <w:hyperlink r:id="rId29" w:tooltip="D:Documents3GPPtsg_ranWG2TSGR2_116-eDocsR2-2110945.zip" w:history="1">
        <w:r w:rsidR="008F67F4" w:rsidRPr="00B46812">
          <w:rPr>
            <w:rStyle w:val="af5"/>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EE2CEB" w:rsidP="008F67F4">
      <w:pPr>
        <w:pStyle w:val="Doc-title"/>
      </w:pPr>
      <w:hyperlink r:id="rId30" w:history="1">
        <w:r w:rsidR="008F67F4" w:rsidRPr="008F67F4">
          <w:rPr>
            <w:rStyle w:val="af5"/>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a9"/>
      </w:pPr>
      <w:r w:rsidRPr="00DC0D8D">
        <w:rPr>
          <w:b/>
          <w:bCs/>
        </w:rPr>
        <w:t xml:space="preserve">Question </w:t>
      </w:r>
      <w:r>
        <w:rPr>
          <w:b/>
          <w:bCs/>
        </w:rPr>
        <w:t>1</w:t>
      </w:r>
      <w:r>
        <w:t>: Do company agree that current RRC signalling can already support the use case of inter-MN RRC resume without SN change?</w:t>
      </w:r>
    </w:p>
    <w:tbl>
      <w:tblPr>
        <w:tblStyle w:val="aff4"/>
        <w:tblW w:w="5000" w:type="pct"/>
        <w:tblLook w:val="04A0" w:firstRow="1" w:lastRow="0" w:firstColumn="1" w:lastColumn="0" w:noHBand="0" w:noVBand="1"/>
      </w:tblPr>
      <w:tblGrid>
        <w:gridCol w:w="2105"/>
        <w:gridCol w:w="1662"/>
        <w:gridCol w:w="6088"/>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a9"/>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a9"/>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EA0912">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EA0912">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1" w:tooltip="D:Documents3GPPtsg_ranWG2TSGR2_116-eDocsR2-2110945.zip" w:history="1">
              <w:r w:rsidRPr="00B46812">
                <w:rPr>
                  <w:rStyle w:val="af5"/>
                </w:rPr>
                <w:t>R2-2110945</w:t>
              </w:r>
            </w:hyperlink>
            <w:r>
              <w:rPr>
                <w:rStyle w:val="af5"/>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165DA779" w14:textId="6F4F944A" w:rsidR="005F1B0F" w:rsidRDefault="005F1B0F"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lang w:eastAsia="zh-CN"/>
              </w:rPr>
            </w:pPr>
            <w:r>
              <w:rPr>
                <w:rFonts w:ascii="Arial" w:eastAsiaTheme="minorEastAsia" w:hAnsi="Arial" w:cs="Arial"/>
                <w:lang w:eastAsia="zh-CN"/>
              </w:rPr>
              <w:t xml:space="preserve">We agree this scenario is supported in RRC signalling. RRC resume can be triggered in a different Pcell, and when network sends SCG configuration in RRCResume message, the SCG configuration can be either old SCG or a </w:t>
            </w:r>
            <w:r>
              <w:rPr>
                <w:rFonts w:ascii="Arial" w:eastAsiaTheme="minorEastAsia" w:hAnsi="Arial" w:cs="Arial"/>
                <w:lang w:eastAsia="zh-CN"/>
              </w:rPr>
              <w:lastRenderedPageBreak/>
              <w:t>new SCG.</w:t>
            </w:r>
          </w:p>
        </w:tc>
      </w:tr>
      <w:tr w:rsidR="00D055EA" w:rsidRPr="00D87CF0" w14:paraId="0590DC23" w14:textId="77777777" w:rsidTr="00EA0912">
        <w:trPr>
          <w:trHeight w:val="417"/>
        </w:trPr>
        <w:tc>
          <w:tcPr>
            <w:tcW w:w="1068" w:type="pct"/>
          </w:tcPr>
          <w:p w14:paraId="1A157150" w14:textId="4D8AC0E5" w:rsidR="00D055EA" w:rsidRDefault="00D055EA" w:rsidP="00815A4E">
            <w:pPr>
              <w:rPr>
                <w:rFonts w:ascii="Arial" w:eastAsiaTheme="minorEastAsia" w:hAnsi="Arial" w:cs="Arial"/>
                <w:lang w:eastAsia="zh-CN"/>
              </w:rPr>
            </w:pPr>
            <w:r>
              <w:rPr>
                <w:rFonts w:ascii="Arial" w:eastAsiaTheme="minorEastAsia" w:hAnsi="Arial" w:cs="Arial"/>
                <w:lang w:eastAsia="zh-CN"/>
              </w:rPr>
              <w:lastRenderedPageBreak/>
              <w:t>Ericsson</w:t>
            </w:r>
          </w:p>
        </w:tc>
        <w:tc>
          <w:tcPr>
            <w:tcW w:w="843" w:type="pct"/>
          </w:tcPr>
          <w:p w14:paraId="43A8C315" w14:textId="0EC06C1E" w:rsidR="00D055EA" w:rsidRDefault="00D055EA" w:rsidP="00815A4E">
            <w:pPr>
              <w:rPr>
                <w:rFonts w:ascii="Arial" w:eastAsiaTheme="minorEastAsia" w:hAnsi="Arial" w:cs="Arial"/>
                <w:lang w:eastAsia="zh-CN"/>
              </w:rPr>
            </w:pPr>
            <w:r>
              <w:rPr>
                <w:rFonts w:ascii="Arial" w:eastAsiaTheme="minorEastAsia" w:hAnsi="Arial" w:cs="Arial"/>
                <w:lang w:eastAsia="zh-CN"/>
              </w:rPr>
              <w:t>Yes but</w:t>
            </w:r>
          </w:p>
        </w:tc>
        <w:tc>
          <w:tcPr>
            <w:tcW w:w="3089" w:type="pct"/>
          </w:tcPr>
          <w:p w14:paraId="3C50DF3C" w14:textId="5BAC7C33" w:rsidR="00D055EA" w:rsidRDefault="00D055EA" w:rsidP="005F1B0F">
            <w:pPr>
              <w:rPr>
                <w:rFonts w:ascii="Arial" w:eastAsiaTheme="minorEastAsia" w:hAnsi="Arial" w:cs="Arial"/>
                <w:lang w:eastAsia="zh-CN"/>
              </w:rPr>
            </w:pPr>
            <w:r>
              <w:rPr>
                <w:rFonts w:ascii="Arial" w:eastAsiaTheme="minorEastAsia" w:hAnsi="Arial" w:cs="Arial"/>
                <w:lang w:eastAsia="zh-CN"/>
              </w:rPr>
              <w:t>Even if RAN2 signaling support this scenario, the RAN3 signalling is missing and thus we can say that the inter-MN RRC resume within SN change is currently not supported by 3GPP. This should be clear, unless RAN3 decides to support this scenario already from Rel-16.</w:t>
            </w:r>
          </w:p>
        </w:tc>
      </w:tr>
      <w:tr w:rsidR="00A224FA" w:rsidRPr="00D87CF0" w14:paraId="08E05EE2" w14:textId="77777777" w:rsidTr="00565DFA">
        <w:trPr>
          <w:trHeight w:val="417"/>
        </w:trPr>
        <w:tc>
          <w:tcPr>
            <w:tcW w:w="1068" w:type="pct"/>
          </w:tcPr>
          <w:p w14:paraId="4B403725"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9907123" w14:textId="77777777" w:rsidR="00A224FA" w:rsidRDefault="00A224FA" w:rsidP="00565DF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35513EBB" w14:textId="330E9E95" w:rsidR="00A224FA" w:rsidRDefault="00A224FA" w:rsidP="00565DFA">
            <w:pPr>
              <w:rPr>
                <w:rFonts w:ascii="Arial" w:eastAsiaTheme="minorEastAsia" w:hAnsi="Arial" w:cs="Arial"/>
                <w:lang w:eastAsia="zh-CN"/>
              </w:rPr>
            </w:pPr>
            <w:r w:rsidRPr="00B31870">
              <w:rPr>
                <w:rFonts w:ascii="Arial" w:eastAsiaTheme="minorEastAsia" w:hAnsi="Arial" w:cs="Arial"/>
                <w:lang w:eastAsia="zh-CN"/>
              </w:rPr>
              <w:t>The required RAN2</w:t>
            </w:r>
            <w:r w:rsidR="00AA48D6">
              <w:rPr>
                <w:rFonts w:ascii="Arial" w:eastAsiaTheme="minorEastAsia" w:hAnsi="Arial" w:cs="Arial"/>
                <w:lang w:eastAsia="zh-CN"/>
              </w:rPr>
              <w:t xml:space="preserve"> </w:t>
            </w:r>
            <w:r w:rsidR="00D91C05" w:rsidRPr="00B31870">
              <w:rPr>
                <w:rFonts w:ascii="Arial" w:eastAsiaTheme="minorEastAsia" w:hAnsi="Arial" w:cs="Arial"/>
                <w:lang w:eastAsia="zh-CN"/>
              </w:rPr>
              <w:t xml:space="preserve">signalling </w:t>
            </w:r>
            <w:r w:rsidR="00AA48D6">
              <w:rPr>
                <w:rFonts w:ascii="Arial" w:eastAsiaTheme="minorEastAsia" w:hAnsi="Arial" w:cs="Arial"/>
                <w:lang w:eastAsia="zh-CN"/>
              </w:rPr>
              <w:t>(including RRC</w:t>
            </w:r>
            <w:r w:rsidR="00D91C05">
              <w:rPr>
                <w:rFonts w:ascii="Arial" w:eastAsiaTheme="minorEastAsia" w:hAnsi="Arial" w:cs="Arial"/>
                <w:lang w:eastAsia="zh-CN"/>
              </w:rPr>
              <w:t xml:space="preserve"> signalling</w:t>
            </w:r>
            <w:r w:rsidR="00AA48D6">
              <w:rPr>
                <w:rFonts w:ascii="Arial" w:eastAsiaTheme="minorEastAsia" w:hAnsi="Arial" w:cs="Arial"/>
                <w:lang w:eastAsia="zh-CN"/>
              </w:rPr>
              <w:t>)</w:t>
            </w:r>
            <w:r w:rsidRPr="00B31870">
              <w:rPr>
                <w:rFonts w:ascii="Arial" w:eastAsiaTheme="minorEastAsia" w:hAnsi="Arial" w:cs="Arial"/>
                <w:lang w:eastAsia="zh-CN"/>
              </w:rPr>
              <w:t xml:space="preserve"> to support the feature is already available</w:t>
            </w:r>
            <w:r>
              <w:rPr>
                <w:rFonts w:ascii="Arial" w:eastAsiaTheme="minorEastAsia" w:hAnsi="Arial" w:cs="Arial"/>
                <w:lang w:eastAsia="zh-CN"/>
              </w:rPr>
              <w:t xml:space="preserve"> – specifically, the SCG restore mechanism in RRC resume.</w:t>
            </w:r>
            <w:r w:rsidRPr="00B31870">
              <w:rPr>
                <w:rFonts w:ascii="Arial" w:eastAsiaTheme="minorEastAsia" w:hAnsi="Arial" w:cs="Arial"/>
                <w:lang w:eastAsia="zh-CN"/>
              </w:rPr>
              <w:t xml:space="preserve"> </w:t>
            </w:r>
            <w:r>
              <w:rPr>
                <w:rFonts w:ascii="Arial" w:eastAsiaTheme="minorEastAsia" w:hAnsi="Arial" w:cs="Arial"/>
                <w:lang w:eastAsia="zh-CN"/>
              </w:rPr>
              <w:t>S</w:t>
            </w:r>
            <w:r w:rsidRPr="00B31870">
              <w:rPr>
                <w:rFonts w:ascii="Arial" w:eastAsiaTheme="minorEastAsia" w:hAnsi="Arial" w:cs="Arial"/>
                <w:lang w:eastAsia="zh-CN"/>
              </w:rPr>
              <w:t>o</w:t>
            </w:r>
            <w:r>
              <w:rPr>
                <w:rFonts w:ascii="Arial" w:eastAsiaTheme="minorEastAsia" w:hAnsi="Arial" w:cs="Arial"/>
                <w:lang w:eastAsia="zh-CN"/>
              </w:rPr>
              <w:t>,</w:t>
            </w:r>
            <w:r w:rsidRPr="00B31870">
              <w:rPr>
                <w:rFonts w:ascii="Arial" w:eastAsiaTheme="minorEastAsia" w:hAnsi="Arial" w:cs="Arial"/>
                <w:lang w:eastAsia="zh-CN"/>
              </w:rPr>
              <w:t xml:space="preserve"> there are no new RAN2 impacts in supporting the feature.</w:t>
            </w:r>
            <w:r>
              <w:rPr>
                <w:rFonts w:ascii="Arial" w:eastAsiaTheme="minorEastAsia" w:hAnsi="Arial" w:cs="Arial"/>
                <w:lang w:eastAsia="zh-CN"/>
              </w:rPr>
              <w:t xml:space="preserve"> </w:t>
            </w:r>
          </w:p>
        </w:tc>
      </w:tr>
      <w:tr w:rsidR="00506DFE" w:rsidRPr="00D87CF0" w14:paraId="4E86F68C" w14:textId="77777777" w:rsidTr="00EA0912">
        <w:trPr>
          <w:trHeight w:val="417"/>
        </w:trPr>
        <w:tc>
          <w:tcPr>
            <w:tcW w:w="1068" w:type="pct"/>
          </w:tcPr>
          <w:p w14:paraId="483F337C" w14:textId="4A0FDF8E" w:rsidR="00506DFE"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3BA703F9" w14:textId="27624866" w:rsidR="00506DFE" w:rsidRDefault="00DF0563" w:rsidP="00815A4E">
            <w:pPr>
              <w:rPr>
                <w:rFonts w:ascii="Arial" w:eastAsiaTheme="minorEastAsia" w:hAnsi="Arial" w:cs="Arial"/>
                <w:lang w:eastAsia="zh-CN"/>
              </w:rPr>
            </w:pPr>
            <w:r>
              <w:rPr>
                <w:rFonts w:ascii="Arial" w:eastAsiaTheme="minorEastAsia" w:hAnsi="Arial" w:cs="Arial"/>
                <w:lang w:eastAsia="zh-CN"/>
              </w:rPr>
              <w:t>Yes (from Rel-16)</w:t>
            </w:r>
          </w:p>
        </w:tc>
        <w:tc>
          <w:tcPr>
            <w:tcW w:w="3089" w:type="pct"/>
          </w:tcPr>
          <w:p w14:paraId="11503ED4" w14:textId="77777777" w:rsidR="00506DFE" w:rsidRDefault="00506DFE" w:rsidP="005F1B0F">
            <w:pPr>
              <w:rPr>
                <w:rFonts w:ascii="Arial" w:eastAsiaTheme="minorEastAsia" w:hAnsi="Arial" w:cs="Arial"/>
                <w:lang w:eastAsia="zh-CN"/>
              </w:rPr>
            </w:pPr>
          </w:p>
        </w:tc>
      </w:tr>
      <w:tr w:rsidR="00BD0357" w:rsidRPr="00D87CF0" w14:paraId="1AE8FF46" w14:textId="77777777" w:rsidTr="00EA0912">
        <w:trPr>
          <w:trHeight w:val="417"/>
        </w:trPr>
        <w:tc>
          <w:tcPr>
            <w:tcW w:w="1068" w:type="pct"/>
          </w:tcPr>
          <w:p w14:paraId="1C8C79C0" w14:textId="7795DB52"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Lenovo</w:t>
            </w:r>
          </w:p>
        </w:tc>
        <w:tc>
          <w:tcPr>
            <w:tcW w:w="843" w:type="pct"/>
          </w:tcPr>
          <w:p w14:paraId="5427890D" w14:textId="4B0BD026"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Yes</w:t>
            </w:r>
          </w:p>
        </w:tc>
        <w:tc>
          <w:tcPr>
            <w:tcW w:w="3089" w:type="pct"/>
          </w:tcPr>
          <w:p w14:paraId="0BC18A72" w14:textId="73B0DB77" w:rsidR="00BD0357" w:rsidRDefault="00BD0357" w:rsidP="005F1B0F">
            <w:pPr>
              <w:rPr>
                <w:rFonts w:ascii="Arial" w:eastAsiaTheme="minorEastAsia" w:hAnsi="Arial" w:cs="Arial"/>
                <w:lang w:eastAsia="zh-CN"/>
              </w:rPr>
            </w:pPr>
            <w:r>
              <w:rPr>
                <w:rFonts w:ascii="Arial" w:eastAsiaTheme="minorEastAsia" w:hAnsi="Arial" w:cs="Arial"/>
                <w:lang w:eastAsia="zh-CN"/>
              </w:rPr>
              <w:t>T</w:t>
            </w:r>
            <w:r>
              <w:rPr>
                <w:rFonts w:ascii="Arial" w:eastAsiaTheme="minorEastAsia" w:hAnsi="Arial" w:cs="Arial" w:hint="eastAsia"/>
                <w:lang w:eastAsia="zh-CN"/>
              </w:rPr>
              <w:t>he</w:t>
            </w:r>
            <w:r>
              <w:rPr>
                <w:rFonts w:ascii="Arial" w:eastAsiaTheme="minorEastAsia" w:hAnsi="Arial" w:cs="Arial"/>
                <w:lang w:eastAsia="zh-CN"/>
              </w:rPr>
              <w:t xml:space="preserve"> current specification does not forbid it.</w:t>
            </w:r>
          </w:p>
        </w:tc>
      </w:tr>
      <w:tr w:rsidR="00456AAA" w:rsidRPr="00D87CF0" w14:paraId="733C5B41" w14:textId="77777777" w:rsidTr="00EA0912">
        <w:trPr>
          <w:trHeight w:val="417"/>
        </w:trPr>
        <w:tc>
          <w:tcPr>
            <w:tcW w:w="1068" w:type="pct"/>
          </w:tcPr>
          <w:p w14:paraId="70FDB760" w14:textId="6D85D2F5"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5070DAC8" w14:textId="501EE04E" w:rsidR="00456AAA" w:rsidRDefault="00456AAA"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485FCB5" w14:textId="464F4C69" w:rsidR="00456AAA" w:rsidRDefault="00456AAA" w:rsidP="005F1B0F">
            <w:pPr>
              <w:rPr>
                <w:rFonts w:ascii="Arial" w:eastAsiaTheme="minorEastAsia" w:hAnsi="Arial" w:cs="Arial"/>
                <w:lang w:eastAsia="zh-CN"/>
              </w:rPr>
            </w:pPr>
            <w:r w:rsidRPr="00456AAA">
              <w:rPr>
                <w:rFonts w:ascii="Arial" w:eastAsiaTheme="minorEastAsia" w:hAnsi="Arial" w:cs="Arial"/>
                <w:lang w:eastAsia="zh-CN"/>
              </w:rPr>
              <w:t>From RAN2 perspective,the current RRC specification can support the use case i.e. inter-MN RRC resume without SN change, there are no new RAN2 impacts need to be introduced.</w:t>
            </w:r>
          </w:p>
        </w:tc>
      </w:tr>
      <w:tr w:rsidR="00E65783" w:rsidRPr="00D87CF0" w14:paraId="00D0B9B7" w14:textId="77777777" w:rsidTr="00EA0912">
        <w:trPr>
          <w:trHeight w:val="417"/>
        </w:trPr>
        <w:tc>
          <w:tcPr>
            <w:tcW w:w="1068" w:type="pct"/>
          </w:tcPr>
          <w:p w14:paraId="14384112" w14:textId="5EC73A14" w:rsidR="00E65783" w:rsidRDefault="00E65783" w:rsidP="00815A4E">
            <w:pPr>
              <w:rPr>
                <w:rFonts w:ascii="Arial" w:eastAsiaTheme="minorEastAsia" w:hAnsi="Arial" w:cs="Arial"/>
                <w:lang w:eastAsia="zh-CN"/>
              </w:rPr>
            </w:pPr>
            <w:r>
              <w:rPr>
                <w:rFonts w:ascii="Arial" w:eastAsiaTheme="minorEastAsia" w:hAnsi="Arial" w:cs="Arial"/>
                <w:lang w:eastAsia="zh-CN"/>
              </w:rPr>
              <w:t>OPPO</w:t>
            </w:r>
          </w:p>
        </w:tc>
        <w:tc>
          <w:tcPr>
            <w:tcW w:w="843" w:type="pct"/>
          </w:tcPr>
          <w:p w14:paraId="4D251718" w14:textId="290618A6" w:rsidR="00E65783" w:rsidRDefault="00E65783" w:rsidP="00815A4E">
            <w:pP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22F3DF78" w14:textId="436D05CD" w:rsidR="00E65783" w:rsidRPr="00456AAA" w:rsidRDefault="00584662" w:rsidP="005F1B0F">
            <w:pPr>
              <w:rPr>
                <w:rFonts w:ascii="Arial" w:eastAsiaTheme="minorEastAsia" w:hAnsi="Arial" w:cs="Arial"/>
                <w:lang w:eastAsia="zh-CN"/>
              </w:rPr>
            </w:pPr>
            <w:r>
              <w:rPr>
                <w:rFonts w:ascii="Arial" w:eastAsiaTheme="minorEastAsia" w:hAnsi="Arial" w:cs="Arial"/>
                <w:lang w:eastAsia="zh-CN"/>
              </w:rPr>
              <w:t xml:space="preserve">This case is </w:t>
            </w:r>
            <w:r w:rsidR="00E65783">
              <w:rPr>
                <w:rFonts w:ascii="Arial" w:eastAsiaTheme="minorEastAsia" w:hAnsi="Arial" w:cs="Arial"/>
                <w:lang w:eastAsia="zh-CN"/>
              </w:rPr>
              <w:t xml:space="preserve">supported </w:t>
            </w:r>
            <w:r w:rsidR="00DC06C2">
              <w:rPr>
                <w:rFonts w:ascii="Arial" w:eastAsiaTheme="minorEastAsia" w:hAnsi="Arial" w:cs="Arial"/>
                <w:lang w:eastAsia="zh-CN"/>
              </w:rPr>
              <w:t xml:space="preserve">by </w:t>
            </w:r>
            <w:r w:rsidR="00E65783">
              <w:rPr>
                <w:rFonts w:ascii="Arial" w:eastAsiaTheme="minorEastAsia" w:hAnsi="Arial" w:cs="Arial"/>
                <w:lang w:eastAsia="zh-CN"/>
              </w:rPr>
              <w:t xml:space="preserve">current </w:t>
            </w:r>
            <w:r w:rsidR="007D513B">
              <w:rPr>
                <w:rFonts w:ascii="Arial" w:eastAsiaTheme="minorEastAsia" w:hAnsi="Arial" w:cs="Arial"/>
                <w:lang w:eastAsia="zh-CN"/>
              </w:rPr>
              <w:t xml:space="preserve">RAN2 </w:t>
            </w:r>
            <w:r>
              <w:rPr>
                <w:rFonts w:ascii="Arial" w:eastAsiaTheme="minorEastAsia" w:hAnsi="Arial" w:cs="Arial"/>
                <w:lang w:eastAsia="zh-CN"/>
              </w:rPr>
              <w:t>signalling.</w:t>
            </w:r>
            <w:bookmarkStart w:id="1" w:name="_GoBack"/>
            <w:bookmarkEnd w:id="1"/>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a9"/>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aff4"/>
        <w:tblW w:w="5000" w:type="pct"/>
        <w:tblLook w:val="04A0" w:firstRow="1" w:lastRow="0" w:firstColumn="1" w:lastColumn="0" w:noHBand="0" w:noVBand="1"/>
      </w:tblPr>
      <w:tblGrid>
        <w:gridCol w:w="2105"/>
        <w:gridCol w:w="1662"/>
        <w:gridCol w:w="6088"/>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E5DEB2D" w14:textId="532CE79D" w:rsidR="008F67F4" w:rsidRDefault="008F67F4" w:rsidP="00EA0912">
            <w:pPr>
              <w:pStyle w:val="a9"/>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a9"/>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AA9A2EF" w14:textId="09CFF41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7A80CBDA" w14:textId="40A1825D" w:rsidR="005F1B0F" w:rsidRDefault="005F1B0F"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aff"/>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aff"/>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 xml:space="preserve">hough from SN perspective, it </w:t>
            </w:r>
            <w:r w:rsidR="00617B83">
              <w:rPr>
                <w:rFonts w:ascii="Arial" w:eastAsiaTheme="minorEastAsia" w:hAnsi="Arial" w:cs="Arial"/>
                <w:lang w:val="de-DE" w:eastAsia="zh-CN"/>
              </w:rPr>
              <w:lastRenderedPageBreak/>
              <w:t>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lang w:eastAsia="zh-CN"/>
              </w:rPr>
            </w:pPr>
            <w:r>
              <w:rPr>
                <w:rFonts w:ascii="Arial" w:eastAsiaTheme="minorEastAsia" w:hAnsi="Arial" w:cs="Arial"/>
                <w:lang w:eastAsia="zh-CN"/>
              </w:rPr>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37A00D4D" w:rsidR="005F1B0F" w:rsidRDefault="00D055EA" w:rsidP="00815A4E">
            <w:pPr>
              <w:rPr>
                <w:rFonts w:ascii="Arial" w:eastAsiaTheme="minorEastAsia" w:hAnsi="Arial" w:cs="Arial"/>
                <w:lang w:eastAsia="zh-CN"/>
              </w:rPr>
            </w:pPr>
            <w:r>
              <w:rPr>
                <w:rFonts w:ascii="Arial" w:eastAsiaTheme="minorEastAsia" w:hAnsi="Arial" w:cs="Arial"/>
                <w:lang w:eastAsia="zh-CN"/>
              </w:rPr>
              <w:lastRenderedPageBreak/>
              <w:t>Ericsson</w:t>
            </w:r>
          </w:p>
        </w:tc>
        <w:tc>
          <w:tcPr>
            <w:tcW w:w="843" w:type="pct"/>
          </w:tcPr>
          <w:p w14:paraId="2BA76286" w14:textId="79DAEF63" w:rsidR="005F1B0F" w:rsidRDefault="00D055EA"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F7B8AD7" w14:textId="536C0EA5" w:rsidR="005F1B0F" w:rsidRDefault="00D055EA" w:rsidP="00815A4E">
            <w:pPr>
              <w:rPr>
                <w:rFonts w:ascii="Arial" w:eastAsiaTheme="minorEastAsia" w:hAnsi="Arial" w:cs="Arial"/>
                <w:lang w:eastAsia="zh-CN"/>
              </w:rPr>
            </w:pPr>
            <w:r>
              <w:rPr>
                <w:rFonts w:ascii="Arial" w:eastAsiaTheme="minorEastAsia" w:hAnsi="Arial" w:cs="Arial"/>
                <w:lang w:eastAsia="zh-CN"/>
              </w:rPr>
              <w:t>Given that Rel-16 is fronzen for quite some time and that there is no real urgency to support this scenario, we prefer to introduce it from Rel-17.</w:t>
            </w:r>
          </w:p>
        </w:tc>
      </w:tr>
      <w:tr w:rsidR="00A00187" w:rsidRPr="00D87CF0" w14:paraId="5B4CDF5F" w14:textId="77777777" w:rsidTr="00565DFA">
        <w:trPr>
          <w:trHeight w:val="417"/>
        </w:trPr>
        <w:tc>
          <w:tcPr>
            <w:tcW w:w="1068" w:type="pct"/>
          </w:tcPr>
          <w:p w14:paraId="56DDE280"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19473A05"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Rel-16</w:t>
            </w:r>
          </w:p>
        </w:tc>
        <w:tc>
          <w:tcPr>
            <w:tcW w:w="3089" w:type="pct"/>
          </w:tcPr>
          <w:p w14:paraId="5C898C69"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We prefer to have this feature in Rel-16 since the required RAN2 signaling to support it is available in Rel-16. It enables the UE to enjoy the benefits of keeping SCG in resume early, as Intra-MN resume and Inter-MN resume are transparent to the UE. </w:t>
            </w:r>
          </w:p>
          <w:p w14:paraId="23DC73A2" w14:textId="77777777" w:rsidR="00A00187" w:rsidRDefault="00A00187" w:rsidP="00565DFA">
            <w:pPr>
              <w:rPr>
                <w:rFonts w:ascii="Arial" w:eastAsiaTheme="minorEastAsia" w:hAnsi="Arial" w:cs="Arial"/>
                <w:lang w:eastAsia="zh-CN"/>
              </w:rPr>
            </w:pPr>
            <w:r>
              <w:rPr>
                <w:rFonts w:ascii="Arial" w:eastAsiaTheme="minorEastAsia" w:hAnsi="Arial" w:cs="Arial"/>
                <w:lang w:eastAsia="zh-CN"/>
              </w:rPr>
              <w:t xml:space="preserve">However, as there are network (RAN3) impacts that are being worked out, we would be fine with supporting this feature in Rel-17 also. Regarding the use case, we do not think it is a rare case in real deployments, e.g., it is possible that though serving MN has changed, the SN may continue to be able to serve the UE </w:t>
            </w:r>
            <w:r w:rsidRPr="001A1DCB">
              <w:rPr>
                <w:rFonts w:ascii="Arial" w:eastAsiaTheme="minorEastAsia" w:hAnsi="Arial" w:cs="Arial"/>
                <w:lang w:eastAsia="zh-CN"/>
              </w:rPr>
              <w:t>since SN coverage is different and may even be larger than the MN, e.g., in the NE-DC case.</w:t>
            </w:r>
            <w:r>
              <w:rPr>
                <w:rFonts w:ascii="Arial" w:eastAsiaTheme="minorEastAsia" w:hAnsi="Arial" w:cs="Arial"/>
                <w:lang w:eastAsia="zh-CN"/>
              </w:rPr>
              <w:t xml:space="preserve"> We support such mobility scenarios, e.g., Inter-MN HO without SN change, and this is a similar scenario. </w:t>
            </w:r>
          </w:p>
        </w:tc>
      </w:tr>
      <w:tr w:rsidR="003F37EA" w:rsidRPr="00D87CF0" w14:paraId="6E24007C" w14:textId="77777777" w:rsidTr="00EA0912">
        <w:trPr>
          <w:trHeight w:val="417"/>
        </w:trPr>
        <w:tc>
          <w:tcPr>
            <w:tcW w:w="1068" w:type="pct"/>
          </w:tcPr>
          <w:p w14:paraId="1FF0C95B" w14:textId="192DC6BD" w:rsidR="003F37EA" w:rsidRDefault="00DF0563" w:rsidP="00815A4E">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73697B3B" w14:textId="0C2DF8EF" w:rsidR="003F37EA" w:rsidRDefault="00DF0563"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30A968BE" w14:textId="52AEC695" w:rsidR="003F37EA" w:rsidRDefault="00DF0563" w:rsidP="00DF0563">
            <w:pPr>
              <w:rPr>
                <w:rFonts w:ascii="Arial" w:eastAsiaTheme="minorEastAsia" w:hAnsi="Arial" w:cs="Arial"/>
                <w:lang w:eastAsia="zh-CN"/>
              </w:rPr>
            </w:pPr>
            <w:r>
              <w:rPr>
                <w:rFonts w:ascii="Arial" w:eastAsiaTheme="minorEastAsia" w:hAnsi="Arial" w:cs="Arial"/>
                <w:lang w:eastAsia="zh-CN"/>
              </w:rPr>
              <w:t>Since the additional work is mainly in RAN3, it is more reasonable to let RAN3 make the decision.</w:t>
            </w:r>
          </w:p>
        </w:tc>
      </w:tr>
      <w:tr w:rsidR="00BD0357" w:rsidRPr="00D87CF0" w14:paraId="35CDDE0B" w14:textId="77777777" w:rsidTr="00EA0912">
        <w:trPr>
          <w:trHeight w:val="417"/>
        </w:trPr>
        <w:tc>
          <w:tcPr>
            <w:tcW w:w="1068" w:type="pct"/>
          </w:tcPr>
          <w:p w14:paraId="5926840E" w14:textId="45441F73"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843" w:type="pct"/>
          </w:tcPr>
          <w:p w14:paraId="35A4F8AF" w14:textId="1B0DE6FE" w:rsidR="00BD0357" w:rsidRDefault="00BD0357"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14E5251F" w14:textId="07FD56FD" w:rsidR="00BD0357" w:rsidRDefault="00BD0357" w:rsidP="00DF0563">
            <w:pPr>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AN3 just asked if the current specification can support or not.</w:t>
            </w:r>
          </w:p>
        </w:tc>
      </w:tr>
      <w:tr w:rsidR="00456AAA" w:rsidRPr="00D87CF0" w14:paraId="373C62E1" w14:textId="77777777" w:rsidTr="00EA0912">
        <w:trPr>
          <w:trHeight w:val="417"/>
        </w:trPr>
        <w:tc>
          <w:tcPr>
            <w:tcW w:w="1068" w:type="pct"/>
          </w:tcPr>
          <w:p w14:paraId="4C85C2E5" w14:textId="16EB75A3" w:rsidR="00456AAA" w:rsidRDefault="00456AAA" w:rsidP="00815A4E">
            <w:pPr>
              <w:rPr>
                <w:rFonts w:ascii="Arial" w:eastAsiaTheme="minorEastAsia" w:hAnsi="Arial" w:cs="Arial"/>
                <w:lang w:eastAsia="zh-CN"/>
              </w:rPr>
            </w:pPr>
            <w:r>
              <w:rPr>
                <w:rFonts w:ascii="Arial" w:eastAsiaTheme="minorEastAsia" w:hAnsi="Arial" w:cs="Arial"/>
                <w:lang w:eastAsia="zh-CN"/>
              </w:rPr>
              <w:t>CATT</w:t>
            </w:r>
          </w:p>
        </w:tc>
        <w:tc>
          <w:tcPr>
            <w:tcW w:w="843" w:type="pct"/>
          </w:tcPr>
          <w:p w14:paraId="4292B0DF" w14:textId="620CBA6A" w:rsidR="00456AAA" w:rsidRDefault="00456AAA" w:rsidP="00815A4E">
            <w:pPr>
              <w:rPr>
                <w:rFonts w:ascii="Arial" w:eastAsiaTheme="minorEastAsia" w:hAnsi="Arial" w:cs="Arial"/>
                <w:lang w:eastAsia="zh-CN"/>
              </w:rPr>
            </w:pPr>
            <w:r>
              <w:rPr>
                <w:rFonts w:ascii="Arial" w:eastAsiaTheme="minorEastAsia" w:hAnsi="Arial" w:cs="Arial"/>
                <w:lang w:eastAsia="zh-CN"/>
              </w:rPr>
              <w:t>Left to RAN3 discussion</w:t>
            </w:r>
          </w:p>
        </w:tc>
        <w:tc>
          <w:tcPr>
            <w:tcW w:w="3089" w:type="pct"/>
          </w:tcPr>
          <w:p w14:paraId="10982126" w14:textId="3D5D9AC5" w:rsidR="00456AAA" w:rsidRDefault="00456AAA" w:rsidP="00DF0563">
            <w:pPr>
              <w:rPr>
                <w:rFonts w:ascii="Arial" w:eastAsiaTheme="minorEastAsia" w:hAnsi="Arial" w:cs="Arial"/>
                <w:lang w:eastAsia="zh-CN"/>
              </w:rPr>
            </w:pPr>
            <w:r w:rsidRPr="00456AAA">
              <w:rPr>
                <w:rFonts w:ascii="Arial" w:eastAsiaTheme="minorEastAsia" w:hAnsi="Arial" w:cs="Arial"/>
                <w:lang w:eastAsia="zh-CN"/>
              </w:rPr>
              <w:t>Considering the required RAN2 signaling is available in Rel-16, no more RAN2 impacts need to be introduced, the  enhancements are mainly in the RAN3 interface aspects, therefore, it is up to RAN3 which release verson (i.e. Rel-16 or Rel-17) to support the use case.</w:t>
            </w:r>
          </w:p>
        </w:tc>
      </w:tr>
      <w:tr w:rsidR="005E4C31" w:rsidRPr="00D87CF0" w14:paraId="1E423E19" w14:textId="77777777" w:rsidTr="00EA0912">
        <w:trPr>
          <w:trHeight w:val="417"/>
        </w:trPr>
        <w:tc>
          <w:tcPr>
            <w:tcW w:w="1068" w:type="pct"/>
          </w:tcPr>
          <w:p w14:paraId="61907AFA" w14:textId="24739876"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ECAA19B" w14:textId="2F0EC37F" w:rsidR="005E4C31" w:rsidRDefault="005E4C31" w:rsidP="00815A4E">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eft to RAN3</w:t>
            </w:r>
          </w:p>
        </w:tc>
        <w:tc>
          <w:tcPr>
            <w:tcW w:w="3089" w:type="pct"/>
          </w:tcPr>
          <w:p w14:paraId="3EA6C0E1" w14:textId="2D56F397" w:rsidR="005E4C31" w:rsidRPr="00456AAA" w:rsidRDefault="005E4C31" w:rsidP="00DF0563">
            <w:pPr>
              <w:rPr>
                <w:rFonts w:ascii="Arial" w:eastAsiaTheme="minorEastAsia" w:hAnsi="Arial" w:cs="Arial"/>
                <w:lang w:eastAsia="zh-CN"/>
              </w:rPr>
            </w:pP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2" w:history="1">
        <w:r w:rsidRPr="008F67F4">
          <w:rPr>
            <w:rStyle w:val="af5"/>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a9"/>
      </w:pPr>
      <w:r w:rsidRPr="00DC0D8D">
        <w:rPr>
          <w:b/>
          <w:bCs/>
        </w:rPr>
        <w:t xml:space="preserve">Question </w:t>
      </w:r>
      <w:r>
        <w:rPr>
          <w:b/>
          <w:bCs/>
        </w:rPr>
        <w:t>3</w:t>
      </w:r>
      <w:r>
        <w:t xml:space="preserve">: Do companies agree with the changes proposed in </w:t>
      </w:r>
      <w:hyperlink r:id="rId33" w:history="1">
        <w:r w:rsidRPr="008F67F4">
          <w:rPr>
            <w:rStyle w:val="af5"/>
          </w:rPr>
          <w:t>R2-2110684</w:t>
        </w:r>
      </w:hyperlink>
      <w:r>
        <w:t>?</w:t>
      </w:r>
    </w:p>
    <w:tbl>
      <w:tblPr>
        <w:tblStyle w:val="aff4"/>
        <w:tblW w:w="5000" w:type="pct"/>
        <w:tblLook w:val="04A0" w:firstRow="1" w:lastRow="0" w:firstColumn="1" w:lastColumn="0" w:noHBand="0" w:noVBand="1"/>
      </w:tblPr>
      <w:tblGrid>
        <w:gridCol w:w="2105"/>
        <w:gridCol w:w="1662"/>
        <w:gridCol w:w="6088"/>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a9"/>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a9"/>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a9"/>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of inter-MN RRC resume without SN change in 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4" w:tooltip="D:Documents3GPPtsg_ranWG2TSGR2_116-eDocsR2-2110945.zip" w:history="1">
              <w:r w:rsidRPr="00B46812">
                <w:rPr>
                  <w:rStyle w:val="af5"/>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RRCResume procedure. Just as we mentioned, network needs to trigger</w:t>
            </w:r>
            <w:r>
              <w:rPr>
                <w:rFonts w:ascii="Arial" w:hAnsi="Arial" w:cs="Arial"/>
              </w:rPr>
              <w:t xml:space="preserve"> it </w:t>
            </w:r>
            <w:r w:rsidR="00617B83">
              <w:rPr>
                <w:rFonts w:ascii="Arial" w:hAnsi="Arial" w:cs="Arial"/>
              </w:rPr>
              <w:t xml:space="preserve">blindly. But the spec should not prevent network from doing it. </w:t>
            </w:r>
          </w:p>
        </w:tc>
      </w:tr>
      <w:tr w:rsidR="00D055EA" w:rsidRPr="00D87CF0" w14:paraId="6E17AEFF" w14:textId="77777777" w:rsidTr="00EA0912">
        <w:trPr>
          <w:trHeight w:val="417"/>
        </w:trPr>
        <w:tc>
          <w:tcPr>
            <w:tcW w:w="1068" w:type="pct"/>
          </w:tcPr>
          <w:p w14:paraId="6F3CEE9B" w14:textId="32446F47" w:rsidR="00D055EA" w:rsidRDefault="00D055EA" w:rsidP="00815A4E">
            <w:pPr>
              <w:rPr>
                <w:rFonts w:ascii="Arial" w:hAnsi="Arial" w:cs="Arial"/>
              </w:rPr>
            </w:pPr>
            <w:r>
              <w:rPr>
                <w:rFonts w:ascii="Arial" w:hAnsi="Arial" w:cs="Arial"/>
              </w:rPr>
              <w:t>Ericsson</w:t>
            </w:r>
          </w:p>
        </w:tc>
        <w:tc>
          <w:tcPr>
            <w:tcW w:w="843" w:type="pct"/>
          </w:tcPr>
          <w:p w14:paraId="0F9AA546" w14:textId="5E90B935" w:rsidR="00D055EA" w:rsidRDefault="00D055EA" w:rsidP="00815A4E">
            <w:pPr>
              <w:rPr>
                <w:rFonts w:ascii="Arial" w:hAnsi="Arial" w:cs="Arial"/>
              </w:rPr>
            </w:pPr>
            <w:r>
              <w:rPr>
                <w:rFonts w:ascii="Arial" w:hAnsi="Arial" w:cs="Arial"/>
              </w:rPr>
              <w:t>Yes with comment</w:t>
            </w:r>
          </w:p>
        </w:tc>
        <w:tc>
          <w:tcPr>
            <w:tcW w:w="3089" w:type="pct"/>
          </w:tcPr>
          <w:p w14:paraId="225DF68A" w14:textId="77777777" w:rsidR="00D055EA" w:rsidRDefault="00D055EA" w:rsidP="00EA0912">
            <w:pPr>
              <w:rPr>
                <w:rFonts w:ascii="Arial" w:hAnsi="Arial" w:cs="Arial"/>
              </w:rPr>
            </w:pPr>
            <w:r>
              <w:rPr>
                <w:rFonts w:ascii="Arial" w:hAnsi="Arial" w:cs="Arial"/>
              </w:rPr>
              <w:t xml:space="preserve">If RAN3 decides to introduce the scenario of inter-MN RRC resume without SN change in Rel-17, a clarification is needed since there is no current support on RAN3 for it. </w:t>
            </w:r>
          </w:p>
          <w:p w14:paraId="3AC336BC" w14:textId="1D67576B" w:rsidR="00D055EA" w:rsidRDefault="00D055EA" w:rsidP="00EA0912">
            <w:pPr>
              <w:rPr>
                <w:rFonts w:ascii="Arial" w:hAnsi="Arial" w:cs="Arial"/>
              </w:rPr>
            </w:pPr>
            <w:r>
              <w:rPr>
                <w:rFonts w:ascii="Arial" w:hAnsi="Arial" w:cs="Arial"/>
              </w:rPr>
              <w:t>Also, it is true that the network can keep the SN blindly but does it really work for inter-vendor deployment? Our understanding is that this may create IODT issues.</w:t>
            </w:r>
          </w:p>
        </w:tc>
      </w:tr>
      <w:tr w:rsidR="00632753" w:rsidRPr="00D87CF0" w14:paraId="1B09A504" w14:textId="77777777" w:rsidTr="00565DFA">
        <w:trPr>
          <w:trHeight w:val="417"/>
        </w:trPr>
        <w:tc>
          <w:tcPr>
            <w:tcW w:w="1068" w:type="pct"/>
          </w:tcPr>
          <w:p w14:paraId="6E00AC16" w14:textId="77777777" w:rsidR="00632753" w:rsidRDefault="00632753" w:rsidP="00565DFA">
            <w:pPr>
              <w:rPr>
                <w:rFonts w:ascii="Arial" w:hAnsi="Arial" w:cs="Arial"/>
              </w:rPr>
            </w:pPr>
            <w:r>
              <w:rPr>
                <w:rFonts w:ascii="Arial" w:hAnsi="Arial" w:cs="Arial"/>
              </w:rPr>
              <w:t>Qualcomm</w:t>
            </w:r>
          </w:p>
        </w:tc>
        <w:tc>
          <w:tcPr>
            <w:tcW w:w="843" w:type="pct"/>
          </w:tcPr>
          <w:p w14:paraId="2AD6B9E3" w14:textId="77777777" w:rsidR="00632753" w:rsidRDefault="00632753" w:rsidP="00565DFA">
            <w:pPr>
              <w:rPr>
                <w:rFonts w:ascii="Arial" w:hAnsi="Arial" w:cs="Arial"/>
              </w:rPr>
            </w:pPr>
            <w:r>
              <w:rPr>
                <w:rFonts w:ascii="Arial" w:hAnsi="Arial" w:cs="Arial"/>
              </w:rPr>
              <w:t>No</w:t>
            </w:r>
          </w:p>
        </w:tc>
        <w:tc>
          <w:tcPr>
            <w:tcW w:w="3089" w:type="pct"/>
          </w:tcPr>
          <w:p w14:paraId="0AA5F08A" w14:textId="77777777" w:rsidR="00632753" w:rsidRDefault="00632753" w:rsidP="00565DFA">
            <w:pPr>
              <w:rPr>
                <w:rFonts w:ascii="Arial" w:hAnsi="Arial" w:cs="Arial"/>
              </w:rPr>
            </w:pPr>
            <w:r>
              <w:rPr>
                <w:rFonts w:ascii="Arial" w:hAnsi="Arial" w:cs="Arial"/>
              </w:rPr>
              <w:t>As pointed out by Huawei, UE does not know/cannot differentiate whether it is an Intra-MN resume or Inter-MN resume procedure.</w:t>
            </w:r>
          </w:p>
        </w:tc>
      </w:tr>
      <w:tr w:rsidR="00AA1F8A" w:rsidRPr="00D87CF0" w14:paraId="3B58AF99" w14:textId="77777777" w:rsidTr="00EA0912">
        <w:trPr>
          <w:trHeight w:val="417"/>
        </w:trPr>
        <w:tc>
          <w:tcPr>
            <w:tcW w:w="1068" w:type="pct"/>
          </w:tcPr>
          <w:p w14:paraId="67EFBDC0" w14:textId="0DD806D4" w:rsidR="00AA1F8A" w:rsidRDefault="00DF0563" w:rsidP="00815A4E">
            <w:pPr>
              <w:rPr>
                <w:rFonts w:ascii="Arial" w:hAnsi="Arial" w:cs="Arial"/>
              </w:rPr>
            </w:pPr>
            <w:r>
              <w:rPr>
                <w:rFonts w:ascii="Arial" w:hAnsi="Arial" w:cs="Arial"/>
              </w:rPr>
              <w:t>MediaTek</w:t>
            </w:r>
          </w:p>
        </w:tc>
        <w:tc>
          <w:tcPr>
            <w:tcW w:w="843" w:type="pct"/>
          </w:tcPr>
          <w:p w14:paraId="734F60B7" w14:textId="69F0F822" w:rsidR="00AA1F8A" w:rsidRDefault="00DF0563" w:rsidP="00815A4E">
            <w:pPr>
              <w:rPr>
                <w:rFonts w:ascii="Arial" w:hAnsi="Arial" w:cs="Arial"/>
              </w:rPr>
            </w:pPr>
            <w:r>
              <w:rPr>
                <w:rFonts w:ascii="Arial" w:hAnsi="Arial" w:cs="Arial"/>
              </w:rPr>
              <w:t>No strong view</w:t>
            </w:r>
          </w:p>
        </w:tc>
        <w:tc>
          <w:tcPr>
            <w:tcW w:w="3089" w:type="pct"/>
          </w:tcPr>
          <w:p w14:paraId="473E47E3" w14:textId="5EE16AD5" w:rsidR="00AA1F8A" w:rsidRDefault="00DF0563" w:rsidP="00EA0912">
            <w:pPr>
              <w:rPr>
                <w:rFonts w:ascii="Arial" w:hAnsi="Arial" w:cs="Arial"/>
              </w:rPr>
            </w:pPr>
            <w:r>
              <w:rPr>
                <w:rFonts w:ascii="Arial" w:hAnsi="Arial" w:cs="Arial"/>
              </w:rPr>
              <w:t xml:space="preserve">This depends on whether </w:t>
            </w:r>
            <w:r>
              <w:rPr>
                <w:rFonts w:ascii="Arial" w:eastAsia="Malgun Gothic" w:hAnsi="Arial" w:cs="Arial" w:hint="eastAsia"/>
                <w:lang w:eastAsia="ko-KR"/>
              </w:rPr>
              <w:t>inter-MN RRC resume without SN change is support</w:t>
            </w:r>
            <w:r>
              <w:rPr>
                <w:rFonts w:ascii="Arial" w:eastAsia="Malgun Gothic" w:hAnsi="Arial" w:cs="Arial"/>
                <w:lang w:eastAsia="ko-KR"/>
              </w:rPr>
              <w:t>ed in Rel-16.</w:t>
            </w:r>
          </w:p>
        </w:tc>
      </w:tr>
      <w:tr w:rsidR="00BD0357" w:rsidRPr="00D87CF0" w14:paraId="41222AE8" w14:textId="77777777" w:rsidTr="00EA0912">
        <w:trPr>
          <w:trHeight w:val="417"/>
        </w:trPr>
        <w:tc>
          <w:tcPr>
            <w:tcW w:w="1068" w:type="pct"/>
          </w:tcPr>
          <w:p w14:paraId="452C4A03" w14:textId="4B073994" w:rsidR="00BD0357" w:rsidRDefault="00456AAA" w:rsidP="00815A4E">
            <w:pPr>
              <w:rPr>
                <w:rFonts w:ascii="Arial" w:hAnsi="Arial" w:cs="Arial"/>
              </w:rPr>
            </w:pPr>
            <w:r>
              <w:rPr>
                <w:rFonts w:ascii="Arial" w:hAnsi="Arial" w:cs="Arial"/>
              </w:rPr>
              <w:t>CATT</w:t>
            </w:r>
          </w:p>
        </w:tc>
        <w:tc>
          <w:tcPr>
            <w:tcW w:w="843" w:type="pct"/>
          </w:tcPr>
          <w:p w14:paraId="4F20232A" w14:textId="1FF4B1BD" w:rsidR="00BD0357" w:rsidRDefault="00456AAA" w:rsidP="00815A4E">
            <w:pPr>
              <w:rPr>
                <w:rFonts w:ascii="Arial" w:hAnsi="Arial" w:cs="Arial"/>
              </w:rPr>
            </w:pPr>
            <w:r>
              <w:rPr>
                <w:rFonts w:ascii="Arial" w:hAnsi="Arial" w:cs="Arial"/>
              </w:rPr>
              <w:t>See comment</w:t>
            </w:r>
          </w:p>
        </w:tc>
        <w:tc>
          <w:tcPr>
            <w:tcW w:w="3089" w:type="pct"/>
          </w:tcPr>
          <w:p w14:paraId="1EF1E670" w14:textId="3A02FA5A" w:rsidR="00BD0357" w:rsidRDefault="00456AAA" w:rsidP="00EA0912">
            <w:pPr>
              <w:rPr>
                <w:rFonts w:ascii="Arial" w:hAnsi="Arial" w:cs="Arial"/>
              </w:rPr>
            </w:pPr>
            <w:r w:rsidRPr="00456AAA">
              <w:rPr>
                <w:rFonts w:ascii="Arial" w:hAnsi="Arial" w:cs="Arial"/>
              </w:rPr>
              <w:t>As mentioned above, it depends on whether inter-MN RRC resume without SN change is supported in Rel-16 or R17. Furthermore how to configure the SCG is up to NW, so it seems no need to introdcue too much restrictions.</w:t>
            </w:r>
          </w:p>
        </w:tc>
      </w:tr>
      <w:tr w:rsidR="00145F5B" w:rsidRPr="00D87CF0" w14:paraId="1E90A1A0" w14:textId="77777777" w:rsidTr="00EA0912">
        <w:trPr>
          <w:trHeight w:val="417"/>
        </w:trPr>
        <w:tc>
          <w:tcPr>
            <w:tcW w:w="1068" w:type="pct"/>
          </w:tcPr>
          <w:p w14:paraId="0652F64E" w14:textId="6FC2F4F0" w:rsidR="00145F5B" w:rsidRPr="00145F5B" w:rsidRDefault="00145F5B" w:rsidP="00815A4E">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7BFC183" w14:textId="7907910B" w:rsidR="00145F5B" w:rsidRPr="00145F5B" w:rsidRDefault="00145F5B" w:rsidP="00815A4E">
            <w:pPr>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526F9AC0" w14:textId="1D82EE83" w:rsidR="00145F5B" w:rsidRPr="00145F5B" w:rsidRDefault="00145F5B" w:rsidP="00EA0912">
            <w:pPr>
              <w:rPr>
                <w:rFonts w:ascii="Arial" w:eastAsiaTheme="minorEastAsia" w:hAnsi="Arial" w:cs="Arial" w:hint="eastAsia"/>
                <w:lang w:eastAsia="zh-CN"/>
              </w:rPr>
            </w:pPr>
            <w:r>
              <w:rPr>
                <w:rFonts w:ascii="Arial" w:eastAsiaTheme="minorEastAsia" w:hAnsi="Arial" w:cs="Arial" w:hint="eastAsia"/>
                <w:lang w:eastAsia="zh-CN"/>
              </w:rPr>
              <w:t>S</w:t>
            </w:r>
            <w:r>
              <w:rPr>
                <w:rFonts w:ascii="Arial" w:eastAsiaTheme="minorEastAsia" w:hAnsi="Arial" w:cs="Arial"/>
                <w:lang w:eastAsia="zh-CN"/>
              </w:rPr>
              <w:t>hare the same view with HW.</w:t>
            </w: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21"/>
        <w:rPr>
          <w:lang w:eastAsia="en-GB"/>
        </w:rPr>
      </w:pPr>
      <w:r>
        <w:rPr>
          <w:lang w:eastAsia="en-GB"/>
        </w:rPr>
        <w:t>3.1</w:t>
      </w:r>
      <w:r>
        <w:rPr>
          <w:lang w:eastAsia="en-GB"/>
        </w:rPr>
        <w:tab/>
      </w:r>
      <w:r w:rsidR="008F67F4" w:rsidRPr="008F67F4">
        <w:rPr>
          <w:lang w:eastAsia="en-GB"/>
        </w:rPr>
        <w:t>IIOT – Mobility</w:t>
      </w:r>
    </w:p>
    <w:p w14:paraId="260C5A27" w14:textId="4638AAA9" w:rsidR="008F67F4" w:rsidRDefault="00EE2CEB" w:rsidP="008F67F4">
      <w:pPr>
        <w:pStyle w:val="Doc-title"/>
      </w:pPr>
      <w:hyperlink r:id="rId35" w:history="1">
        <w:r w:rsidR="008F67F4" w:rsidRPr="008F67F4">
          <w:rPr>
            <w:rStyle w:val="af5"/>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a9"/>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6" w:history="1">
        <w:r w:rsidR="008F67F4" w:rsidRPr="008F67F4">
          <w:rPr>
            <w:rStyle w:val="af5"/>
          </w:rPr>
          <w:t>R2-2110756</w:t>
        </w:r>
      </w:hyperlink>
      <w:r w:rsidR="00ED53E8">
        <w:t>?</w:t>
      </w:r>
    </w:p>
    <w:tbl>
      <w:tblPr>
        <w:tblStyle w:val="aff4"/>
        <w:tblW w:w="5000" w:type="pct"/>
        <w:tblLook w:val="04A0" w:firstRow="1" w:lastRow="0" w:firstColumn="1" w:lastColumn="0" w:noHBand="0" w:noVBand="1"/>
      </w:tblPr>
      <w:tblGrid>
        <w:gridCol w:w="2105"/>
        <w:gridCol w:w="1662"/>
        <w:gridCol w:w="6088"/>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a9"/>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07955264" w14:textId="77777777" w:rsidR="00DC0D8D" w:rsidRDefault="00DC0D8D" w:rsidP="00EA0912">
            <w:pPr>
              <w:pStyle w:val="a9"/>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a9"/>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EA0912">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EA0912">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 xml:space="preserve">We are fine with the change if there is no NBC concern. </w:t>
            </w:r>
          </w:p>
        </w:tc>
      </w:tr>
      <w:tr w:rsidR="00D055EA" w:rsidRPr="00D87CF0" w14:paraId="0B322C00" w14:textId="77777777" w:rsidTr="00EA0912">
        <w:trPr>
          <w:trHeight w:val="417"/>
        </w:trPr>
        <w:tc>
          <w:tcPr>
            <w:tcW w:w="1068" w:type="pct"/>
          </w:tcPr>
          <w:p w14:paraId="06013920" w14:textId="64F697E4"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77F9232A" w14:textId="1302D406" w:rsidR="00D055EA" w:rsidRDefault="00D055EA" w:rsidP="00EA0912">
            <w:pPr>
              <w:rPr>
                <w:rFonts w:ascii="Arial" w:eastAsiaTheme="minorEastAsia" w:hAnsi="Arial" w:cs="Arial"/>
                <w:lang w:eastAsia="zh-CN"/>
              </w:rPr>
            </w:pPr>
            <w:r>
              <w:rPr>
                <w:rFonts w:ascii="Arial" w:eastAsiaTheme="minorEastAsia" w:hAnsi="Arial" w:cs="Arial"/>
                <w:lang w:eastAsia="zh-CN"/>
              </w:rPr>
              <w:t>Tend to agree</w:t>
            </w:r>
          </w:p>
        </w:tc>
        <w:tc>
          <w:tcPr>
            <w:tcW w:w="3089" w:type="pct"/>
          </w:tcPr>
          <w:p w14:paraId="2BC6F859" w14:textId="310C87A9" w:rsidR="00D055EA" w:rsidRPr="00D055EA" w:rsidRDefault="00D055EA" w:rsidP="00D055EA">
            <w:pPr>
              <w:overflowPunct/>
              <w:autoSpaceDE/>
              <w:autoSpaceDN/>
              <w:adjustRightInd/>
              <w:spacing w:after="0"/>
              <w:textAlignment w:val="auto"/>
              <w:rPr>
                <w:lang w:eastAsia="en-GB"/>
              </w:rPr>
            </w:pPr>
            <w:r>
              <w:rPr>
                <w:rFonts w:ascii="Arial" w:hAnsi="Arial" w:cs="Arial"/>
                <w:color w:val="000000"/>
              </w:rPr>
              <w:t>We are not sure if there would be any critical issue even if the UE keeps the configuration. On the other hand, since drb-ContinueROHC-DL/drb-ContinueROHC-UL (from Rel-15) have need code as need N, it is okay to align them.</w:t>
            </w:r>
          </w:p>
        </w:tc>
      </w:tr>
      <w:tr w:rsidR="00DF0563" w:rsidRPr="00D87CF0" w14:paraId="12FF7CEC" w14:textId="77777777" w:rsidTr="00EA0912">
        <w:trPr>
          <w:trHeight w:val="417"/>
        </w:trPr>
        <w:tc>
          <w:tcPr>
            <w:tcW w:w="1068" w:type="pct"/>
          </w:tcPr>
          <w:p w14:paraId="76DB504D" w14:textId="2CC22E19" w:rsidR="00DF0563" w:rsidRDefault="00DF0563" w:rsidP="00EA0912">
            <w:pPr>
              <w:rPr>
                <w:rFonts w:ascii="Arial" w:eastAsiaTheme="minorEastAsia" w:hAnsi="Arial" w:cs="Arial"/>
                <w:lang w:eastAsia="zh-CN"/>
              </w:rPr>
            </w:pPr>
            <w:r>
              <w:rPr>
                <w:rFonts w:ascii="Arial" w:eastAsiaTheme="minorEastAsia" w:hAnsi="Arial" w:cs="Arial"/>
                <w:lang w:eastAsia="zh-CN"/>
              </w:rPr>
              <w:t>MediaTek</w:t>
            </w:r>
          </w:p>
        </w:tc>
        <w:tc>
          <w:tcPr>
            <w:tcW w:w="843" w:type="pct"/>
          </w:tcPr>
          <w:p w14:paraId="56A48186" w14:textId="29BD1B10" w:rsidR="00DF0563" w:rsidRDefault="00DF0563" w:rsidP="00EA0912">
            <w:pPr>
              <w:rPr>
                <w:rFonts w:ascii="Arial" w:eastAsiaTheme="minorEastAsia" w:hAnsi="Arial" w:cs="Arial"/>
                <w:lang w:eastAsia="zh-CN"/>
              </w:rPr>
            </w:pPr>
            <w:r>
              <w:rPr>
                <w:rFonts w:ascii="Arial" w:eastAsiaTheme="minorEastAsia" w:hAnsi="Arial" w:cs="Arial"/>
                <w:lang w:eastAsia="zh-CN"/>
              </w:rPr>
              <w:t>Yes (Proponent)</w:t>
            </w:r>
          </w:p>
        </w:tc>
        <w:tc>
          <w:tcPr>
            <w:tcW w:w="3089" w:type="pct"/>
          </w:tcPr>
          <w:p w14:paraId="5FD0D1A3" w14:textId="77777777" w:rsidR="00835ADE" w:rsidRDefault="00DF0563" w:rsidP="00D055EA">
            <w:pPr>
              <w:overflowPunct/>
              <w:autoSpaceDE/>
              <w:autoSpaceDN/>
              <w:adjustRightInd/>
              <w:spacing w:after="0"/>
              <w:textAlignment w:val="auto"/>
              <w:rPr>
                <w:rFonts w:ascii="Arial" w:hAnsi="Arial" w:cs="Arial"/>
                <w:color w:val="000000"/>
              </w:rPr>
            </w:pPr>
            <w:r>
              <w:rPr>
                <w:rFonts w:ascii="Arial" w:hAnsi="Arial" w:cs="Arial"/>
                <w:color w:val="000000"/>
              </w:rPr>
              <w:t xml:space="preserve">The </w:t>
            </w:r>
            <w:r w:rsidRPr="00DF0563">
              <w:rPr>
                <w:rFonts w:ascii="Arial" w:hAnsi="Arial" w:cs="Arial"/>
                <w:i/>
                <w:color w:val="000000"/>
              </w:rPr>
              <w:t>drb-ContinueEHC</w:t>
            </w:r>
            <w:r>
              <w:rPr>
                <w:rFonts w:ascii="Arial" w:hAnsi="Arial" w:cs="Arial"/>
                <w:color w:val="000000"/>
              </w:rPr>
              <w:t xml:space="preserve"> indicates whether the UE to continue or reset the EHC upon re-establishment. This is clear a one shot behavior </w:t>
            </w:r>
            <w:r w:rsidR="00835ADE">
              <w:rPr>
                <w:rFonts w:ascii="Arial" w:hAnsi="Arial" w:cs="Arial"/>
                <w:color w:val="000000"/>
              </w:rPr>
              <w:t>and the original ASN.1 need code is just a mistake.</w:t>
            </w:r>
          </w:p>
          <w:p w14:paraId="0009CCB9" w14:textId="534129A4" w:rsidR="00DF0563" w:rsidRDefault="00835ADE" w:rsidP="00D055EA">
            <w:pPr>
              <w:overflowPunct/>
              <w:autoSpaceDE/>
              <w:autoSpaceDN/>
              <w:adjustRightInd/>
              <w:spacing w:after="0"/>
              <w:textAlignment w:val="auto"/>
              <w:rPr>
                <w:rFonts w:ascii="Arial" w:hAnsi="Arial" w:cs="Arial"/>
                <w:color w:val="000000"/>
              </w:rPr>
            </w:pPr>
            <w:r>
              <w:rPr>
                <w:rFonts w:ascii="Arial" w:hAnsi="Arial" w:cs="Arial"/>
                <w:color w:val="000000"/>
              </w:rPr>
              <w:t>As this is more like UE behavior, we don’t understand the comment from Huawei that how „</w:t>
            </w:r>
            <w:r w:rsidRPr="00815A4E">
              <w:rPr>
                <w:rFonts w:ascii="Arial" w:hAnsi="Arial" w:cs="Arial"/>
              </w:rPr>
              <w:t>sensible network configuration</w:t>
            </w:r>
            <w:r>
              <w:rPr>
                <w:rFonts w:ascii="Arial" w:hAnsi="Arial" w:cs="Arial"/>
                <w:color w:val="000000"/>
              </w:rPr>
              <w:t xml:space="preserve">“ could handle this. </w:t>
            </w:r>
            <w:r w:rsidR="00DF0563">
              <w:rPr>
                <w:rFonts w:ascii="Arial" w:hAnsi="Arial" w:cs="Arial"/>
                <w:color w:val="000000"/>
              </w:rPr>
              <w:t xml:space="preserve"> </w:t>
            </w:r>
          </w:p>
        </w:tc>
      </w:tr>
      <w:tr w:rsidR="00456AAA" w:rsidRPr="00D87CF0" w14:paraId="376AC035" w14:textId="77777777" w:rsidTr="00EA0912">
        <w:trPr>
          <w:trHeight w:val="417"/>
        </w:trPr>
        <w:tc>
          <w:tcPr>
            <w:tcW w:w="1068" w:type="pct"/>
          </w:tcPr>
          <w:p w14:paraId="3B7E29A0" w14:textId="155C936A" w:rsidR="00456AAA" w:rsidRDefault="00456AAA" w:rsidP="00EA0912">
            <w:pPr>
              <w:rPr>
                <w:rFonts w:ascii="Arial" w:eastAsiaTheme="minorEastAsia" w:hAnsi="Arial" w:cs="Arial"/>
                <w:lang w:eastAsia="zh-CN"/>
              </w:rPr>
            </w:pPr>
            <w:r>
              <w:rPr>
                <w:rFonts w:ascii="Arial" w:eastAsiaTheme="minorEastAsia" w:hAnsi="Arial" w:cs="Arial"/>
                <w:lang w:eastAsia="zh-CN"/>
              </w:rPr>
              <w:t>CATT</w:t>
            </w:r>
          </w:p>
        </w:tc>
        <w:tc>
          <w:tcPr>
            <w:tcW w:w="843" w:type="pct"/>
          </w:tcPr>
          <w:p w14:paraId="720FBA29" w14:textId="1B8FFB0A" w:rsidR="00456AAA" w:rsidRDefault="00456AAA"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6065AB55" w14:textId="30387785" w:rsidR="00456AAA" w:rsidRDefault="00456AAA" w:rsidP="00D055EA">
            <w:pPr>
              <w:overflowPunct/>
              <w:autoSpaceDE/>
              <w:autoSpaceDN/>
              <w:adjustRightInd/>
              <w:spacing w:after="0"/>
              <w:textAlignment w:val="auto"/>
              <w:rPr>
                <w:rFonts w:ascii="Arial" w:hAnsi="Arial" w:cs="Arial"/>
                <w:color w:val="000000"/>
              </w:rPr>
            </w:pPr>
            <w:r w:rsidRPr="00456AAA">
              <w:rPr>
                <w:rFonts w:ascii="Arial" w:hAnsi="Arial" w:cs="Arial"/>
                <w:color w:val="000000"/>
              </w:rPr>
              <w:t>On one hand it seems logical to align with the same parameters for RoHC, on the other hand, nothing is broken if UE keeps these values beyond the handover completion.</w:t>
            </w:r>
          </w:p>
        </w:tc>
      </w:tr>
      <w:tr w:rsidR="00CA2191" w:rsidRPr="00D87CF0" w14:paraId="60FBC631" w14:textId="77777777" w:rsidTr="00EA0912">
        <w:trPr>
          <w:trHeight w:val="417"/>
        </w:trPr>
        <w:tc>
          <w:tcPr>
            <w:tcW w:w="1068" w:type="pct"/>
          </w:tcPr>
          <w:p w14:paraId="3CA11A59" w14:textId="17F93913" w:rsidR="00CA2191" w:rsidRDefault="00CA2191" w:rsidP="00EA0912">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0B7C93F0" w14:textId="0C799906" w:rsidR="00CA2191" w:rsidRDefault="00DD0409" w:rsidP="00EA0912">
            <w:pPr>
              <w:rPr>
                <w:rFonts w:ascii="Arial" w:eastAsiaTheme="minorEastAsia" w:hAnsi="Arial" w:cs="Arial"/>
                <w:lang w:eastAsia="zh-CN"/>
              </w:rPr>
            </w:pPr>
            <w:r>
              <w:rPr>
                <w:rFonts w:ascii="Arial" w:hAnsi="Arial" w:cs="Arial"/>
              </w:rPr>
              <w:t>Neutral</w:t>
            </w:r>
          </w:p>
        </w:tc>
        <w:tc>
          <w:tcPr>
            <w:tcW w:w="3089" w:type="pct"/>
          </w:tcPr>
          <w:p w14:paraId="45441C3A" w14:textId="77777777" w:rsidR="00CA2191" w:rsidRPr="00456AAA" w:rsidRDefault="00CA2191" w:rsidP="00D055EA">
            <w:pPr>
              <w:overflowPunct/>
              <w:autoSpaceDE/>
              <w:autoSpaceDN/>
              <w:adjustRightInd/>
              <w:spacing w:after="0"/>
              <w:textAlignment w:val="auto"/>
              <w:rPr>
                <w:rFonts w:ascii="Arial" w:hAnsi="Arial" w:cs="Arial"/>
                <w:color w:val="000000"/>
              </w:rPr>
            </w:pPr>
          </w:p>
        </w:tc>
      </w:tr>
    </w:tbl>
    <w:p w14:paraId="4B0DB6ED" w14:textId="5F9F5F4C" w:rsidR="005A2A16" w:rsidRPr="005A2A16" w:rsidRDefault="005A2A16" w:rsidP="005A2A16"/>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9"/>
        <w:rPr>
          <w:b/>
          <w:bCs/>
        </w:rPr>
      </w:pPr>
      <w:r>
        <w:rPr>
          <w:b/>
          <w:bCs/>
          <w:lang w:val="en-US"/>
        </w:rPr>
        <w:fldChar w:fldCharType="end"/>
      </w:r>
    </w:p>
    <w:p w14:paraId="768912DB" w14:textId="77777777" w:rsidR="003A7EF3" w:rsidRPr="00CE0424" w:rsidRDefault="003A7EF3" w:rsidP="00CE0424">
      <w:pPr>
        <w:pStyle w:val="a9"/>
      </w:pPr>
      <w:bookmarkStart w:id="2" w:name="_In-sequence_SDU_delivery"/>
      <w:bookmarkEnd w:id="2"/>
    </w:p>
    <w:sectPr w:rsidR="003A7EF3" w:rsidRPr="00CE042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ABEE1" w14:textId="77777777" w:rsidR="00EE2CEB" w:rsidRDefault="00EE2CEB">
      <w:r>
        <w:separator/>
      </w:r>
    </w:p>
  </w:endnote>
  <w:endnote w:type="continuationSeparator" w:id="0">
    <w:p w14:paraId="2929E9E7" w14:textId="77777777" w:rsidR="00EE2CEB" w:rsidRDefault="00EE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00000287"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7860" w14:textId="6620F9D4" w:rsidR="00EA0912" w:rsidRDefault="00EA091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56AAA">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56AAA">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7D8F1" w14:textId="77777777" w:rsidR="00EE2CEB" w:rsidRDefault="00EE2CEB">
      <w:r>
        <w:separator/>
      </w:r>
    </w:p>
  </w:footnote>
  <w:footnote w:type="continuationSeparator" w:id="0">
    <w:p w14:paraId="225F688F" w14:textId="77777777" w:rsidR="00EE2CEB" w:rsidRDefault="00EE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E766" w14:textId="77777777" w:rsidR="00EA0912" w:rsidRDefault="00EA091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F5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2771"/>
    <w:rsid w:val="002F37A9"/>
    <w:rsid w:val="00301CE6"/>
    <w:rsid w:val="0030256B"/>
    <w:rsid w:val="0030501F"/>
    <w:rsid w:val="0030527E"/>
    <w:rsid w:val="00307BA1"/>
    <w:rsid w:val="00311702"/>
    <w:rsid w:val="00311E82"/>
    <w:rsid w:val="00313FD6"/>
    <w:rsid w:val="003143BD"/>
    <w:rsid w:val="00315363"/>
    <w:rsid w:val="003203ED"/>
    <w:rsid w:val="00322C9F"/>
    <w:rsid w:val="00324D23"/>
    <w:rsid w:val="0033155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37EA"/>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AA"/>
    <w:rsid w:val="00457565"/>
    <w:rsid w:val="00457B71"/>
    <w:rsid w:val="004669E2"/>
    <w:rsid w:val="00470C31"/>
    <w:rsid w:val="00471DE0"/>
    <w:rsid w:val="004734D0"/>
    <w:rsid w:val="0047556B"/>
    <w:rsid w:val="00475601"/>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6DFE"/>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4662"/>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4C31"/>
    <w:rsid w:val="005E5B81"/>
    <w:rsid w:val="005F1B0F"/>
    <w:rsid w:val="005F2CB1"/>
    <w:rsid w:val="005F3025"/>
    <w:rsid w:val="005F5C8C"/>
    <w:rsid w:val="005F618C"/>
    <w:rsid w:val="005F70BD"/>
    <w:rsid w:val="0060283C"/>
    <w:rsid w:val="00604EDB"/>
    <w:rsid w:val="00604F14"/>
    <w:rsid w:val="00611B83"/>
    <w:rsid w:val="00613257"/>
    <w:rsid w:val="006167E9"/>
    <w:rsid w:val="00617B83"/>
    <w:rsid w:val="00620A71"/>
    <w:rsid w:val="00620D80"/>
    <w:rsid w:val="006234A6"/>
    <w:rsid w:val="00630001"/>
    <w:rsid w:val="006311B3"/>
    <w:rsid w:val="0063275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0AA6"/>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13B"/>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5ADE"/>
    <w:rsid w:val="008376AC"/>
    <w:rsid w:val="008444E8"/>
    <w:rsid w:val="00844E80"/>
    <w:rsid w:val="00846FE7"/>
    <w:rsid w:val="00856911"/>
    <w:rsid w:val="008677FD"/>
    <w:rsid w:val="008706D4"/>
    <w:rsid w:val="00870F8A"/>
    <w:rsid w:val="00871222"/>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030"/>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0187"/>
    <w:rsid w:val="00A031D8"/>
    <w:rsid w:val="00A048A8"/>
    <w:rsid w:val="00A04F49"/>
    <w:rsid w:val="00A13E54"/>
    <w:rsid w:val="00A17F63"/>
    <w:rsid w:val="00A2193B"/>
    <w:rsid w:val="00A224FA"/>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92879"/>
    <w:rsid w:val="00A9442A"/>
    <w:rsid w:val="00A95CD1"/>
    <w:rsid w:val="00AA016F"/>
    <w:rsid w:val="00AA1ED6"/>
    <w:rsid w:val="00AA1F8A"/>
    <w:rsid w:val="00AA48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357"/>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47736"/>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191"/>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5057"/>
    <w:rsid w:val="00CF625B"/>
    <w:rsid w:val="00CF687E"/>
    <w:rsid w:val="00D0349B"/>
    <w:rsid w:val="00D055EA"/>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5"/>
    <w:rsid w:val="00D871CE"/>
    <w:rsid w:val="00D9196D"/>
    <w:rsid w:val="00D91C05"/>
    <w:rsid w:val="00D92982"/>
    <w:rsid w:val="00D9310F"/>
    <w:rsid w:val="00DA305E"/>
    <w:rsid w:val="00DA5417"/>
    <w:rsid w:val="00DA56E8"/>
    <w:rsid w:val="00DB0A9F"/>
    <w:rsid w:val="00DB377D"/>
    <w:rsid w:val="00DC06C2"/>
    <w:rsid w:val="00DC0D8D"/>
    <w:rsid w:val="00DC2D36"/>
    <w:rsid w:val="00DC53EF"/>
    <w:rsid w:val="00DD0409"/>
    <w:rsid w:val="00DE5608"/>
    <w:rsid w:val="00DE58D0"/>
    <w:rsid w:val="00DE654F"/>
    <w:rsid w:val="00DF0563"/>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5783"/>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C24D5"/>
    <w:rsid w:val="00EC27C6"/>
    <w:rsid w:val="00EC4207"/>
    <w:rsid w:val="00EC5653"/>
    <w:rsid w:val="00EC71CE"/>
    <w:rsid w:val="00ED1006"/>
    <w:rsid w:val="00ED53E8"/>
    <w:rsid w:val="00EE2CEB"/>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DD7"/>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docId w15:val="{0CC2BB55-E1F1-4DB5-B6B8-D78EB22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a1"/>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2">
    <w:name w:val="未处理的提及1"/>
    <w:basedOn w:val="a2"/>
    <w:uiPriority w:val="99"/>
    <w:semiHidden/>
    <w:unhideWhenUsed/>
    <w:rsid w:val="00D8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47306">
      <w:bodyDiv w:val="1"/>
      <w:marLeft w:val="0"/>
      <w:marRight w:val="0"/>
      <w:marTop w:val="0"/>
      <w:marBottom w:val="0"/>
      <w:divBdr>
        <w:top w:val="none" w:sz="0" w:space="0" w:color="auto"/>
        <w:left w:val="none" w:sz="0" w:space="0" w:color="auto"/>
        <w:bottom w:val="none" w:sz="0" w:space="0" w:color="auto"/>
        <w:right w:val="none" w:sz="0" w:space="0" w:color="auto"/>
      </w:divBdr>
    </w:div>
    <w:div w:id="1248002505">
      <w:bodyDiv w:val="1"/>
      <w:marLeft w:val="0"/>
      <w:marRight w:val="0"/>
      <w:marTop w:val="0"/>
      <w:marBottom w:val="0"/>
      <w:divBdr>
        <w:top w:val="none" w:sz="0" w:space="0" w:color="auto"/>
        <w:left w:val="none" w:sz="0" w:space="0" w:color="auto"/>
        <w:bottom w:val="none" w:sz="0" w:space="0" w:color="auto"/>
        <w:right w:val="none" w:sz="0" w:space="0" w:color="auto"/>
      </w:divBdr>
    </w:div>
    <w:div w:id="1819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3.zip" TargetMode="External"/><Relationship Id="rId39" Type="http://schemas.openxmlformats.org/officeDocument/2006/relationships/fontTable" Target="fontTable.xml"/><Relationship Id="rId21" Type="http://schemas.openxmlformats.org/officeDocument/2006/relationships/hyperlink" Target="mailto:antonino.orsino@ericsson.com" TargetMode="External"/><Relationship Id="rId34" Type="http://schemas.openxmlformats.org/officeDocument/2006/relationships/hyperlink" Target="file:///D:\Documents\3GPP\tsg_ran\WG2\TSGR2_116-e\Docs\R2-2110945.zip" TargetMode="External"/><Relationship Id="rId7" Type="http://schemas.openxmlformats.org/officeDocument/2006/relationships/settings" Target="settings.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2.zip" TargetMode="External"/><Relationship Id="rId33" Type="http://schemas.openxmlformats.org/officeDocument/2006/relationships/hyperlink" Target="http://www.3gpp.org/ftp/tsg_ran/WG2_RL2/TSGR2_116-e/Docs/R2-2110684.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file:///D:\Documents\3GPP\tsg_ran\WG2\TSGR2_116-e\Docs\R2-21109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09888.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7.zip" TargetMode="External"/><Relationship Id="rId28" Type="http://schemas.openxmlformats.org/officeDocument/2006/relationships/hyperlink" Target="http://www.3gpp.org/ftp/tsg_ran/WG2_RL2/TSGR2_116-e/Docs/R2-2111036.zip" TargetMode="External"/><Relationship Id="rId36" Type="http://schemas.openxmlformats.org/officeDocument/2006/relationships/hyperlink" Target="http://www.3gpp.org/ftp/tsg_ran/WG2_RL2/TSGR2_116-e/Docs/R2-2110756.zip" TargetMode="Externa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file:///D:\Documents\3GPP\tsg_ran\WG2\TSGR2_116-e\Docs\R2-211094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340.zip" TargetMode="External"/><Relationship Id="rId27" Type="http://schemas.openxmlformats.org/officeDocument/2006/relationships/hyperlink" Target="http://www.3gpp.org/ftp/tsg_ran/WG2_RL2/TSGR2_116-e/Docs/R2-2110684.zip" TargetMode="External"/><Relationship Id="rId30" Type="http://schemas.openxmlformats.org/officeDocument/2006/relationships/hyperlink" Target="http://www.3gpp.org/ftp/tsg_ran/WG2_RL2/TSGR2_116-e/Docs/R2-2110012.zip" TargetMode="External"/><Relationship Id="rId35" Type="http://schemas.openxmlformats.org/officeDocument/2006/relationships/hyperlink" Target="http://www.3gpp.org/ftp/tsg_ran/WG2_RL2/TSGR2_116-e/Docs/R2-211075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815BC28-C686-4ECC-9DBC-713BB2D5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2315</Words>
  <Characters>13198</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15483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cp:lastModifiedBy>
  <cp:revision>20</cp:revision>
  <cp:lastPrinted>2008-01-31T07:09:00Z</cp:lastPrinted>
  <dcterms:created xsi:type="dcterms:W3CDTF">2021-11-03T11:36:00Z</dcterms:created>
  <dcterms:modified xsi:type="dcterms:W3CDTF">2021-11-03T12:06:00Z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