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2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 w:eastAsia="宋体"/>
          <w:b/>
          <w:sz w:val="24"/>
          <w:lang w:val="en-US" w:eastAsia="zh-CN"/>
        </w:rPr>
        <w:t>16e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>
        <w:rPr>
          <w:rFonts w:hint="eastAsia" w:eastAsia="宋体"/>
          <w:b/>
          <w:i/>
          <w:sz w:val="28"/>
          <w:lang w:val="en-US" w:eastAsia="zh-CN"/>
        </w:rPr>
        <w:t>2109689</w:t>
      </w:r>
    </w:p>
    <w:p>
      <w:pPr>
        <w:pStyle w:val="282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Nov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1st</w:t>
      </w:r>
      <w:r>
        <w:rPr>
          <w:b/>
          <w:sz w:val="24"/>
          <w:szCs w:val="22"/>
          <w:lang w:val="de-DE" w:eastAsia="zh-CN"/>
        </w:rPr>
        <w:t xml:space="preserve"> -</w:t>
      </w:r>
      <w:r>
        <w:rPr>
          <w:rFonts w:hint="eastAsia"/>
          <w:b/>
          <w:sz w:val="24"/>
          <w:szCs w:val="22"/>
          <w:lang w:val="en-US" w:eastAsia="zh-CN"/>
        </w:rPr>
        <w:t xml:space="preserve"> 12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, Sanechips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OLE_LINK2"/>
      <w:r>
        <w:rPr>
          <w:rFonts w:hint="eastAsia" w:ascii="Arial" w:hAnsi="Arial" w:cs="Arial"/>
          <w:b/>
          <w:bCs/>
          <w:snapToGrid w:val="0"/>
          <w:kern w:val="0"/>
          <w:sz w:val="24"/>
        </w:rPr>
        <w:t>Consideration on the remaining issues of switching procedure</w:t>
      </w:r>
    </w:p>
    <w:bookmarkEnd w:id="0"/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8.3.3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r>
        <w:rPr>
          <w:rFonts w:hint="eastAsia"/>
        </w:rPr>
        <w:t>About the network switching procedure, many agreements have been made based on [1]. In this paper we focus on the remaining issues of the switching procedure.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>
      <w:pPr>
        <w:pStyle w:val="3"/>
        <w:numPr>
          <w:ilvl w:val="2"/>
          <w:numId w:val="0"/>
        </w:numPr>
        <w:tabs>
          <w:tab w:val="left" w:pos="720"/>
          <w:tab w:val="clear" w:pos="432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2.1 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Preferred RRC-State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FFS reuse preferredRRC-State or some changes on preferredRRC-State for Multi-SIM purpose.</w:t>
            </w:r>
          </w:p>
        </w:tc>
      </w:tr>
    </w:tbl>
    <w:p>
      <w:pPr>
        <w:rPr>
          <w:rFonts w:eastAsia="宋体"/>
        </w:rPr>
      </w:pPr>
      <w:r>
        <w:rPr>
          <w:rFonts w:hint="eastAsia" w:eastAsia="宋体"/>
        </w:rPr>
        <w:t>About this FFS, there are two issues need to be clarified:</w:t>
      </w:r>
    </w:p>
    <w:p>
      <w:pPr>
        <w:numPr>
          <w:ilvl w:val="0"/>
          <w:numId w:val="5"/>
        </w:numPr>
        <w:rPr>
          <w:rFonts w:eastAsia="宋体"/>
        </w:rPr>
      </w:pPr>
      <w:r>
        <w:rPr>
          <w:rFonts w:hint="eastAsia" w:eastAsia="宋体"/>
        </w:rPr>
        <w:t xml:space="preserve">Which kind of states (e.g. </w:t>
      </w:r>
      <w:r>
        <w:rPr>
          <w:i/>
          <w:sz w:val="20"/>
          <w:szCs w:val="20"/>
        </w:rPr>
        <w:t>RRC_IDLE, RRC_INACTIVE</w:t>
      </w:r>
      <w:r>
        <w:rPr>
          <w:rFonts w:hint="eastAsia"/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outOfConnected</w:t>
      </w:r>
      <w:r>
        <w:rPr>
          <w:rFonts w:hint="eastAsia"/>
          <w:sz w:val="20"/>
          <w:szCs w:val="20"/>
        </w:rPr>
        <w:t xml:space="preserve">) </w:t>
      </w:r>
      <w:r>
        <w:rPr>
          <w:rFonts w:hint="eastAsia" w:eastAsia="宋体"/>
        </w:rPr>
        <w:t>shall be included for the MUSIM feature?</w:t>
      </w:r>
    </w:p>
    <w:p>
      <w:pPr>
        <w:numPr>
          <w:ilvl w:val="0"/>
          <w:numId w:val="5"/>
        </w:numPr>
      </w:pPr>
      <w:r>
        <w:rPr>
          <w:rFonts w:hint="eastAsia" w:eastAsia="宋体"/>
        </w:rPr>
        <w:t xml:space="preserve">Can the legacy </w:t>
      </w:r>
      <w:r>
        <w:rPr>
          <w:rFonts w:hint="eastAsia"/>
          <w:i/>
        </w:rPr>
        <w:t xml:space="preserve">preferredRRC-State </w:t>
      </w:r>
      <w:r>
        <w:rPr>
          <w:rFonts w:hint="eastAsia"/>
        </w:rPr>
        <w:t>be reused for the MUSIM?</w:t>
      </w:r>
    </w:p>
    <w:p>
      <w:pPr>
        <w:rPr>
          <w:sz w:val="20"/>
          <w:szCs w:val="20"/>
        </w:rPr>
      </w:pPr>
      <w:r>
        <w:rPr>
          <w:rFonts w:hint="eastAsia"/>
        </w:rPr>
        <w:t xml:space="preserve">For the first question, we think one advantage of the AS based solution is that the UE can indicate it prefers to leave with Inactive state, thus, at least the </w:t>
      </w:r>
      <w:r>
        <w:t>“</w:t>
      </w:r>
      <w:r>
        <w:rPr>
          <w:sz w:val="20"/>
          <w:szCs w:val="20"/>
        </w:rPr>
        <w:t>RRC_IDLE, RRC_INACTIVE”</w:t>
      </w:r>
      <w:r>
        <w:rPr>
          <w:rFonts w:hint="eastAsia"/>
          <w:sz w:val="20"/>
          <w:szCs w:val="20"/>
        </w:rPr>
        <w:t xml:space="preserve"> shall be included.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1: The </w:t>
      </w:r>
      <w:r>
        <w:rPr>
          <w:rFonts w:hint="eastAsia"/>
          <w:b/>
          <w:bCs/>
          <w:i/>
        </w:rPr>
        <w:t>preferredRRC-State</w:t>
      </w:r>
      <w:r>
        <w:rPr>
          <w:rFonts w:hint="eastAsia"/>
          <w:b/>
          <w:bCs/>
        </w:rPr>
        <w:t xml:space="preserve"> for the MUSIM shall include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“RRC_IDLE, RRC_INACTIVE”</w:t>
      </w:r>
      <w:r>
        <w:rPr>
          <w:rFonts w:hint="eastAsia"/>
          <w:b/>
          <w:bCs/>
          <w:sz w:val="20"/>
          <w:szCs w:val="20"/>
        </w:rPr>
        <w:t xml:space="preserve"> at least.</w:t>
      </w:r>
    </w:p>
    <w:p>
      <w:pPr>
        <w:rPr>
          <w:szCs w:val="21"/>
        </w:rPr>
      </w:pPr>
      <w:r>
        <w:rPr>
          <w:rFonts w:hint="eastAsia" w:eastAsia="宋体"/>
          <w:szCs w:val="21"/>
        </w:rPr>
        <w:t xml:space="preserve">For the second question, from the network side, it would be helpful to know the leaving reason (e.g. MUSIM or power saving) for the KPI statistics, thus maybe a new </w:t>
      </w:r>
      <w:r>
        <w:rPr>
          <w:rFonts w:hint="eastAsia"/>
          <w:bCs/>
          <w:i/>
        </w:rPr>
        <w:t>preferredRRC-State</w:t>
      </w:r>
      <w:r>
        <w:rPr>
          <w:rFonts w:hint="eastAsia" w:eastAsia="宋体"/>
          <w:szCs w:val="21"/>
        </w:rPr>
        <w:t xml:space="preserve">-R17 can be introduced for MUSIM. If the legacy </w:t>
      </w:r>
      <w:r>
        <w:rPr>
          <w:rFonts w:hint="eastAsia"/>
          <w:szCs w:val="21"/>
        </w:rPr>
        <w:t>preferredRRC-State was reused for the MUSIM, at least a leaving cause shall be added to indicate that it</w:t>
      </w:r>
      <w:r>
        <w:rPr>
          <w:szCs w:val="21"/>
        </w:rPr>
        <w:t>’</w:t>
      </w:r>
      <w:r>
        <w:rPr>
          <w:rFonts w:hint="eastAsia"/>
          <w:szCs w:val="21"/>
        </w:rPr>
        <w:t>s for the MUSIM.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2: The network shall be able to know the leaving is for the MUSIM, which can be indicated either by adding a new preferred state element (e.g. </w:t>
      </w:r>
      <w:r>
        <w:rPr>
          <w:rFonts w:hint="eastAsia"/>
          <w:b/>
          <w:bCs/>
          <w:i/>
        </w:rPr>
        <w:t>preferredRRC-State</w:t>
      </w:r>
      <w:r>
        <w:rPr>
          <w:rFonts w:hint="eastAsia" w:eastAsia="宋体"/>
          <w:b/>
          <w:szCs w:val="21"/>
        </w:rPr>
        <w:t>-R17)</w:t>
      </w:r>
      <w:r>
        <w:rPr>
          <w:rFonts w:hint="eastAsia"/>
          <w:b/>
          <w:bCs/>
          <w:szCs w:val="21"/>
        </w:rPr>
        <w:t xml:space="preserve"> for the MUSIM or by adding a leaving cause for the legacy </w:t>
      </w:r>
      <w:r>
        <w:rPr>
          <w:rFonts w:hint="eastAsia"/>
          <w:b/>
          <w:bCs/>
          <w:i/>
          <w:szCs w:val="21"/>
        </w:rPr>
        <w:t>preferredRRC-State</w:t>
      </w:r>
      <w:r>
        <w:rPr>
          <w:rFonts w:hint="eastAsia"/>
          <w:b/>
          <w:bCs/>
          <w:szCs w:val="21"/>
        </w:rPr>
        <w:t>.</w:t>
      </w:r>
    </w:p>
    <w:p>
      <w:pPr>
        <w:pStyle w:val="3"/>
        <w:numPr>
          <w:ilvl w:val="2"/>
          <w:numId w:val="0"/>
        </w:numPr>
        <w:tabs>
          <w:tab w:val="left" w:pos="720"/>
          <w:tab w:val="clear" w:pos="432"/>
        </w:tabs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2.2 Configured Timer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 xml:space="preserve">Introduce a new RRC timer for the </w:t>
            </w:r>
            <w:r>
              <w:rPr>
                <w:lang w:eastAsia="en-US"/>
              </w:rPr>
              <w:t>“</w:t>
            </w:r>
            <w:r>
              <w:rPr>
                <w:rFonts w:hint="eastAsia"/>
                <w:lang w:eastAsia="en-US"/>
              </w:rPr>
              <w:t>configured time</w:t>
            </w:r>
            <w:r>
              <w:rPr>
                <w:lang w:eastAsia="en-US"/>
              </w:rPr>
              <w:t>”</w:t>
            </w:r>
            <w:r>
              <w:rPr>
                <w:rFonts w:hint="eastAsia"/>
                <w:lang w:eastAsia="en-US"/>
              </w:rPr>
              <w:t xml:space="preserve">, used for the UE to leave RRC_CONNECTED without a response. </w:t>
            </w:r>
            <w:r>
              <w:rPr>
                <w:rFonts w:hint="eastAsia"/>
                <w:color w:val="FF0000"/>
                <w:lang w:eastAsia="en-US"/>
              </w:rPr>
              <w:t>FFS if it's possible to configure UE to always wait for the network response (e.g. "infinite" waiting time)</w:t>
            </w:r>
          </w:p>
        </w:tc>
      </w:tr>
    </w:tbl>
    <w:p>
      <w:r>
        <w:rPr>
          <w:rFonts w:hint="eastAsia"/>
        </w:rPr>
        <w:t xml:space="preserve">About this FFS issue, if the </w:t>
      </w:r>
      <w:r>
        <w:t>“</w:t>
      </w:r>
      <w:r>
        <w:rPr>
          <w:rFonts w:hint="eastAsia"/>
        </w:rPr>
        <w:t>infinite</w:t>
      </w:r>
      <w:r>
        <w:t>”</w:t>
      </w:r>
      <w:r>
        <w:rPr>
          <w:rFonts w:hint="eastAsia"/>
        </w:rPr>
        <w:t xml:space="preserve"> waiting time is allowed, the UE has to wait for the network response. For the abnormal case that the UE failed to detect the network</w:t>
      </w:r>
      <w:r>
        <w:t>’</w:t>
      </w:r>
      <w:r>
        <w:rPr>
          <w:rFonts w:hint="eastAsia"/>
        </w:rPr>
        <w:t>s reconfiguration message, the UE may be unable to leave the network A. In most cases, the UE determine to leave connected state with network A when the network B has a higher priority service. Then if the infinite waiting time is configured, it may affects the performance of the UE with network B.</w:t>
      </w:r>
    </w:p>
    <w:p>
      <w:pPr>
        <w:rPr>
          <w:b/>
          <w:bCs/>
        </w:rPr>
      </w:pPr>
      <w:r>
        <w:rPr>
          <w:rFonts w:hint="eastAsia"/>
          <w:b/>
          <w:bCs/>
          <w:szCs w:val="21"/>
        </w:rPr>
        <w:t>Proposal 3: It</w:t>
      </w:r>
      <w:r>
        <w:rPr>
          <w:b/>
          <w:bCs/>
          <w:szCs w:val="21"/>
        </w:rPr>
        <w:t>’</w:t>
      </w:r>
      <w:r>
        <w:rPr>
          <w:rFonts w:hint="eastAsia"/>
          <w:b/>
          <w:bCs/>
          <w:szCs w:val="21"/>
        </w:rPr>
        <w:t xml:space="preserve">s not allowed to set the </w:t>
      </w:r>
      <w:r>
        <w:rPr>
          <w:b/>
          <w:bCs/>
        </w:rPr>
        <w:t>“</w:t>
      </w:r>
      <w:r>
        <w:rPr>
          <w:rFonts w:hint="eastAsia"/>
          <w:b/>
          <w:bCs/>
        </w:rPr>
        <w:t>configured time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to infinite explicitly or implicitly.</w:t>
      </w:r>
    </w:p>
    <w:p>
      <w:pPr>
        <w:pStyle w:val="3"/>
        <w:numPr>
          <w:ilvl w:val="2"/>
          <w:numId w:val="0"/>
        </w:numPr>
        <w:tabs>
          <w:tab w:val="left" w:pos="720"/>
          <w:tab w:val="clear" w:pos="432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3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Early return and other abnormal cases</w:t>
      </w:r>
    </w:p>
    <w:p>
      <w:r>
        <w:rPr>
          <w:rFonts w:hint="eastAsia"/>
        </w:rPr>
        <w:t xml:space="preserve">With the scheduling Gap, the UE may finish the communication with the network B before or after the scheduling gap. For the case that the UE finish the communication with network B before the scheduling gap, the UE may restore the data transmission as soon as possible with network A if early return was supported. Another use case is that the UE upper layer may trigger a higher priority service during the scheduled gap. Thus </w:t>
      </w:r>
      <w:r>
        <w:t>early</w:t>
      </w:r>
      <w:r>
        <w:rPr>
          <w:rFonts w:hint="eastAsia"/>
        </w:rPr>
        <w:t xml:space="preserve"> return can be supported to improve the UE</w:t>
      </w:r>
      <w:r>
        <w:t>’</w:t>
      </w:r>
      <w:r>
        <w:rPr>
          <w:rFonts w:hint="eastAsia"/>
        </w:rPr>
        <w:t>s performance.</w:t>
      </w:r>
    </w:p>
    <w:p>
      <w:pPr>
        <w:rPr>
          <w:b/>
          <w:bCs/>
        </w:rPr>
      </w:pPr>
      <w:r>
        <w:rPr>
          <w:rFonts w:hint="eastAsia"/>
          <w:b/>
          <w:bCs/>
          <w:szCs w:val="21"/>
        </w:rPr>
        <w:t>Proposal 4: Support early return feature for the switching without leaving connected state case.</w:t>
      </w:r>
    </w:p>
    <w:p>
      <w:pPr>
        <w:rPr>
          <w:b/>
          <w:bCs/>
        </w:rPr>
      </w:pPr>
      <w:r>
        <w:rPr>
          <w:rFonts w:hint="eastAsia"/>
        </w:rPr>
        <w:t>For the case that the UE finish the communication with network B before the scheduling gap, to keep align with the network side, the UE shall abort the on-going procedure of the network B and back to the network A.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5: If the communication with the network B can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t be finished before the gap, </w:t>
      </w:r>
      <w:r>
        <w:rPr>
          <w:b/>
          <w:bCs/>
        </w:rPr>
        <w:t xml:space="preserve">the UE shall abort </w:t>
      </w:r>
      <w:r>
        <w:rPr>
          <w:rFonts w:hint="eastAsia"/>
          <w:b/>
          <w:bCs/>
        </w:rPr>
        <w:t xml:space="preserve">the on-going procedure of the network B and </w:t>
      </w:r>
      <w:r>
        <w:rPr>
          <w:b/>
          <w:bCs/>
        </w:rPr>
        <w:t>back to</w:t>
      </w:r>
      <w:r>
        <w:rPr>
          <w:rFonts w:hint="eastAsia"/>
          <w:b/>
          <w:bCs/>
        </w:rPr>
        <w:t xml:space="preserve"> the network A.</w:t>
      </w:r>
    </w:p>
    <w:p>
      <w:r>
        <w:rPr>
          <w:rFonts w:hint="eastAsia"/>
        </w:rPr>
        <w:t>Furthermore, for the switching without leaving connected state, the UE shall try to finish the procedure on the network B as soon as possible, thus the network B shall know that the UE was at leaving state of the other USIM, then the network B shall not trigger the mobility (e.g</w:t>
      </w:r>
      <w:r>
        <w:t>.</w:t>
      </w:r>
      <w:r>
        <w:rPr>
          <w:rFonts w:hint="eastAsia"/>
        </w:rPr>
        <w:t xml:space="preserve"> handover, redirection), measurement and DC related procedure.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6: The UE shall inform the network B that it was at switching procedure on the other network, then the network B can avoid to trigger the mobility (e.g</w:t>
      </w:r>
      <w:r>
        <w:rPr>
          <w:b/>
          <w:bCs/>
        </w:rPr>
        <w:t>.</w:t>
      </w:r>
      <w:r>
        <w:rPr>
          <w:rFonts w:hint="eastAsia"/>
          <w:b/>
          <w:bCs/>
        </w:rPr>
        <w:t xml:space="preserve"> handover, redirection), measurement and DC related procedures.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 w:beforeLines="50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1: The </w:t>
      </w:r>
      <w:r>
        <w:rPr>
          <w:rFonts w:hint="eastAsia"/>
          <w:b/>
          <w:bCs/>
        </w:rPr>
        <w:t>preferredRRC-State for the MUSIM shall include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“RRC_IDLE, RRC_INACTIVE”</w:t>
      </w:r>
      <w:r>
        <w:rPr>
          <w:rFonts w:hint="eastAsia"/>
          <w:b/>
          <w:bCs/>
          <w:sz w:val="20"/>
          <w:szCs w:val="20"/>
        </w:rPr>
        <w:t xml:space="preserve"> at least.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 xml:space="preserve">Proposal 2: The network shall be able to know the leaving is for the MUSIM, which can be indicated either by adding a new preferred state element (e.g. </w:t>
      </w:r>
      <w:r>
        <w:rPr>
          <w:rFonts w:hint="eastAsia"/>
          <w:b/>
          <w:bCs/>
          <w:i/>
        </w:rPr>
        <w:t>preferredRRC-State</w:t>
      </w:r>
      <w:r>
        <w:rPr>
          <w:rFonts w:hint="eastAsia" w:eastAsia="宋体"/>
          <w:b/>
          <w:szCs w:val="21"/>
        </w:rPr>
        <w:t>-R17)</w:t>
      </w:r>
      <w:r>
        <w:rPr>
          <w:rFonts w:hint="eastAsia"/>
          <w:b/>
          <w:bCs/>
          <w:szCs w:val="21"/>
        </w:rPr>
        <w:t xml:space="preserve"> for the MUSIM or by adding a leaving cause for the legacy </w:t>
      </w:r>
      <w:r>
        <w:rPr>
          <w:rFonts w:hint="eastAsia"/>
          <w:b/>
          <w:bCs/>
          <w:i/>
          <w:szCs w:val="21"/>
        </w:rPr>
        <w:t>preferredRRC-State</w:t>
      </w:r>
      <w:r>
        <w:rPr>
          <w:rFonts w:hint="eastAsia"/>
          <w:b/>
          <w:bCs/>
          <w:szCs w:val="21"/>
        </w:rPr>
        <w:t>.</w:t>
      </w:r>
    </w:p>
    <w:p>
      <w:pPr>
        <w:rPr>
          <w:b/>
          <w:bCs/>
        </w:rPr>
      </w:pPr>
      <w:bookmarkStart w:id="3" w:name="_GoBack"/>
      <w:bookmarkEnd w:id="3"/>
      <w:r>
        <w:rPr>
          <w:rFonts w:hint="eastAsia"/>
          <w:b/>
          <w:bCs/>
          <w:szCs w:val="21"/>
        </w:rPr>
        <w:t>Proposal 3: It</w:t>
      </w:r>
      <w:r>
        <w:rPr>
          <w:b/>
          <w:bCs/>
          <w:szCs w:val="21"/>
        </w:rPr>
        <w:t>’</w:t>
      </w:r>
      <w:r>
        <w:rPr>
          <w:rFonts w:hint="eastAsia"/>
          <w:b/>
          <w:bCs/>
          <w:szCs w:val="21"/>
        </w:rPr>
        <w:t xml:space="preserve">s not allowed to set the </w:t>
      </w:r>
      <w:r>
        <w:rPr>
          <w:b/>
          <w:bCs/>
        </w:rPr>
        <w:t>“</w:t>
      </w:r>
      <w:r>
        <w:rPr>
          <w:rFonts w:hint="eastAsia"/>
          <w:b/>
          <w:bCs/>
        </w:rPr>
        <w:t>configured time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to infinite explicitly or implicitly.</w:t>
      </w:r>
    </w:p>
    <w:p>
      <w:pPr>
        <w:rPr>
          <w:b/>
          <w:bCs/>
        </w:rPr>
      </w:pPr>
      <w:r>
        <w:rPr>
          <w:rFonts w:hint="eastAsia"/>
          <w:b/>
          <w:bCs/>
          <w:szCs w:val="21"/>
        </w:rPr>
        <w:t>Proposal 4: Support early return feature for the switching without leaving connected state case.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5: If the communication with the network B can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t be finished before the gap, </w:t>
      </w:r>
      <w:r>
        <w:rPr>
          <w:b/>
          <w:bCs/>
        </w:rPr>
        <w:t xml:space="preserve">the UE shall abort </w:t>
      </w:r>
      <w:r>
        <w:rPr>
          <w:rFonts w:hint="eastAsia"/>
          <w:b/>
          <w:bCs/>
        </w:rPr>
        <w:t xml:space="preserve">the on-going procedure of the network B and </w:t>
      </w:r>
      <w:r>
        <w:rPr>
          <w:b/>
          <w:bCs/>
        </w:rPr>
        <w:t>back to</w:t>
      </w:r>
      <w:r>
        <w:rPr>
          <w:rFonts w:hint="eastAsia"/>
          <w:b/>
          <w:bCs/>
        </w:rPr>
        <w:t xml:space="preserve"> the network A.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6: The UE shall inform the network B that it was at switching procedure on the other network, then the network B can avoid to trigger the mobility (e.g</w:t>
      </w:r>
      <w:r>
        <w:rPr>
          <w:b/>
          <w:bCs/>
        </w:rPr>
        <w:t>.</w:t>
      </w:r>
      <w:r>
        <w:rPr>
          <w:rFonts w:hint="eastAsia"/>
          <w:b/>
          <w:bCs/>
        </w:rPr>
        <w:t xml:space="preserve"> handover, redirection), measurement and DC related procedures.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6"/>
        </w:numPr>
      </w:pPr>
      <w:r>
        <w:rPr>
          <w:rFonts w:hint="eastAsia"/>
        </w:rPr>
        <w:t>R2-2107857</w:t>
      </w:r>
      <w:r>
        <w:rPr>
          <w:rFonts w:hint="eastAsia"/>
        </w:rPr>
        <w:tab/>
      </w:r>
      <w:r>
        <w:rPr>
          <w:rFonts w:hint="eastAsia"/>
        </w:rPr>
        <w:t>Summary of Switching message details</w:t>
      </w:r>
      <w:r>
        <w:rPr>
          <w:rFonts w:hint="eastAsia"/>
        </w:rPr>
        <w:tab/>
      </w:r>
      <w:r>
        <w:rPr>
          <w:rFonts w:hint="eastAsia"/>
        </w:rPr>
        <w:t>vivo</w:t>
      </w:r>
      <w:r>
        <w:rPr>
          <w:rFonts w:hint="eastAsia"/>
        </w:rPr>
        <w:tab/>
      </w:r>
      <w:r>
        <w:rPr>
          <w:rFonts w:hint="eastAsia"/>
        </w:rPr>
        <w:t>discussion</w:t>
      </w:r>
    </w:p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C2CD84"/>
    <w:multiLevelType w:val="singleLevel"/>
    <w:tmpl w:val="ABC2CD8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47D61EA"/>
    <w:multiLevelType w:val="singleLevel"/>
    <w:tmpl w:val="C47D61EA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 w:ascii="Arial" w:hAnsi="Arial" w:cs="Arial"/>
        <w:sz w:val="28"/>
        <w:szCs w:val="28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8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410A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694"/>
    <w:rsid w:val="001277F8"/>
    <w:rsid w:val="001303F1"/>
    <w:rsid w:val="00131F75"/>
    <w:rsid w:val="0013288E"/>
    <w:rsid w:val="00134275"/>
    <w:rsid w:val="0013534D"/>
    <w:rsid w:val="00136E39"/>
    <w:rsid w:val="00137990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47B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4C8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5265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3F7B7F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66D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671"/>
    <w:rsid w:val="00651856"/>
    <w:rsid w:val="006521E7"/>
    <w:rsid w:val="0065579F"/>
    <w:rsid w:val="00662163"/>
    <w:rsid w:val="00665C9A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E7C37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456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190E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4B5C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E2B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5635"/>
    <w:rsid w:val="00C11D21"/>
    <w:rsid w:val="00C11EFC"/>
    <w:rsid w:val="00C12E5B"/>
    <w:rsid w:val="00C1675F"/>
    <w:rsid w:val="00C172FB"/>
    <w:rsid w:val="00C21F2D"/>
    <w:rsid w:val="00C22100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2E8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06CE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0CC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4B1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EF7339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1CAC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583777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A901AA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953A3C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496098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A56293"/>
    <w:rsid w:val="1DBD16BE"/>
    <w:rsid w:val="1DC11297"/>
    <w:rsid w:val="1DF8600F"/>
    <w:rsid w:val="1E1F62DB"/>
    <w:rsid w:val="1E272AEA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493A55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3C11B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548A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4F9607F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A2093"/>
    <w:rsid w:val="3B2B5290"/>
    <w:rsid w:val="3B465AAD"/>
    <w:rsid w:val="3B4A1908"/>
    <w:rsid w:val="3B6C183F"/>
    <w:rsid w:val="3B82605A"/>
    <w:rsid w:val="3B8C3C14"/>
    <w:rsid w:val="3B946645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3E7C42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5E7735"/>
    <w:rsid w:val="506257FD"/>
    <w:rsid w:val="506B5090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8E58C8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05C67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4F7714"/>
    <w:rsid w:val="615A18BE"/>
    <w:rsid w:val="615E054F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1E26402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4BDF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6B2DC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35601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0409D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C14019"/>
    <w:rsid w:val="74D67798"/>
    <w:rsid w:val="74DF0A7C"/>
    <w:rsid w:val="74E3277F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360658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543D2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B412DC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7A0441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2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3"/>
    <w:qFormat/>
    <w:uiPriority w:val="0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4"/>
    <w:qFormat/>
    <w:uiPriority w:val="0"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5">
    <w:name w:val="heading 4"/>
    <w:basedOn w:val="4"/>
    <w:next w:val="1"/>
    <w:link w:val="75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6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7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9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80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widowControl/>
      <w:spacing w:before="40"/>
      <w:ind w:left="849" w:hanging="28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List 2"/>
    <w:basedOn w:val="13"/>
    <w:unhideWhenUsed/>
    <w:qFormat/>
    <w:uiPriority w:val="0"/>
    <w:pPr>
      <w:ind w:left="100" w:leftChars="200"/>
    </w:pPr>
  </w:style>
  <w:style w:type="paragraph" w:styleId="13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3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 Bullet 4"/>
    <w:basedOn w:val="18"/>
    <w:qFormat/>
    <w:uiPriority w:val="0"/>
    <w:pPr>
      <w:tabs>
        <w:tab w:val="left" w:pos="360"/>
        <w:tab w:val="left" w:pos="1259"/>
      </w:tabs>
      <w:ind w:left="1418"/>
    </w:pPr>
  </w:style>
  <w:style w:type="paragraph" w:styleId="18">
    <w:name w:val="List Bullet 3"/>
    <w:basedOn w:val="19"/>
    <w:qFormat/>
    <w:uiPriority w:val="0"/>
    <w:pPr>
      <w:tabs>
        <w:tab w:val="left" w:pos="360"/>
        <w:tab w:val="left" w:pos="1259"/>
      </w:tabs>
      <w:ind w:left="1135"/>
    </w:pPr>
  </w:style>
  <w:style w:type="paragraph" w:styleId="19">
    <w:name w:val="List Bullet 2"/>
    <w:basedOn w:val="20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0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1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2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4">
    <w:name w:val="Document Map"/>
    <w:basedOn w:val="1"/>
    <w:link w:val="71"/>
    <w:unhideWhenUsed/>
    <w:qFormat/>
    <w:uiPriority w:val="0"/>
    <w:rPr>
      <w:rFonts w:ascii="宋体"/>
      <w:sz w:val="18"/>
      <w:szCs w:val="18"/>
    </w:rPr>
  </w:style>
  <w:style w:type="paragraph" w:styleId="25">
    <w:name w:val="annotation text"/>
    <w:basedOn w:val="1"/>
    <w:link w:val="177"/>
    <w:unhideWhenUsed/>
    <w:qFormat/>
    <w:uiPriority w:val="0"/>
    <w:pPr>
      <w:jc w:val="left"/>
    </w:p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7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4"/>
    <w:qFormat/>
    <w:uiPriority w:val="0"/>
    <w:pPr>
      <w:snapToGrid w:val="0"/>
      <w:jc w:val="left"/>
    </w:pPr>
  </w:style>
  <w:style w:type="paragraph" w:styleId="36">
    <w:name w:val="Balloon Text"/>
    <w:basedOn w:val="1"/>
    <w:link w:val="69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1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5"/>
    <w:next w:val="25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paragraph" w:customStyle="1" w:styleId="67">
    <w:name w:val="Doc-title"/>
    <w:basedOn w:val="1"/>
    <w:next w:val="68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68">
    <w:name w:val="Doc-text2"/>
    <w:basedOn w:val="1"/>
    <w:link w:val="132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69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styleId="70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71">
    <w:name w:val="文档结构图 Char"/>
    <w:basedOn w:val="58"/>
    <w:link w:val="24"/>
    <w:qFormat/>
    <w:uiPriority w:val="0"/>
    <w:rPr>
      <w:rFonts w:ascii="宋体"/>
      <w:kern w:val="2"/>
      <w:sz w:val="18"/>
      <w:szCs w:val="18"/>
    </w:rPr>
  </w:style>
  <w:style w:type="character" w:customStyle="1" w:styleId="72">
    <w:name w:val="标题 1 Char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3">
    <w:name w:val="标题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4">
    <w:name w:val="标题 3 Char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5">
    <w:name w:val="标题 4 Char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6">
    <w:name w:val="标题 5 Char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7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8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9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80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1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2">
    <w:name w:val="ComeBack Char Char"/>
    <w:basedOn w:val="83"/>
    <w:link w:val="8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3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4">
    <w:name w:val="ComeBack"/>
    <w:basedOn w:val="68"/>
    <w:next w:val="68"/>
    <w:link w:val="82"/>
    <w:qFormat/>
    <w:uiPriority w:val="0"/>
    <w:pPr>
      <w:tabs>
        <w:tab w:val="left" w:pos="1259"/>
      </w:tabs>
      <w:ind w:left="1619" w:hanging="360"/>
    </w:pPr>
  </w:style>
  <w:style w:type="character" w:customStyle="1" w:styleId="85">
    <w:name w:val="Bold Comments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6">
    <w:name w:val="Bold Comments"/>
    <w:basedOn w:val="87"/>
    <w:link w:val="85"/>
    <w:qFormat/>
    <w:uiPriority w:val="0"/>
  </w:style>
  <w:style w:type="paragraph" w:customStyle="1" w:styleId="87">
    <w:name w:val="SubHeading"/>
    <w:basedOn w:val="1"/>
    <w:next w:val="6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2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3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12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6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7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8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6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130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30">
    <w:name w:val="EmailDiscussion2"/>
    <w:basedOn w:val="68"/>
    <w:qFormat/>
    <w:uiPriority w:val="0"/>
  </w:style>
  <w:style w:type="character" w:customStyle="1" w:styleId="131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2">
    <w:name w:val="Doc-text2 Char Char"/>
    <w:basedOn w:val="58"/>
    <w:link w:val="6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3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4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6">
    <w:name w:val="其他发布部门"/>
    <w:basedOn w:val="137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7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8">
    <w:name w:val="示例"/>
    <w:next w:val="139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40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2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4">
    <w:name w:val="三级条标题"/>
    <w:basedOn w:val="145"/>
    <w:next w:val="43"/>
    <w:qFormat/>
    <w:uiPriority w:val="0"/>
    <w:pPr>
      <w:outlineLvl w:val="4"/>
    </w:pPr>
  </w:style>
  <w:style w:type="paragraph" w:customStyle="1" w:styleId="145">
    <w:name w:val="二级条标题"/>
    <w:basedOn w:val="146"/>
    <w:next w:val="43"/>
    <w:qFormat/>
    <w:uiPriority w:val="0"/>
    <w:pPr>
      <w:spacing w:beforeLines="0" w:afterLines="0"/>
      <w:outlineLvl w:val="3"/>
    </w:pPr>
  </w:style>
  <w:style w:type="paragraph" w:customStyle="1" w:styleId="146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7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8">
    <w:name w:val="附录一级条标题"/>
    <w:basedOn w:val="149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9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50">
    <w:name w:val="四级条标题"/>
    <w:basedOn w:val="144"/>
    <w:next w:val="43"/>
    <w:qFormat/>
    <w:uiPriority w:val="0"/>
    <w:pPr>
      <w:outlineLvl w:val="5"/>
    </w:pPr>
  </w:style>
  <w:style w:type="character" w:customStyle="1" w:styleId="151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2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4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5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6">
    <w:name w:val="附录五级条标题"/>
    <w:basedOn w:val="157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7">
    <w:name w:val="附录四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8">
    <w:name w:val="附录三级条标题"/>
    <w:basedOn w:val="159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9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60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1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2">
    <w:name w:val="一级无"/>
    <w:basedOn w:val="146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3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4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5">
    <w:name w:val="附录四级无"/>
    <w:basedOn w:val="157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6">
    <w:name w:val="实施日期"/>
    <w:basedOn w:val="167"/>
    <w:qFormat/>
    <w:uiPriority w:val="0"/>
    <w:pPr>
      <w:jc w:val="right"/>
    </w:pPr>
  </w:style>
  <w:style w:type="paragraph" w:customStyle="1" w:styleId="167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9">
    <w:name w:val="LS Approved"/>
    <w:basedOn w:val="1"/>
    <w:next w:val="68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70">
    <w:name w:val="封面标准文稿类别2"/>
    <w:basedOn w:val="171"/>
    <w:qFormat/>
    <w:uiPriority w:val="0"/>
  </w:style>
  <w:style w:type="paragraph" w:customStyle="1" w:styleId="171">
    <w:name w:val="封面标准文稿类别"/>
    <w:basedOn w:val="172"/>
    <w:qFormat/>
    <w:uiPriority w:val="0"/>
    <w:pPr>
      <w:spacing w:line="240" w:lineRule="auto"/>
    </w:pPr>
    <w:rPr>
      <w:sz w:val="24"/>
    </w:rPr>
  </w:style>
  <w:style w:type="paragraph" w:customStyle="1" w:styleId="172">
    <w:name w:val="封面一致性程度标识"/>
    <w:basedOn w:val="173"/>
    <w:qFormat/>
    <w:uiPriority w:val="0"/>
    <w:pPr>
      <w:spacing w:before="440"/>
    </w:pPr>
    <w:rPr>
      <w:rFonts w:ascii="宋体" w:eastAsia="宋体"/>
    </w:rPr>
  </w:style>
  <w:style w:type="paragraph" w:customStyle="1" w:styleId="173">
    <w:name w:val="封面标准英文名称"/>
    <w:basedOn w:val="174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4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5">
    <w:name w:val="五级条标题"/>
    <w:basedOn w:val="150"/>
    <w:next w:val="43"/>
    <w:qFormat/>
    <w:uiPriority w:val="0"/>
    <w:pPr>
      <w:outlineLvl w:val="6"/>
    </w:pPr>
  </w:style>
  <w:style w:type="paragraph" w:customStyle="1" w:styleId="176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7">
    <w:name w:val="批注文字 Char1"/>
    <w:basedOn w:val="58"/>
    <w:link w:val="25"/>
    <w:semiHidden/>
    <w:qFormat/>
    <w:uiPriority w:val="0"/>
    <w:rPr>
      <w:kern w:val="2"/>
      <w:sz w:val="21"/>
      <w:szCs w:val="24"/>
    </w:rPr>
  </w:style>
  <w:style w:type="character" w:customStyle="1" w:styleId="178">
    <w:name w:val="批注主题 Char1"/>
    <w:basedOn w:val="177"/>
    <w:semiHidden/>
    <w:qFormat/>
    <w:uiPriority w:val="0"/>
    <w:rPr>
      <w:b/>
      <w:bCs/>
      <w:kern w:val="2"/>
      <w:sz w:val="21"/>
      <w:szCs w:val="24"/>
    </w:rPr>
  </w:style>
  <w:style w:type="paragraph" w:customStyle="1" w:styleId="179">
    <w:name w:val="封面标准英文名称2"/>
    <w:basedOn w:val="173"/>
    <w:qFormat/>
    <w:uiPriority w:val="0"/>
  </w:style>
  <w:style w:type="paragraph" w:customStyle="1" w:styleId="180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1">
    <w:name w:val="封面一致性程度标识2"/>
    <w:basedOn w:val="172"/>
    <w:qFormat/>
    <w:uiPriority w:val="0"/>
  </w:style>
  <w:style w:type="paragraph" w:customStyle="1" w:styleId="182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3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5">
    <w:name w:val="三级无"/>
    <w:basedOn w:val="144"/>
    <w:qFormat/>
    <w:uiPriority w:val="0"/>
    <w:rPr>
      <w:rFonts w:ascii="宋体" w:eastAsia="宋体"/>
    </w:rPr>
  </w:style>
  <w:style w:type="paragraph" w:customStyle="1" w:styleId="186">
    <w:name w:val="条文脚注"/>
    <w:basedOn w:val="44"/>
    <w:qFormat/>
    <w:uiPriority w:val="0"/>
    <w:pPr>
      <w:jc w:val="both"/>
    </w:pPr>
  </w:style>
  <w:style w:type="paragraph" w:customStyle="1" w:styleId="187">
    <w:name w:val="其他标准标志"/>
    <w:basedOn w:val="188"/>
    <w:qFormat/>
    <w:uiPriority w:val="0"/>
    <w:rPr>
      <w:w w:val="130"/>
    </w:rPr>
  </w:style>
  <w:style w:type="paragraph" w:customStyle="1" w:styleId="188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9">
    <w:name w:val="Agreement"/>
    <w:basedOn w:val="1"/>
    <w:next w:val="68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1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2">
    <w:name w:val="附录五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3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4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6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7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8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9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200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1">
    <w:name w:val="TAH"/>
    <w:basedOn w:val="202"/>
    <w:qFormat/>
    <w:uiPriority w:val="0"/>
    <w:rPr>
      <w:b/>
      <w:bCs/>
      <w:szCs w:val="18"/>
    </w:rPr>
  </w:style>
  <w:style w:type="paragraph" w:customStyle="1" w:styleId="202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3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4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5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6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7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8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9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1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2">
    <w:name w:val="其他实施日期"/>
    <w:basedOn w:val="166"/>
    <w:qFormat/>
    <w:uiPriority w:val="0"/>
  </w:style>
  <w:style w:type="paragraph" w:customStyle="1" w:styleId="213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4">
    <w:name w:val="四级无"/>
    <w:basedOn w:val="150"/>
    <w:qFormat/>
    <w:uiPriority w:val="0"/>
    <w:rPr>
      <w:rFonts w:ascii="宋体" w:eastAsia="宋体"/>
    </w:rPr>
  </w:style>
  <w:style w:type="paragraph" w:customStyle="1" w:styleId="215">
    <w:name w:val="示例×："/>
    <w:basedOn w:val="152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7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1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1"/>
    <w:next w:val="1"/>
    <w:qFormat/>
    <w:uiPriority w:val="0"/>
    <w:pPr>
      <w:jc w:val="left"/>
    </w:pPr>
  </w:style>
  <w:style w:type="paragraph" w:customStyle="1" w:styleId="227">
    <w:name w:val="附录三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3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5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5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5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1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4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5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7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7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70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paragraph" w:customStyle="1" w:styleId="280">
    <w:name w:val="Reference"/>
    <w:basedOn w:val="1"/>
    <w:qFormat/>
    <w:uiPriority w:val="0"/>
    <w:pPr>
      <w:numPr>
        <w:ilvl w:val="0"/>
        <w:numId w:val="3"/>
      </w:numPr>
    </w:pPr>
  </w:style>
  <w:style w:type="paragraph" w:customStyle="1" w:styleId="281">
    <w:name w:val="Pat Appl"/>
    <w:basedOn w:val="1"/>
    <w:qFormat/>
    <w:uiPriority w:val="0"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2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28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  <w:lang w:eastAsia="en-US"/>
    </w:rPr>
  </w:style>
  <w:style w:type="paragraph" w:customStyle="1" w:styleId="284">
    <w:name w:val="List Paragraph1"/>
    <w:basedOn w:val="1"/>
    <w:qFormat/>
    <w:uiPriority w:val="0"/>
    <w:pPr>
      <w:widowControl/>
      <w:spacing w:before="100" w:beforeAutospacing="1" w:after="180" w:line="256" w:lineRule="auto"/>
      <w:ind w:left="720"/>
      <w:contextualSpacing/>
    </w:pPr>
    <w:rPr>
      <w:rFonts w:ascii="Arial" w:hAnsi="Arial"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08A83-9648-485B-AA5F-3F99553A18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3</Pages>
  <Words>771</Words>
  <Characters>4399</Characters>
  <Lines>36</Lines>
  <Paragraphs>10</Paragraphs>
  <TotalTime>0</TotalTime>
  <ScaleCrop>false</ScaleCrop>
  <LinksUpToDate>false</LinksUpToDate>
  <CharactersWithSpaces>5160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2020-02-14T02:22:00Z</dcterms:created>
  <dc:creator>10033860</dc:creator>
  <cp:lastModifiedBy>ZTE(Wenting)</cp:lastModifiedBy>
  <cp:lastPrinted>2113-01-01T00:00:00Z</cp:lastPrinted>
  <dcterms:modified xsi:type="dcterms:W3CDTF">2021-10-22T00:51:15Z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