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84B5F" w14:textId="5FD32B1A" w:rsidR="00F27972" w:rsidRPr="005C238A" w:rsidRDefault="00F27972" w:rsidP="00F2797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5</w:t>
      </w:r>
    </w:p>
    <w:p w14:paraId="70F04D41" w14:textId="77777777" w:rsidR="00F27972" w:rsidRPr="005C238A" w:rsidRDefault="00F27972" w:rsidP="00F2797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4DD0BD55" w14:textId="77777777" w:rsidR="00F27972" w:rsidRPr="005C238A" w:rsidRDefault="00F27972" w:rsidP="00F2797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BFC567F" w14:textId="77777777" w:rsidR="00F27972" w:rsidRPr="005C238A" w:rsidRDefault="00F27972" w:rsidP="00F2797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385B15" w14:textId="4E4F5C18" w:rsidR="00B97703" w:rsidRDefault="004E3939" w:rsidP="00C23853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8094F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88094F">
        <w:rPr>
          <w:rFonts w:cs="Arial"/>
          <w:bCs/>
          <w:sz w:val="22"/>
          <w:szCs w:val="22"/>
        </w:rPr>
        <w:t>4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Meeting </w:t>
      </w:r>
      <w:r w:rsidR="0088094F">
        <w:rPr>
          <w:rFonts w:cs="Arial"/>
          <w:bCs/>
          <w:sz w:val="22"/>
          <w:szCs w:val="22"/>
        </w:rPr>
        <w:t>#100-e</w:t>
      </w:r>
      <w:r w:rsidRPr="00DA53A0">
        <w:rPr>
          <w:rFonts w:cs="Arial"/>
          <w:bCs/>
          <w:sz w:val="22"/>
          <w:szCs w:val="22"/>
        </w:rPr>
        <w:tab/>
      </w:r>
      <w:r w:rsidR="0088094F">
        <w:rPr>
          <w:rFonts w:cs="Arial"/>
          <w:noProof w:val="0"/>
          <w:sz w:val="22"/>
          <w:szCs w:val="22"/>
        </w:rPr>
        <w:t>R4-211</w:t>
      </w:r>
      <w:r w:rsidR="001750A7">
        <w:rPr>
          <w:rFonts w:cs="Arial"/>
          <w:noProof w:val="0"/>
          <w:sz w:val="22"/>
          <w:szCs w:val="22"/>
        </w:rPr>
        <w:t>4929</w:t>
      </w:r>
    </w:p>
    <w:p w14:paraId="210AF8F7" w14:textId="3A0CB0D0" w:rsidR="004E3939" w:rsidRPr="00DA53A0" w:rsidRDefault="0088094F" w:rsidP="004E3939">
      <w:pPr>
        <w:pStyle w:val="Header"/>
        <w:rPr>
          <w:sz w:val="22"/>
          <w:szCs w:val="22"/>
        </w:rPr>
      </w:pPr>
      <w:r w:rsidRPr="0088094F">
        <w:rPr>
          <w:sz w:val="22"/>
          <w:szCs w:val="22"/>
        </w:rPr>
        <w:t>Electronic meeting, 16</w:t>
      </w:r>
      <w:r w:rsidRPr="0088094F">
        <w:rPr>
          <w:sz w:val="22"/>
          <w:szCs w:val="22"/>
          <w:vertAlign w:val="superscript"/>
        </w:rPr>
        <w:t>th</w:t>
      </w:r>
      <w:r w:rsidRPr="0088094F">
        <w:rPr>
          <w:sz w:val="22"/>
          <w:szCs w:val="22"/>
        </w:rPr>
        <w:t xml:space="preserve"> – 27</w:t>
      </w:r>
      <w:r w:rsidRPr="0088094F">
        <w:rPr>
          <w:sz w:val="22"/>
          <w:szCs w:val="22"/>
          <w:vertAlign w:val="superscript"/>
        </w:rPr>
        <w:t>th</w:t>
      </w:r>
      <w:r w:rsidRPr="0088094F">
        <w:rPr>
          <w:sz w:val="22"/>
          <w:szCs w:val="22"/>
        </w:rPr>
        <w:t xml:space="preserve"> August, 2021</w:t>
      </w:r>
    </w:p>
    <w:p w14:paraId="3CFDE862" w14:textId="77777777" w:rsidR="00B97703" w:rsidRDefault="00B97703">
      <w:pPr>
        <w:rPr>
          <w:rFonts w:ascii="Arial" w:hAnsi="Arial" w:cs="Arial"/>
        </w:rPr>
      </w:pPr>
    </w:p>
    <w:p w14:paraId="73C8CA78" w14:textId="1736803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C7027">
        <w:rPr>
          <w:rFonts w:ascii="Arial" w:hAnsi="Arial" w:cs="Arial"/>
          <w:b/>
          <w:sz w:val="22"/>
          <w:szCs w:val="22"/>
        </w:rPr>
        <w:t>signaling for power class 1.5</w:t>
      </w:r>
    </w:p>
    <w:p w14:paraId="790C59BF" w14:textId="7BFA1E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9DBF3D6" w14:textId="36D04C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094F">
        <w:rPr>
          <w:rFonts w:ascii="Arial" w:hAnsi="Arial" w:cs="Arial"/>
          <w:b/>
          <w:bCs/>
          <w:sz w:val="22"/>
          <w:szCs w:val="22"/>
        </w:rPr>
        <w:t>Rel</w:t>
      </w:r>
      <w:r w:rsidR="002203F2">
        <w:rPr>
          <w:rFonts w:ascii="Arial" w:hAnsi="Arial" w:cs="Arial"/>
          <w:b/>
          <w:bCs/>
          <w:sz w:val="22"/>
          <w:szCs w:val="22"/>
        </w:rPr>
        <w:t>ease 17</w:t>
      </w:r>
    </w:p>
    <w:bookmarkEnd w:id="7"/>
    <w:bookmarkEnd w:id="8"/>
    <w:bookmarkEnd w:id="9"/>
    <w:p w14:paraId="362657E5" w14:textId="57E28F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1362" w:rsidRPr="00B51362">
        <w:rPr>
          <w:rFonts w:ascii="Arial" w:hAnsi="Arial" w:cs="Arial"/>
          <w:b/>
          <w:bCs/>
          <w:sz w:val="22"/>
          <w:szCs w:val="22"/>
        </w:rPr>
        <w:t xml:space="preserve">High-power UE (power class 1.5) operation in NR bands n77 and n78 </w:t>
      </w:r>
      <w:r w:rsidR="00211367">
        <w:rPr>
          <w:rFonts w:ascii="Arial" w:hAnsi="Arial" w:cs="Arial"/>
          <w:b/>
          <w:bCs/>
          <w:sz w:val="22"/>
          <w:szCs w:val="22"/>
        </w:rPr>
        <w:t>(</w:t>
      </w:r>
      <w:r w:rsidR="00211367" w:rsidRPr="00211367">
        <w:rPr>
          <w:rFonts w:ascii="Arial" w:hAnsi="Arial" w:cs="Arial"/>
          <w:b/>
          <w:bCs/>
          <w:sz w:val="22"/>
          <w:szCs w:val="22"/>
        </w:rPr>
        <w:t>HPUE_PC1_5_n77_n78</w:t>
      </w:r>
      <w:r w:rsidR="00211367">
        <w:rPr>
          <w:rFonts w:ascii="Arial" w:hAnsi="Arial" w:cs="Arial"/>
          <w:b/>
          <w:bCs/>
          <w:sz w:val="22"/>
          <w:szCs w:val="22"/>
        </w:rPr>
        <w:t>)</w:t>
      </w:r>
    </w:p>
    <w:p w14:paraId="7806CF6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4F426A" w14:textId="0ADC7C4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86417">
        <w:rPr>
          <w:rFonts w:ascii="Arial" w:hAnsi="Arial" w:cs="Arial"/>
          <w:b/>
          <w:sz w:val="22"/>
          <w:szCs w:val="22"/>
        </w:rPr>
        <w:t>RAN4</w:t>
      </w:r>
    </w:p>
    <w:p w14:paraId="53B3A590" w14:textId="1A7D89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03F2">
        <w:rPr>
          <w:rFonts w:ascii="Arial" w:hAnsi="Arial" w:cs="Arial"/>
          <w:b/>
          <w:bCs/>
          <w:sz w:val="22"/>
          <w:szCs w:val="22"/>
        </w:rPr>
        <w:t>RAN2</w:t>
      </w:r>
    </w:p>
    <w:p w14:paraId="2DE362F9" w14:textId="06CBB2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0758C63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BA25EA" w14:textId="0EA514A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03F2">
        <w:rPr>
          <w:rFonts w:ascii="Arial" w:hAnsi="Arial" w:cs="Arial"/>
          <w:b/>
          <w:bCs/>
          <w:sz w:val="22"/>
          <w:szCs w:val="22"/>
        </w:rPr>
        <w:t>Gene Fong</w:t>
      </w:r>
    </w:p>
    <w:p w14:paraId="474D89B4" w14:textId="6542FD1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203F2">
        <w:rPr>
          <w:rFonts w:ascii="Arial" w:hAnsi="Arial" w:cs="Arial"/>
          <w:b/>
          <w:bCs/>
          <w:sz w:val="22"/>
          <w:szCs w:val="22"/>
        </w:rPr>
        <w:t>gfong&lt;at&gt;qti&lt;dot&gt;qualcomm&lt;dot&gt;com</w:t>
      </w:r>
    </w:p>
    <w:p w14:paraId="04A8966F" w14:textId="18E582D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29FE43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02B4D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DFC7E4" w14:textId="76CD1CA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1042302" w14:textId="77777777" w:rsidR="00B97703" w:rsidRDefault="00B97703" w:rsidP="00C23853">
      <w:pPr>
        <w:spacing w:after="0"/>
        <w:rPr>
          <w:rFonts w:ascii="Arial" w:hAnsi="Arial" w:cs="Arial"/>
        </w:rPr>
      </w:pPr>
    </w:p>
    <w:p w14:paraId="26BFF1DF" w14:textId="77777777" w:rsidR="00B97703" w:rsidRDefault="000F6242" w:rsidP="00C23853">
      <w:pPr>
        <w:pStyle w:val="Heading1"/>
        <w:spacing w:before="120"/>
      </w:pPr>
      <w:r>
        <w:t>1</w:t>
      </w:r>
      <w:r w:rsidR="002F1940">
        <w:tab/>
      </w:r>
      <w:r>
        <w:t>Overall description</w:t>
      </w:r>
    </w:p>
    <w:p w14:paraId="4B671142" w14:textId="77777777" w:rsidR="001000F5" w:rsidRPr="00667DE5" w:rsidRDefault="004C4C2B" w:rsidP="000F6242">
      <w:r w:rsidRPr="00667DE5">
        <w:t xml:space="preserve">The </w:t>
      </w:r>
      <w:r w:rsidR="009F4C24" w:rsidRPr="00667DE5">
        <w:t xml:space="preserve">objectives for the </w:t>
      </w:r>
      <w:r w:rsidRPr="00667DE5">
        <w:t xml:space="preserve">work item </w:t>
      </w:r>
      <w:r w:rsidR="009F4C24" w:rsidRPr="00667DE5">
        <w:t xml:space="preserve">on </w:t>
      </w:r>
      <w:r w:rsidRPr="00667DE5">
        <w:t xml:space="preserve">high power UE (power class 1.5) operation in NR bands n77 and n78 (HPUE_PC1_5_n77_n78) as well as the work item </w:t>
      </w:r>
      <w:r w:rsidR="009F4C24" w:rsidRPr="00667DE5">
        <w:t>on</w:t>
      </w:r>
      <w:r w:rsidRPr="00667DE5">
        <w:t xml:space="preserve"> higher power UE PC1.5 in NR band n79 (</w:t>
      </w:r>
      <w:r w:rsidR="00C50FF1" w:rsidRPr="00667DE5">
        <w:t xml:space="preserve">NR_UE_PC1_5_n79) include </w:t>
      </w:r>
      <w:r w:rsidR="002902D9" w:rsidRPr="00667DE5">
        <w:t xml:space="preserve">the development of requirements for UE mobile device and fixed wireless access (FWA) device.  In the development of requirements for FWA, RAN4 </w:t>
      </w:r>
      <w:r w:rsidR="00230F41" w:rsidRPr="00667DE5">
        <w:t xml:space="preserve">agreed that there is a benefit to </w:t>
      </w:r>
      <w:r w:rsidR="00C840F8" w:rsidRPr="00667DE5">
        <w:t>introduce</w:t>
      </w:r>
      <w:r w:rsidR="00230F41" w:rsidRPr="00667DE5">
        <w:t xml:space="preserve"> a </w:t>
      </w:r>
      <w:r w:rsidR="00C840F8" w:rsidRPr="00667DE5">
        <w:t xml:space="preserve">new </w:t>
      </w:r>
      <w:r w:rsidR="00230F41" w:rsidRPr="00667DE5">
        <w:t>maximum duty cycle capability</w:t>
      </w:r>
      <w:r w:rsidR="00C840F8" w:rsidRPr="00667DE5">
        <w:t xml:space="preserve"> to </w:t>
      </w:r>
      <w:r w:rsidR="002D6E11" w:rsidRPr="00667DE5">
        <w:t xml:space="preserve">facilitate the FWA device to meet </w:t>
      </w:r>
      <w:r w:rsidR="003E6D7C" w:rsidRPr="00667DE5">
        <w:t>Maximum Permissible Exposure (</w:t>
      </w:r>
      <w:r w:rsidR="002D6E11" w:rsidRPr="00667DE5">
        <w:t>MPE</w:t>
      </w:r>
      <w:r w:rsidR="003E6D7C" w:rsidRPr="00667DE5">
        <w:t>) requirements</w:t>
      </w:r>
      <w:r w:rsidR="00F431A5" w:rsidRPr="00667DE5">
        <w:t xml:space="preserve">.  </w:t>
      </w:r>
    </w:p>
    <w:p w14:paraId="79DDE655" w14:textId="52C8D25B" w:rsidR="001B5243" w:rsidRPr="00667DE5" w:rsidRDefault="00F431A5" w:rsidP="000F6242">
      <w:r w:rsidRPr="00667DE5">
        <w:t xml:space="preserve">RAN4 envisions that this new capability would be analogous to the existing </w:t>
      </w:r>
      <w:r w:rsidR="00562580" w:rsidRPr="00667DE5">
        <w:rPr>
          <w:i/>
          <w:iCs/>
        </w:rPr>
        <w:t>maxUplinkDutyCycle-PC2-FR1</w:t>
      </w:r>
      <w:r w:rsidR="001B5243" w:rsidRPr="00667DE5">
        <w:t xml:space="preserve"> </w:t>
      </w:r>
      <w:r w:rsidR="00C63B28" w:rsidRPr="00667DE5">
        <w:t>bu</w:t>
      </w:r>
      <w:r w:rsidR="00605AFD" w:rsidRPr="00667DE5">
        <w:t xml:space="preserve">t with  allowed set of values </w:t>
      </w:r>
      <w:r w:rsidR="006C07BD" w:rsidRPr="00667DE5">
        <w:t xml:space="preserve">as 10%, </w:t>
      </w:r>
      <w:r w:rsidR="00B255B0">
        <w:t xml:space="preserve">15%, </w:t>
      </w:r>
      <w:r w:rsidR="006C07BD" w:rsidRPr="00667DE5">
        <w:t xml:space="preserve">20%, </w:t>
      </w:r>
      <w:r w:rsidR="002059E4">
        <w:t xml:space="preserve">25%, </w:t>
      </w:r>
      <w:r w:rsidR="006C07BD" w:rsidRPr="00667DE5">
        <w:t xml:space="preserve">30%, 40%, 50%, 60%, 70%, 80%, 90%, and 100%.  </w:t>
      </w:r>
      <w:r w:rsidR="00C639A3" w:rsidRPr="00667DE5">
        <w:t xml:space="preserve">In case the UE does not report the capability, it should be assumed that the UE will </w:t>
      </w:r>
      <w:r w:rsidR="0069037C" w:rsidRPr="00667DE5">
        <w:t xml:space="preserve">mitigate MPE </w:t>
      </w:r>
      <w:r w:rsidR="00896CBA" w:rsidRPr="00667DE5">
        <w:t xml:space="preserve">autonomously </w:t>
      </w:r>
      <w:r w:rsidR="0069037C" w:rsidRPr="00667DE5">
        <w:t xml:space="preserve">by P-MPR </w:t>
      </w:r>
      <w:r w:rsidR="002059E4">
        <w:t xml:space="preserve">or by other means </w:t>
      </w:r>
      <w:r w:rsidR="0069037C" w:rsidRPr="00667DE5">
        <w:t xml:space="preserve">and no restriction on </w:t>
      </w:r>
      <w:r w:rsidR="00896CBA" w:rsidRPr="00667DE5">
        <w:t xml:space="preserve">scheduled </w:t>
      </w:r>
      <w:r w:rsidR="0069037C" w:rsidRPr="00667DE5">
        <w:t xml:space="preserve">uplink duty cycle is requested.  </w:t>
      </w:r>
      <w:r w:rsidR="00502425" w:rsidRPr="00667DE5">
        <w:t xml:space="preserve">RAN4 </w:t>
      </w:r>
      <w:r w:rsidR="007D184A" w:rsidRPr="00667DE5">
        <w:t>suggests that this capability is per band, FR1 only</w:t>
      </w:r>
      <w:r w:rsidR="0014514F">
        <w:t>, limited to devices</w:t>
      </w:r>
      <w:r w:rsidR="00D92294">
        <w:t xml:space="preserve"> supporting power class 1.5,</w:t>
      </w:r>
      <w:r w:rsidR="001C18B4" w:rsidRPr="00667DE5">
        <w:t xml:space="preserve"> with a possible name as </w:t>
      </w:r>
      <w:r w:rsidR="001C18B4" w:rsidRPr="00667DE5">
        <w:rPr>
          <w:i/>
          <w:iCs/>
        </w:rPr>
        <w:t>maxUplinkDutyCycle-MPE-FR1</w:t>
      </w:r>
      <w:r w:rsidR="00667DE5">
        <w:t xml:space="preserve">.  RAN4 requests, if possible, this new capability be introduced </w:t>
      </w:r>
      <w:r w:rsidR="00FE6800">
        <w:t>as early as possible since power class 1.5 for Band n41 was already introduced in Release 16 and defined to be release independent to Release 15.</w:t>
      </w:r>
    </w:p>
    <w:p w14:paraId="0C0186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8163E4" w14:textId="25B19C8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50F2E">
        <w:rPr>
          <w:rFonts w:ascii="Arial" w:hAnsi="Arial" w:cs="Arial"/>
          <w:b/>
        </w:rPr>
        <w:t>TSG RAN WG2</w:t>
      </w:r>
      <w:r>
        <w:rPr>
          <w:rFonts w:ascii="Arial" w:hAnsi="Arial" w:cs="Arial"/>
          <w:b/>
        </w:rPr>
        <w:t xml:space="preserve"> </w:t>
      </w:r>
    </w:p>
    <w:p w14:paraId="34252776" w14:textId="711622EA" w:rsidR="00B97703" w:rsidRPr="00C23853" w:rsidRDefault="00B97703" w:rsidP="00815F76">
      <w:pPr>
        <w:spacing w:after="120"/>
        <w:ind w:left="993" w:hanging="993"/>
        <w:rPr>
          <w:i/>
          <w:iCs/>
        </w:rPr>
      </w:pPr>
      <w:r w:rsidRPr="00C23853">
        <w:rPr>
          <w:rFonts w:ascii="Arial" w:hAnsi="Arial" w:cs="Arial"/>
          <w:b/>
        </w:rPr>
        <w:t>ACTION:</w:t>
      </w:r>
      <w:r w:rsidRPr="00C23853">
        <w:rPr>
          <w:rFonts w:ascii="Arial" w:hAnsi="Arial" w:cs="Arial"/>
          <w:b/>
        </w:rPr>
        <w:tab/>
      </w:r>
      <w:r w:rsidR="00D50F2E" w:rsidRPr="00C23853">
        <w:t xml:space="preserve">RAN4 respectfully requests RAN2 to define a new UE capability signaling element </w:t>
      </w:r>
      <w:r w:rsidR="00463498" w:rsidRPr="00C23853">
        <w:t>allow</w:t>
      </w:r>
      <w:r w:rsidR="004E51D7" w:rsidRPr="00C23853">
        <w:t>ing</w:t>
      </w:r>
      <w:r w:rsidR="00463498" w:rsidRPr="00C23853">
        <w:t xml:space="preserve"> the </w:t>
      </w:r>
      <w:r w:rsidR="00D92294" w:rsidRPr="00C23853">
        <w:t xml:space="preserve">PC 1.5 </w:t>
      </w:r>
      <w:r w:rsidR="00463498" w:rsidRPr="00C23853">
        <w:t>UE to report its maximum uplink duty cycle capability</w:t>
      </w:r>
      <w:r w:rsidR="00F20EC0" w:rsidRPr="00C23853">
        <w:t xml:space="preserve"> </w:t>
      </w:r>
      <w:r w:rsidR="004E51D7" w:rsidRPr="00C23853">
        <w:t>for</w:t>
      </w:r>
      <w:r w:rsidR="00F20EC0" w:rsidRPr="00C23853">
        <w:t xml:space="preserve"> compliance with MPE.</w:t>
      </w:r>
    </w:p>
    <w:p w14:paraId="1067B7D5" w14:textId="77777777" w:rsidR="00B97703" w:rsidRDefault="00B97703" w:rsidP="00C23853">
      <w:pPr>
        <w:spacing w:after="0"/>
        <w:ind w:left="992" w:hanging="992"/>
        <w:rPr>
          <w:rFonts w:ascii="Arial" w:hAnsi="Arial" w:cs="Arial"/>
        </w:rPr>
      </w:pPr>
    </w:p>
    <w:p w14:paraId="7604114F" w14:textId="4C6941B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15F7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15F7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F395C7" w14:textId="60C3EC66" w:rsidR="001543C4" w:rsidRDefault="001543C4" w:rsidP="00C23853">
      <w:pPr>
        <w:tabs>
          <w:tab w:val="left" w:pos="3544"/>
          <w:tab w:val="left" w:pos="6096"/>
        </w:tabs>
      </w:pPr>
      <w:r>
        <w:t>TSG RAN WG4 Meeting #101-e</w:t>
      </w:r>
      <w:r>
        <w:tab/>
        <w:t>November 1 – 12, 2021</w:t>
      </w:r>
      <w:r>
        <w:tab/>
      </w:r>
      <w:r w:rsidR="00C23853">
        <w:t>E</w:t>
      </w:r>
      <w:r w:rsidR="00303BF4">
        <w:t xml:space="preserve">lectronic </w:t>
      </w:r>
      <w:r>
        <w:t>meeting</w:t>
      </w:r>
    </w:p>
    <w:p w14:paraId="73FA1DC2" w14:textId="5750FA04" w:rsidR="002F1940" w:rsidRPr="002F1940" w:rsidRDefault="001543C4" w:rsidP="00C23853">
      <w:pPr>
        <w:tabs>
          <w:tab w:val="left" w:pos="3544"/>
          <w:tab w:val="left" w:pos="6096"/>
        </w:tabs>
      </w:pPr>
      <w:r>
        <w:t>TSG RAN WG4 Meeting #102-e</w:t>
      </w:r>
      <w:r>
        <w:tab/>
        <w:t>February 21 – 25, 2022</w:t>
      </w:r>
      <w:r>
        <w:tab/>
        <w:t>TBC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7DED39" w14:textId="77777777" w:rsidR="00C44A57" w:rsidRDefault="00C44A57">
      <w:pPr>
        <w:spacing w:after="0"/>
      </w:pPr>
      <w:r>
        <w:separator/>
      </w:r>
    </w:p>
  </w:endnote>
  <w:endnote w:type="continuationSeparator" w:id="0">
    <w:p w14:paraId="55C25397" w14:textId="77777777" w:rsidR="00C44A57" w:rsidRDefault="00C44A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17095D" w14:textId="77777777" w:rsidR="00C44A57" w:rsidRDefault="00C44A57">
      <w:pPr>
        <w:spacing w:after="0"/>
      </w:pPr>
      <w:r>
        <w:separator/>
      </w:r>
    </w:p>
  </w:footnote>
  <w:footnote w:type="continuationSeparator" w:id="0">
    <w:p w14:paraId="32068695" w14:textId="77777777" w:rsidR="00C44A57" w:rsidRDefault="00C44A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C696B"/>
    <w:rsid w:val="000F6242"/>
    <w:rsid w:val="001000F5"/>
    <w:rsid w:val="0014514F"/>
    <w:rsid w:val="001543C4"/>
    <w:rsid w:val="001750A7"/>
    <w:rsid w:val="00186417"/>
    <w:rsid w:val="001B5243"/>
    <w:rsid w:val="001C18B4"/>
    <w:rsid w:val="002059E4"/>
    <w:rsid w:val="00211367"/>
    <w:rsid w:val="002203F2"/>
    <w:rsid w:val="00230F41"/>
    <w:rsid w:val="002902D9"/>
    <w:rsid w:val="002C7027"/>
    <w:rsid w:val="002D6E11"/>
    <w:rsid w:val="002F1940"/>
    <w:rsid w:val="00303BF4"/>
    <w:rsid w:val="00383545"/>
    <w:rsid w:val="003E6D7C"/>
    <w:rsid w:val="00433500"/>
    <w:rsid w:val="00433F71"/>
    <w:rsid w:val="00440D43"/>
    <w:rsid w:val="00463498"/>
    <w:rsid w:val="004C4C2B"/>
    <w:rsid w:val="004E3939"/>
    <w:rsid w:val="004E51D7"/>
    <w:rsid w:val="00502425"/>
    <w:rsid w:val="00562580"/>
    <w:rsid w:val="00573560"/>
    <w:rsid w:val="00605AFD"/>
    <w:rsid w:val="00667DE5"/>
    <w:rsid w:val="0069037C"/>
    <w:rsid w:val="006C07BD"/>
    <w:rsid w:val="007A248B"/>
    <w:rsid w:val="007D184A"/>
    <w:rsid w:val="007F4F92"/>
    <w:rsid w:val="00815F76"/>
    <w:rsid w:val="0088094F"/>
    <w:rsid w:val="00896CBA"/>
    <w:rsid w:val="008D772F"/>
    <w:rsid w:val="0099764C"/>
    <w:rsid w:val="009F4C24"/>
    <w:rsid w:val="00A30B0B"/>
    <w:rsid w:val="00AC3A4B"/>
    <w:rsid w:val="00B255B0"/>
    <w:rsid w:val="00B51362"/>
    <w:rsid w:val="00B97703"/>
    <w:rsid w:val="00BA04C3"/>
    <w:rsid w:val="00C23853"/>
    <w:rsid w:val="00C44A57"/>
    <w:rsid w:val="00C50FF1"/>
    <w:rsid w:val="00C639A3"/>
    <w:rsid w:val="00C63B28"/>
    <w:rsid w:val="00C840F8"/>
    <w:rsid w:val="00CF6087"/>
    <w:rsid w:val="00D50F2E"/>
    <w:rsid w:val="00D87C9D"/>
    <w:rsid w:val="00D92294"/>
    <w:rsid w:val="00E131A0"/>
    <w:rsid w:val="00F20EC0"/>
    <w:rsid w:val="00F27972"/>
    <w:rsid w:val="00F431A5"/>
    <w:rsid w:val="00FE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97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79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79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79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79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797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7972"/>
    <w:pPr>
      <w:outlineLvl w:val="5"/>
    </w:pPr>
  </w:style>
  <w:style w:type="paragraph" w:styleId="Heading7">
    <w:name w:val="heading 7"/>
    <w:basedOn w:val="H6"/>
    <w:next w:val="Normal"/>
    <w:qFormat/>
    <w:rsid w:val="00F27972"/>
    <w:pPr>
      <w:outlineLvl w:val="6"/>
    </w:pPr>
  </w:style>
  <w:style w:type="paragraph" w:styleId="Heading8">
    <w:name w:val="heading 8"/>
    <w:basedOn w:val="Heading1"/>
    <w:next w:val="Normal"/>
    <w:qFormat/>
    <w:rsid w:val="00F279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7972"/>
    <w:pPr>
      <w:outlineLvl w:val="8"/>
    </w:pPr>
  </w:style>
  <w:style w:type="character" w:default="1" w:styleId="DefaultParagraphFont">
    <w:name w:val="Default Paragraph Font"/>
    <w:semiHidden/>
    <w:rsid w:val="00F279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7972"/>
  </w:style>
  <w:style w:type="paragraph" w:styleId="Header">
    <w:name w:val="header"/>
    <w:link w:val="HeaderChar"/>
    <w:rsid w:val="00F279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797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797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27972"/>
    <w:pPr>
      <w:spacing w:before="180"/>
      <w:ind w:left="2693" w:hanging="2693"/>
    </w:pPr>
    <w:rPr>
      <w:b/>
    </w:rPr>
  </w:style>
  <w:style w:type="paragraph" w:styleId="TOC1">
    <w:name w:val="toc 1"/>
    <w:semiHidden/>
    <w:rsid w:val="00F279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79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7972"/>
    <w:pPr>
      <w:ind w:left="1701" w:hanging="1701"/>
    </w:pPr>
  </w:style>
  <w:style w:type="paragraph" w:styleId="TOC4">
    <w:name w:val="toc 4"/>
    <w:basedOn w:val="TOC3"/>
    <w:semiHidden/>
    <w:rsid w:val="00F27972"/>
    <w:pPr>
      <w:ind w:left="1418" w:hanging="1418"/>
    </w:pPr>
  </w:style>
  <w:style w:type="paragraph" w:styleId="TOC3">
    <w:name w:val="toc 3"/>
    <w:basedOn w:val="TOC2"/>
    <w:semiHidden/>
    <w:rsid w:val="00F27972"/>
    <w:pPr>
      <w:ind w:left="1134" w:hanging="1134"/>
    </w:pPr>
  </w:style>
  <w:style w:type="paragraph" w:styleId="TOC2">
    <w:name w:val="toc 2"/>
    <w:basedOn w:val="TOC1"/>
    <w:semiHidden/>
    <w:rsid w:val="00F279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7972"/>
    <w:pPr>
      <w:ind w:left="284"/>
    </w:pPr>
  </w:style>
  <w:style w:type="paragraph" w:styleId="Index1">
    <w:name w:val="index 1"/>
    <w:basedOn w:val="Normal"/>
    <w:semiHidden/>
    <w:rsid w:val="00F27972"/>
    <w:pPr>
      <w:keepLines/>
      <w:spacing w:after="0"/>
    </w:pPr>
  </w:style>
  <w:style w:type="paragraph" w:customStyle="1" w:styleId="ZH">
    <w:name w:val="ZH"/>
    <w:rsid w:val="00F279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7972"/>
    <w:pPr>
      <w:outlineLvl w:val="9"/>
    </w:pPr>
  </w:style>
  <w:style w:type="paragraph" w:styleId="ListNumber2">
    <w:name w:val="List Number 2"/>
    <w:basedOn w:val="ListNumber"/>
    <w:semiHidden/>
    <w:rsid w:val="00F27972"/>
    <w:pPr>
      <w:ind w:left="851"/>
    </w:pPr>
  </w:style>
  <w:style w:type="character" w:styleId="FootnoteReference">
    <w:name w:val="footnote reference"/>
    <w:semiHidden/>
    <w:rsid w:val="00F279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79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F27972"/>
    <w:rPr>
      <w:b/>
    </w:rPr>
  </w:style>
  <w:style w:type="paragraph" w:customStyle="1" w:styleId="TAC">
    <w:name w:val="TAC"/>
    <w:basedOn w:val="TAL"/>
    <w:rsid w:val="00F27972"/>
    <w:pPr>
      <w:jc w:val="center"/>
    </w:pPr>
  </w:style>
  <w:style w:type="paragraph" w:customStyle="1" w:styleId="TF">
    <w:name w:val="TF"/>
    <w:basedOn w:val="TH"/>
    <w:rsid w:val="00F27972"/>
    <w:pPr>
      <w:keepNext w:val="0"/>
      <w:spacing w:before="0" w:after="240"/>
    </w:pPr>
  </w:style>
  <w:style w:type="paragraph" w:customStyle="1" w:styleId="NO">
    <w:name w:val="NO"/>
    <w:basedOn w:val="Normal"/>
    <w:rsid w:val="00F27972"/>
    <w:pPr>
      <w:keepLines/>
      <w:ind w:left="1135" w:hanging="851"/>
    </w:pPr>
  </w:style>
  <w:style w:type="paragraph" w:styleId="TOC9">
    <w:name w:val="toc 9"/>
    <w:basedOn w:val="TOC8"/>
    <w:semiHidden/>
    <w:rsid w:val="00F27972"/>
    <w:pPr>
      <w:ind w:left="1418" w:hanging="1418"/>
    </w:pPr>
  </w:style>
  <w:style w:type="paragraph" w:customStyle="1" w:styleId="EX">
    <w:name w:val="EX"/>
    <w:basedOn w:val="Normal"/>
    <w:rsid w:val="00F27972"/>
    <w:pPr>
      <w:keepLines/>
      <w:ind w:left="1702" w:hanging="1418"/>
    </w:pPr>
  </w:style>
  <w:style w:type="paragraph" w:customStyle="1" w:styleId="FP">
    <w:name w:val="FP"/>
    <w:basedOn w:val="Normal"/>
    <w:rsid w:val="00F27972"/>
    <w:pPr>
      <w:spacing w:after="0"/>
    </w:pPr>
  </w:style>
  <w:style w:type="paragraph" w:customStyle="1" w:styleId="LD">
    <w:name w:val="LD"/>
    <w:rsid w:val="00F279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7972"/>
    <w:pPr>
      <w:spacing w:after="0"/>
    </w:pPr>
  </w:style>
  <w:style w:type="paragraph" w:customStyle="1" w:styleId="EW">
    <w:name w:val="EW"/>
    <w:basedOn w:val="EX"/>
    <w:rsid w:val="00F27972"/>
    <w:pPr>
      <w:spacing w:after="0"/>
    </w:pPr>
  </w:style>
  <w:style w:type="paragraph" w:styleId="TOC6">
    <w:name w:val="toc 6"/>
    <w:basedOn w:val="TOC5"/>
    <w:next w:val="Normal"/>
    <w:semiHidden/>
    <w:rsid w:val="00F27972"/>
    <w:pPr>
      <w:ind w:left="1985" w:hanging="1985"/>
    </w:pPr>
  </w:style>
  <w:style w:type="paragraph" w:styleId="TOC7">
    <w:name w:val="toc 7"/>
    <w:basedOn w:val="TOC6"/>
    <w:next w:val="Normal"/>
    <w:semiHidden/>
    <w:rsid w:val="00F27972"/>
    <w:pPr>
      <w:ind w:left="2268" w:hanging="2268"/>
    </w:pPr>
  </w:style>
  <w:style w:type="paragraph" w:styleId="ListBullet2">
    <w:name w:val="List Bullet 2"/>
    <w:basedOn w:val="ListBullet"/>
    <w:semiHidden/>
    <w:rsid w:val="00F27972"/>
    <w:pPr>
      <w:ind w:left="851"/>
    </w:pPr>
  </w:style>
  <w:style w:type="paragraph" w:styleId="ListBullet3">
    <w:name w:val="List Bullet 3"/>
    <w:basedOn w:val="ListBullet2"/>
    <w:semiHidden/>
    <w:rsid w:val="00F27972"/>
    <w:pPr>
      <w:ind w:left="1135"/>
    </w:pPr>
  </w:style>
  <w:style w:type="paragraph" w:styleId="ListNumber">
    <w:name w:val="List Number"/>
    <w:basedOn w:val="List"/>
    <w:semiHidden/>
    <w:rsid w:val="00F27972"/>
  </w:style>
  <w:style w:type="paragraph" w:customStyle="1" w:styleId="EQ">
    <w:name w:val="EQ"/>
    <w:basedOn w:val="Normal"/>
    <w:next w:val="Normal"/>
    <w:rsid w:val="00F279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79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79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79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7972"/>
    <w:pPr>
      <w:jc w:val="right"/>
    </w:pPr>
  </w:style>
  <w:style w:type="paragraph" w:customStyle="1" w:styleId="H6">
    <w:name w:val="H6"/>
    <w:basedOn w:val="Heading5"/>
    <w:next w:val="Normal"/>
    <w:rsid w:val="00F279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7972"/>
    <w:pPr>
      <w:ind w:left="851" w:hanging="851"/>
    </w:pPr>
  </w:style>
  <w:style w:type="paragraph" w:customStyle="1" w:styleId="TAL">
    <w:name w:val="TAL"/>
    <w:basedOn w:val="Normal"/>
    <w:rsid w:val="00F279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79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79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79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79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7972"/>
    <w:pPr>
      <w:framePr w:wrap="notBeside" w:y="16161"/>
    </w:pPr>
  </w:style>
  <w:style w:type="character" w:customStyle="1" w:styleId="ZGSM">
    <w:name w:val="ZGSM"/>
    <w:rsid w:val="00F27972"/>
  </w:style>
  <w:style w:type="paragraph" w:styleId="List2">
    <w:name w:val="List 2"/>
    <w:basedOn w:val="List"/>
    <w:semiHidden/>
    <w:rsid w:val="00F27972"/>
    <w:pPr>
      <w:ind w:left="851"/>
    </w:pPr>
  </w:style>
  <w:style w:type="paragraph" w:customStyle="1" w:styleId="ZG">
    <w:name w:val="ZG"/>
    <w:rsid w:val="00F279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7972"/>
    <w:pPr>
      <w:ind w:left="1135"/>
    </w:pPr>
  </w:style>
  <w:style w:type="paragraph" w:styleId="List4">
    <w:name w:val="List 4"/>
    <w:basedOn w:val="List3"/>
    <w:semiHidden/>
    <w:rsid w:val="00F27972"/>
    <w:pPr>
      <w:ind w:left="1418"/>
    </w:pPr>
  </w:style>
  <w:style w:type="paragraph" w:styleId="List5">
    <w:name w:val="List 5"/>
    <w:basedOn w:val="List4"/>
    <w:semiHidden/>
    <w:rsid w:val="00F27972"/>
    <w:pPr>
      <w:ind w:left="1702"/>
    </w:pPr>
  </w:style>
  <w:style w:type="paragraph" w:customStyle="1" w:styleId="EditorsNote">
    <w:name w:val="Editor's Note"/>
    <w:basedOn w:val="NO"/>
    <w:rsid w:val="00F27972"/>
    <w:rPr>
      <w:color w:val="FF0000"/>
    </w:rPr>
  </w:style>
  <w:style w:type="paragraph" w:styleId="List">
    <w:name w:val="List"/>
    <w:basedOn w:val="Normal"/>
    <w:semiHidden/>
    <w:rsid w:val="00F27972"/>
    <w:pPr>
      <w:ind w:left="568" w:hanging="284"/>
    </w:pPr>
  </w:style>
  <w:style w:type="paragraph" w:styleId="ListBullet">
    <w:name w:val="List Bullet"/>
    <w:basedOn w:val="List"/>
    <w:semiHidden/>
    <w:rsid w:val="00F27972"/>
  </w:style>
  <w:style w:type="paragraph" w:styleId="ListBullet4">
    <w:name w:val="List Bullet 4"/>
    <w:basedOn w:val="ListBullet3"/>
    <w:semiHidden/>
    <w:rsid w:val="00F27972"/>
    <w:pPr>
      <w:ind w:left="1418"/>
    </w:pPr>
  </w:style>
  <w:style w:type="paragraph" w:styleId="ListBullet5">
    <w:name w:val="List Bullet 5"/>
    <w:basedOn w:val="ListBullet4"/>
    <w:semiHidden/>
    <w:rsid w:val="00F27972"/>
    <w:pPr>
      <w:ind w:left="1702"/>
    </w:pPr>
  </w:style>
  <w:style w:type="paragraph" w:customStyle="1" w:styleId="B2">
    <w:name w:val="B2"/>
    <w:basedOn w:val="List2"/>
    <w:rsid w:val="00F27972"/>
  </w:style>
  <w:style w:type="paragraph" w:customStyle="1" w:styleId="B3">
    <w:name w:val="B3"/>
    <w:basedOn w:val="List3"/>
    <w:rsid w:val="00F27972"/>
  </w:style>
  <w:style w:type="paragraph" w:customStyle="1" w:styleId="B4">
    <w:name w:val="B4"/>
    <w:basedOn w:val="List4"/>
    <w:rsid w:val="00F27972"/>
  </w:style>
  <w:style w:type="paragraph" w:customStyle="1" w:styleId="B5">
    <w:name w:val="B5"/>
    <w:basedOn w:val="List5"/>
    <w:rsid w:val="00F27972"/>
  </w:style>
  <w:style w:type="paragraph" w:customStyle="1" w:styleId="ZTD">
    <w:name w:val="ZTD"/>
    <w:basedOn w:val="ZB"/>
    <w:rsid w:val="00F2797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F27972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rsid w:val="00F27972"/>
    <w:rPr>
      <w:rFonts w:ascii="Arial" w:eastAsia="Malgun Gothic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4</cp:revision>
  <cp:lastPrinted>2002-04-23T07:10:00Z</cp:lastPrinted>
  <dcterms:created xsi:type="dcterms:W3CDTF">2021-10-08T22:02:00Z</dcterms:created>
  <dcterms:modified xsi:type="dcterms:W3CDTF">2021-10-08T22:05:00Z</dcterms:modified>
</cp:coreProperties>
</file>