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8" w:name="_GoBack"/>
      <w:bookmarkEnd w:id="8"/>
      <w:bookmarkStart w:id="0" w:name="OLE_LINK58"/>
      <w:bookmarkStart w:id="1" w:name="OLE_LINK57"/>
      <w:r>
        <w:rPr>
          <w:rFonts w:ascii="Arial" w:hAnsi="Arial" w:cs="Arial"/>
          <w:b/>
          <w:sz w:val="24"/>
          <w:szCs w:val="24"/>
        </w:rPr>
        <w:t>3GPP TSG RAN WG2#115-e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R2-210xxxx</w:t>
      </w:r>
    </w:p>
    <w:p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bookmarkEnd w:id="0"/>
    <w:bookmarkEnd w:id="1"/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61"/>
      <w:bookmarkStart w:id="3" w:name="OLE_LINK60"/>
      <w:bookmarkStart w:id="4" w:name="OLE_LINK59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2"/>
    <w:bookmarkEnd w:id="3"/>
    <w:bookmarkEnd w:id="4"/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lang w:eastAsia="zh-CN"/>
        </w:rPr>
        <w:t>NR_IAB_enh-Core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>Milap Majmundar</w:t>
      </w:r>
    </w:p>
    <w:p>
      <w:pPr>
        <w:spacing w:after="60"/>
        <w:rPr>
          <w:rFonts w:ascii="Arial" w:hAnsi="Arial" w:cs="Arial"/>
          <w:b/>
          <w:bCs/>
          <w:sz w:val="22"/>
          <w:szCs w:val="22"/>
          <w:lang w:val="de-DE" w:eastAsia="zh-CN"/>
        </w:rPr>
      </w:pPr>
      <w:r>
        <w:rPr>
          <w:rFonts w:hint="eastAsia" w:ascii="Arial" w:hAnsi="Arial" w:cs="Arial"/>
          <w:b/>
          <w:bCs/>
          <w:sz w:val="22"/>
          <w:szCs w:val="22"/>
          <w:lang w:val="de-DE" w:eastAsia="zh-CN"/>
        </w:rPr>
        <w:t>E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-mail Address: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milap.majmundar@att.com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>
      <w:pPr>
        <w:pStyle w:val="2"/>
      </w:pPr>
      <w:r>
        <w:t>1</w:t>
      </w:r>
      <w:r>
        <w:tab/>
      </w:r>
      <w:r>
        <w:t>Overall description</w:t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 xml:space="preserve">RAN2 thanks RAN3 for their LS on reduction of service interruption during intra-donor IAB-node migration (R2-2106948), which has been noted. RAN2 understands that RAN3 is discussing two solutions for reduction of service interruption, where the transfer of RRCReconfiguration for TNL migration of a descendent IAB node occurs over the source path. </w:t>
      </w:r>
    </w:p>
    <w:p>
      <w:pPr>
        <w:pStyle w:val="40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commentRangeStart w:id="0"/>
      <w:r>
        <w:rPr>
          <w:rFonts w:ascii="Arial" w:hAnsi="Arial" w:eastAsia="等线" w:cs="Arial"/>
          <w:sz w:val="20"/>
          <w:szCs w:val="20"/>
          <w:lang w:val="en-GB" w:eastAsia="zh-CN"/>
        </w:rPr>
        <w:t xml:space="preserve">For Solution 1, the RRCReconfiguration message for TNL migration of a descendent node IAB-MT is withheld by this descendant node’s parent IAB-DU, and it is delivered only when a condition is satisfied. </w:t>
      </w:r>
    </w:p>
    <w:p>
      <w:pPr>
        <w:pStyle w:val="40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For Solution 2, the RRCReconfiguration message for TNL migration of the descendant-node IAB-MT is buffered by the descendent-node’s IAB-MT itself, and it is executed only when an indication is received from the parent IAB-DU.</w:t>
      </w:r>
      <w:commentRangeEnd w:id="0"/>
      <w:r>
        <w:rPr>
          <w:rStyle w:val="50"/>
          <w:rFonts w:ascii="Arial" w:hAnsi="Arial" w:eastAsia="Times New Roman"/>
          <w:szCs w:val="20"/>
          <w:lang w:val="en-GB" w:eastAsia="ja-JP"/>
        </w:rPr>
        <w:commentReference w:id="0"/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RAN2 provides the following feedback to RAN3 regarding Solutions 1 and 2:</w:t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bookmarkStart w:id="7" w:name="_Hlk80538689"/>
      <w:r>
        <w:rPr>
          <w:rFonts w:ascii="Arial" w:hAnsi="Arial" w:eastAsia="等线" w:cs="Arial"/>
          <w:sz w:val="20"/>
          <w:szCs w:val="20"/>
          <w:lang w:val="en-GB" w:eastAsia="zh-CN"/>
        </w:rPr>
        <w:t>Solution 1:</w:t>
      </w:r>
    </w:p>
    <w:bookmarkEnd w:id="7"/>
    <w:p>
      <w:pPr>
        <w:pStyle w:val="40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 xml:space="preserve">Solution 1 has no impact on RAN2 for the success case described in the LS from RAN3. </w:t>
      </w:r>
    </w:p>
    <w:p>
      <w:pPr>
        <w:pStyle w:val="40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 xml:space="preserve">RAN2 observes that there are other aspects of Solution 1 requiring further discussion, such as IAB-node migration failure case, or the case with additional RRCReconfiguration messages to same child IAB-MT. </w:t>
      </w:r>
    </w:p>
    <w:p>
      <w:pPr>
        <w:pStyle w:val="40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RAN2 emphasizes that for solution 1,</w:t>
      </w:r>
      <w:commentRangeStart w:id="1"/>
      <w:r>
        <w:rPr>
          <w:rFonts w:ascii="Arial" w:hAnsi="Arial" w:eastAsia="等线" w:cs="Arial"/>
          <w:sz w:val="20"/>
          <w:szCs w:val="20"/>
          <w:lang w:val="en-GB" w:eastAsia="zh-CN"/>
        </w:rPr>
        <w:t xml:space="preserve"> the PDCP SN order cannot be disrupted, i.e., it is not possible to discard a RRC Reconfiguration message.</w:t>
      </w:r>
      <w:commentRangeEnd w:id="1"/>
      <w:r>
        <w:commentReference w:id="1"/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Solution 2:</w:t>
      </w:r>
    </w:p>
    <w:p>
      <w:pPr>
        <w:pStyle w:val="40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RAN2 expects the following impact for Solution 2:</w:t>
      </w:r>
    </w:p>
    <w:p>
      <w:pPr>
        <w:pStyle w:val="40"/>
        <w:numPr>
          <w:ilvl w:val="1"/>
          <w:numId w:val="7"/>
        </w:numPr>
        <w:snapToGrid w:val="0"/>
        <w:spacing w:after="120" w:afterAutospacing="0"/>
        <w:ind w:left="144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Impact to RRC specification (38.331):</w:t>
      </w:r>
    </w:p>
    <w:p>
      <w:pPr>
        <w:pStyle w:val="40"/>
        <w:numPr>
          <w:ilvl w:val="2"/>
          <w:numId w:val="7"/>
        </w:numPr>
        <w:snapToGrid w:val="0"/>
        <w:spacing w:after="120" w:afterAutospacing="0"/>
        <w:ind w:left="216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Indication for conditional execution to be added to RRCReconfiguration message</w:t>
      </w:r>
    </w:p>
    <w:p>
      <w:pPr>
        <w:pStyle w:val="40"/>
        <w:numPr>
          <w:ilvl w:val="2"/>
          <w:numId w:val="7"/>
        </w:numPr>
        <w:snapToGrid w:val="0"/>
        <w:spacing w:after="120" w:afterAutospacing="0"/>
        <w:ind w:left="216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ASN.1 amendment needed for buffered RRCReconfiguration</w:t>
      </w:r>
    </w:p>
    <w:p>
      <w:pPr>
        <w:pStyle w:val="40"/>
        <w:numPr>
          <w:ilvl w:val="2"/>
          <w:numId w:val="7"/>
        </w:numPr>
        <w:snapToGrid w:val="0"/>
        <w:spacing w:after="120" w:afterAutospacing="0"/>
        <w:ind w:left="216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Procedures for the child IAB-node to potentially discard the buffered RRCReconfiguration, e.g., in case the parent IAB-node fails the migration (e.g., new action upon reception of BH RLF indication)</w:t>
      </w:r>
    </w:p>
    <w:p>
      <w:pPr>
        <w:pStyle w:val="40"/>
        <w:numPr>
          <w:ilvl w:val="1"/>
          <w:numId w:val="7"/>
        </w:numPr>
        <w:snapToGrid w:val="0"/>
        <w:spacing w:after="120" w:afterAutospacing="0"/>
        <w:ind w:left="144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RRCReconfiguration at the child IAB-node MT. </w:t>
      </w:r>
    </w:p>
    <w:p>
      <w:pPr>
        <w:pStyle w:val="40"/>
        <w:numPr>
          <w:ilvl w:val="0"/>
          <w:numId w:val="7"/>
        </w:numPr>
        <w:snapToGrid w:val="0"/>
        <w:spacing w:after="120" w:afterAutospacing="0"/>
        <w:ind w:left="72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RAN2 observes that there are other aspects of Solution 2 requiring further discussion, such as IAB-node migration failure case, or interaction with CHO, or incompatibility with inter-CU migration.</w:t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Finally, RAN2 observes that trigger conditions for both Solution 1 (to forward withheld RRCReconfiguration) and Solution 2 (to execute buffered RRCReconfiguration) require further discussion.</w:t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sz w:val="20"/>
          <w:szCs w:val="20"/>
          <w:lang w:val="en-GB" w:eastAsia="zh-CN"/>
        </w:rPr>
      </w:pPr>
      <w:r>
        <w:rPr>
          <w:rFonts w:ascii="Arial" w:hAnsi="Arial" w:eastAsia="等线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>
      <w:pPr>
        <w:pStyle w:val="40"/>
        <w:snapToGrid w:val="0"/>
        <w:spacing w:before="0" w:beforeAutospacing="0" w:after="120" w:afterAutospacing="0"/>
        <w:rPr>
          <w:rFonts w:ascii="Arial" w:hAnsi="Arial" w:eastAsia="等线" w:cs="Arial"/>
          <w:bCs/>
          <w:sz w:val="20"/>
          <w:szCs w:val="20"/>
          <w:lang w:val="en-GB" w:eastAsia="zh-CN"/>
        </w:rPr>
      </w:pPr>
    </w:p>
    <w:p>
      <w:pPr>
        <w:pStyle w:val="2"/>
      </w:pPr>
      <w:r>
        <w:t>2</w:t>
      </w:r>
      <w:r>
        <w:tab/>
      </w:r>
      <w:r>
        <w:t>Actions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pStyle w:val="2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</w: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01 – 11 November 2021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val="de-DE"/>
        </w:rPr>
        <w:t>E-meeting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eastAsia="zh-CN"/>
        </w:rPr>
        <w:t>TSG-RAN WG2 Meeting #117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ilap Majmundar (AT&amp;T)" w:date="2021-08-22T14:18:00Z" w:initials="MM">
    <w:p w14:paraId="4E7566DF">
      <w:pPr>
        <w:pStyle w:val="28"/>
      </w:pPr>
      <w:r>
        <w:t>This description is from the incoming LS to RAN2.</w:t>
      </w:r>
    </w:p>
  </w:comment>
  <w:comment w:id="1" w:author="ZTE" w:date="2021-08-23T15:14:37Z" w:initials="ZTE">
    <w:p w14:paraId="060C555F">
      <w:pPr>
        <w:pStyle w:val="28"/>
        <w:rPr>
          <w:rFonts w:hint="default"/>
          <w:lang w:val="en-US"/>
        </w:rPr>
      </w:pPr>
      <w:r>
        <w:rPr>
          <w:rFonts w:hint="eastAsia" w:eastAsia="宋体"/>
          <w:lang w:val="en-US" w:eastAsia="zh-CN"/>
        </w:rPr>
        <w:t>It is suggested to remove this statement. It is not clear why the RRCReconfiguration message could not be discarded. RAN2 need to further discuss this.</w:t>
      </w:r>
    </w:p>
    <w:p w14:paraId="55C56879">
      <w:pPr>
        <w:pStyle w:val="28"/>
      </w:pPr>
      <w:r>
        <w:rPr>
          <w:rFonts w:hint="eastAsia" w:eastAsia="宋体"/>
          <w:lang w:val="en-US" w:eastAsia="zh-CN"/>
        </w:rPr>
        <w:t xml:space="preserve">As we know, the SRB1 where the RRCReconfiguration message delivers use default configuration and the configuration can be updated to support PDCP re-ordering timer via dedicated RRC signalling. Even if one RRCReconfiguration message is discarded, re-ordering timer in PDCP layer may take effect and the subsequent RRCReconfiguration message could still be delivered to upper layer.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E7566DF" w15:done="0"/>
  <w15:commentEx w15:paraId="55C5687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59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35F3643F"/>
    <w:multiLevelType w:val="multilevel"/>
    <w:tmpl w:val="35F3643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D5412C0"/>
    <w:multiLevelType w:val="multilevel"/>
    <w:tmpl w:val="3D5412C0"/>
    <w:lvl w:ilvl="0" w:tentative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41CA2C26"/>
    <w:multiLevelType w:val="singleLevel"/>
    <w:tmpl w:val="41CA2C26"/>
    <w:lvl w:ilvl="0" w:tentative="0">
      <w:start w:val="1"/>
      <w:numFmt w:val="bullet"/>
      <w:pStyle w:val="57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4">
    <w:nsid w:val="549A69FD"/>
    <w:multiLevelType w:val="multilevel"/>
    <w:tmpl w:val="549A69FD"/>
    <w:lvl w:ilvl="0" w:tentative="0">
      <w:start w:val="5"/>
      <w:numFmt w:val="decimal"/>
      <w:pStyle w:val="58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 w:tentative="0">
      <w:start w:val="1"/>
      <w:numFmt w:val="bullet"/>
      <w:pStyle w:val="56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6">
    <w:nsid w:val="65860A15"/>
    <w:multiLevelType w:val="multilevel"/>
    <w:tmpl w:val="65860A1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lap Majmundar (AT&amp;T)">
    <w15:presenceInfo w15:providerId="None" w15:userId="Milap Majmundar (AT&amp;T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linkStyles/>
  <w:attachedTemplate r:id="rId1"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7B47"/>
    <w:rsid w:val="00071869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4E04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A0AE7"/>
    <w:rsid w:val="009A2477"/>
    <w:rsid w:val="009D05C0"/>
    <w:rsid w:val="00A07012"/>
    <w:rsid w:val="00A07225"/>
    <w:rsid w:val="00A25B32"/>
    <w:rsid w:val="00A26AC0"/>
    <w:rsid w:val="00A334CC"/>
    <w:rsid w:val="00A351C4"/>
    <w:rsid w:val="00A37E85"/>
    <w:rsid w:val="00A415F4"/>
    <w:rsid w:val="00A637FD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3473B"/>
    <w:rsid w:val="00B52C92"/>
    <w:rsid w:val="00B56F42"/>
    <w:rsid w:val="00B60B81"/>
    <w:rsid w:val="00B62D83"/>
    <w:rsid w:val="00B850C7"/>
    <w:rsid w:val="00B9481C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D0476"/>
    <w:rsid w:val="00CD05AC"/>
    <w:rsid w:val="00CD6AF0"/>
    <w:rsid w:val="00CE1501"/>
    <w:rsid w:val="00CE37E3"/>
    <w:rsid w:val="00CE390D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E53C1"/>
    <w:rsid w:val="00E05FBC"/>
    <w:rsid w:val="00E20CB2"/>
    <w:rsid w:val="00E22B3E"/>
    <w:rsid w:val="00E23E15"/>
    <w:rsid w:val="00E36795"/>
    <w:rsid w:val="00E5551D"/>
    <w:rsid w:val="00E65746"/>
    <w:rsid w:val="00E65968"/>
    <w:rsid w:val="00E674DB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72F9A"/>
    <w:rsid w:val="00F87351"/>
    <w:rsid w:val="00FA1EDB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unhideWhenUsed="0" w:uiPriority="0" w:name="List Bullet 4"/>
    <w:lsdException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 w:eastAsia="Times New Roman" w:cs="Times New Roman"/>
      <w:lang w:val="en-GB" w:eastAsia="ja-JP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ja-JP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6">
    <w:name w:val="Default Paragraph Font"/>
    <w:semiHidden/>
    <w:unhideWhenUsed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ja-JP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annotation text"/>
    <w:basedOn w:val="1"/>
    <w:link w:val="98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29">
    <w:name w:val="Body Text"/>
    <w:basedOn w:val="1"/>
    <w:semiHidden/>
    <w:qFormat/>
    <w:uiPriority w:val="0"/>
    <w:rPr>
      <w:rFonts w:ascii="Arial" w:hAnsi="Arial" w:cs="Arial"/>
      <w:color w:val="FF0000"/>
    </w:rPr>
  </w:style>
  <w:style w:type="paragraph" w:styleId="30">
    <w:name w:val="List Bullet 5"/>
    <w:basedOn w:val="24"/>
    <w:semiHidden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link w:val="6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3">
    <w:name w:val="footer"/>
    <w:basedOn w:val="34"/>
    <w:semiHidden/>
    <w:qFormat/>
    <w:uiPriority w:val="0"/>
    <w:pPr>
      <w:jc w:val="center"/>
    </w:pPr>
    <w:rPr>
      <w:i/>
    </w:rPr>
  </w:style>
  <w:style w:type="paragraph" w:styleId="34">
    <w:name w:val="header"/>
    <w:link w:val="61"/>
    <w:qFormat/>
    <w:uiPriority w:val="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b/>
      <w:sz w:val="18"/>
      <w:lang w:val="en-GB" w:eastAsia="ja-JP" w:bidi="ar-SA"/>
    </w:rPr>
  </w:style>
  <w:style w:type="paragraph" w:styleId="35">
    <w:name w:val="footnote text"/>
    <w:basedOn w:val="1"/>
    <w:link w:val="65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semiHidden/>
    <w:qFormat/>
    <w:uiPriority w:val="0"/>
    <w:pPr>
      <w:ind w:left="1702"/>
    </w:pPr>
  </w:style>
  <w:style w:type="paragraph" w:styleId="37">
    <w:name w:val="List 4"/>
    <w:basedOn w:val="12"/>
    <w:semiHidden/>
    <w:qFormat/>
    <w:uiPriority w:val="0"/>
    <w:pPr>
      <w:ind w:left="1418"/>
    </w:pPr>
  </w:style>
  <w:style w:type="paragraph" w:styleId="38">
    <w:name w:val="Body Text Indent 3"/>
    <w:basedOn w:val="1"/>
    <w:link w:val="9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39">
    <w:name w:val="toc 9"/>
    <w:basedOn w:val="31"/>
    <w:next w:val="1"/>
    <w:semiHidden/>
    <w:qFormat/>
    <w:uiPriority w:val="0"/>
    <w:pPr>
      <w:ind w:left="1418" w:hanging="1418"/>
    </w:pPr>
  </w:style>
  <w:style w:type="paragraph" w:styleId="40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da-DK" w:eastAsia="da-DK"/>
    </w:rPr>
  </w:style>
  <w:style w:type="paragraph" w:styleId="41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2">
    <w:name w:val="index 2"/>
    <w:basedOn w:val="41"/>
    <w:next w:val="1"/>
    <w:semiHidden/>
    <w:qFormat/>
    <w:uiPriority w:val="0"/>
    <w:pPr>
      <w:ind w:left="284"/>
    </w:pPr>
  </w:style>
  <w:style w:type="paragraph" w:styleId="43">
    <w:name w:val="annotation subject"/>
    <w:basedOn w:val="28"/>
    <w:next w:val="28"/>
    <w:link w:val="99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45">
    <w:name w:val="Table Grid"/>
    <w:basedOn w:val="4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7">
    <w:name w:val="page number"/>
    <w:basedOn w:val="46"/>
    <w:semiHidden/>
    <w:qFormat/>
    <w:uiPriority w:val="0"/>
  </w:style>
  <w:style w:type="character" w:styleId="48">
    <w:name w:val="Emphasis"/>
    <w:qFormat/>
    <w:uiPriority w:val="20"/>
    <w:rPr>
      <w:i/>
      <w:iCs/>
    </w:rPr>
  </w:style>
  <w:style w:type="character" w:styleId="49">
    <w:name w:val="Hyperlink"/>
    <w:unhideWhenUsed/>
    <w:qFormat/>
    <w:uiPriority w:val="99"/>
    <w:rPr>
      <w:color w:val="0000FF"/>
      <w:u w:val="single"/>
    </w:rPr>
  </w:style>
  <w:style w:type="character" w:styleId="50">
    <w:name w:val="annotation reference"/>
    <w:semiHidden/>
    <w:qFormat/>
    <w:uiPriority w:val="0"/>
    <w:rPr>
      <w:sz w:val="16"/>
    </w:rPr>
  </w:style>
  <w:style w:type="character" w:styleId="51">
    <w:name w:val="footnote reference"/>
    <w:basedOn w:val="46"/>
    <w:semiHidden/>
    <w:qFormat/>
    <w:uiPriority w:val="0"/>
    <w:rPr>
      <w:b/>
      <w:position w:val="6"/>
      <w:sz w:val="16"/>
    </w:rPr>
  </w:style>
  <w:style w:type="paragraph" w:customStyle="1" w:styleId="52">
    <w:name w:val="B1"/>
    <w:basedOn w:val="14"/>
    <w:qFormat/>
    <w:uiPriority w:val="0"/>
  </w:style>
  <w:style w:type="paragraph" w:customStyle="1" w:styleId="53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54">
    <w:name w:val="??"/>
    <w:qFormat/>
    <w:uiPriority w:val="0"/>
    <w:pPr>
      <w:widowControl w:val="0"/>
      <w:spacing w:after="160" w:line="259" w:lineRule="auto"/>
    </w:pPr>
    <w:rPr>
      <w:rFonts w:ascii="Times New Roman" w:hAnsi="Times New Roman" w:eastAsia="等线" w:cs="Times New Roman"/>
      <w:lang w:val="en-US" w:eastAsia="en-US" w:bidi="ar-SA"/>
    </w:rPr>
  </w:style>
  <w:style w:type="paragraph" w:customStyle="1" w:styleId="55">
    <w:name w:val="??? 2"/>
    <w:basedOn w:val="54"/>
    <w:next w:val="54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56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57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58">
    <w:name w:val="done"/>
    <w:basedOn w:val="57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1125"/>
      </w:tabs>
      <w:ind w:left="340" w:hanging="340"/>
    </w:pPr>
    <w:rPr>
      <w:color w:val="008000"/>
    </w:rPr>
  </w:style>
  <w:style w:type="paragraph" w:customStyle="1" w:styleId="59">
    <w:name w:val="Not Done"/>
    <w:basedOn w:val="58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60">
    <w:name w:val="Balloon Text Char"/>
    <w:link w:val="32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61">
    <w:name w:val="Header Char"/>
    <w:link w:val="34"/>
    <w:qFormat/>
    <w:uiPriority w:val="0"/>
    <w:rPr>
      <w:rFonts w:ascii="Arial" w:hAnsi="Arial" w:eastAsia="Times New Roman"/>
      <w:b/>
      <w:sz w:val="18"/>
      <w:lang w:val="en-GB" w:eastAsia="ja-JP"/>
    </w:rPr>
  </w:style>
  <w:style w:type="paragraph" w:customStyle="1" w:styleId="6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ja-JP" w:bidi="ar-SA"/>
    </w:rPr>
  </w:style>
  <w:style w:type="paragraph" w:customStyle="1" w:styleId="63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64">
    <w:name w:val="TT"/>
    <w:basedOn w:val="2"/>
    <w:next w:val="1"/>
    <w:uiPriority w:val="0"/>
    <w:pPr>
      <w:outlineLvl w:val="9"/>
    </w:pPr>
  </w:style>
  <w:style w:type="character" w:customStyle="1" w:styleId="65">
    <w:name w:val="Footnote Text Char"/>
    <w:link w:val="35"/>
    <w:semiHidden/>
    <w:qFormat/>
    <w:uiPriority w:val="0"/>
    <w:rPr>
      <w:rFonts w:eastAsia="Times New Roman"/>
      <w:sz w:val="16"/>
      <w:lang w:val="en-GB" w:eastAsia="ja-JP"/>
    </w:rPr>
  </w:style>
  <w:style w:type="paragraph" w:customStyle="1" w:styleId="66">
    <w:name w:val="TAH"/>
    <w:basedOn w:val="67"/>
    <w:qFormat/>
    <w:uiPriority w:val="0"/>
    <w:rPr>
      <w:b/>
    </w:rPr>
  </w:style>
  <w:style w:type="paragraph" w:customStyle="1" w:styleId="67">
    <w:name w:val="TAC"/>
    <w:basedOn w:val="68"/>
    <w:qFormat/>
    <w:uiPriority w:val="0"/>
    <w:pPr>
      <w:jc w:val="center"/>
    </w:pPr>
  </w:style>
  <w:style w:type="paragraph" w:customStyle="1" w:styleId="68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69">
    <w:name w:val="TF"/>
    <w:basedOn w:val="70"/>
    <w:qFormat/>
    <w:uiPriority w:val="0"/>
    <w:pPr>
      <w:keepNext w:val="0"/>
      <w:spacing w:before="0" w:after="240"/>
    </w:pPr>
  </w:style>
  <w:style w:type="paragraph" w:customStyle="1" w:styleId="70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71">
    <w:name w:val="NO"/>
    <w:basedOn w:val="1"/>
    <w:qFormat/>
    <w:uiPriority w:val="0"/>
    <w:pPr>
      <w:keepLines/>
      <w:ind w:left="1135" w:hanging="851"/>
    </w:pPr>
  </w:style>
  <w:style w:type="paragraph" w:customStyle="1" w:styleId="72">
    <w:name w:val="EX"/>
    <w:basedOn w:val="1"/>
    <w:qFormat/>
    <w:uiPriority w:val="0"/>
    <w:pPr>
      <w:keepLines/>
      <w:ind w:left="1702" w:hanging="1418"/>
    </w:pPr>
  </w:style>
  <w:style w:type="paragraph" w:customStyle="1" w:styleId="73">
    <w:name w:val="FP"/>
    <w:basedOn w:val="1"/>
    <w:qFormat/>
    <w:uiPriority w:val="0"/>
    <w:pPr>
      <w:spacing w:after="0"/>
    </w:pPr>
  </w:style>
  <w:style w:type="paragraph" w:customStyle="1" w:styleId="74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0" w:line="180" w:lineRule="exact"/>
      <w:textAlignment w:val="baseline"/>
    </w:pPr>
    <w:rPr>
      <w:rFonts w:ascii="Courier New" w:hAnsi="Courier New" w:eastAsia="Times New Roman" w:cs="Times New Roman"/>
      <w:lang w:val="en-GB" w:eastAsia="ja-JP" w:bidi="ar-SA"/>
    </w:rPr>
  </w:style>
  <w:style w:type="paragraph" w:customStyle="1" w:styleId="75">
    <w:name w:val="NW"/>
    <w:basedOn w:val="71"/>
    <w:qFormat/>
    <w:uiPriority w:val="0"/>
    <w:pPr>
      <w:spacing w:after="0"/>
    </w:pPr>
  </w:style>
  <w:style w:type="paragraph" w:customStyle="1" w:styleId="76">
    <w:name w:val="EW"/>
    <w:basedOn w:val="72"/>
    <w:qFormat/>
    <w:uiPriority w:val="0"/>
    <w:pPr>
      <w:spacing w:after="0"/>
    </w:pPr>
  </w:style>
  <w:style w:type="paragraph" w:customStyle="1" w:styleId="77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8">
    <w:name w:val="NF"/>
    <w:basedOn w:val="71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79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eastAsia="Times New Roman" w:cs="Times New Roman"/>
      <w:sz w:val="16"/>
      <w:lang w:val="en-GB" w:eastAsia="ja-JP" w:bidi="ar-SA"/>
    </w:rPr>
  </w:style>
  <w:style w:type="paragraph" w:customStyle="1" w:styleId="80">
    <w:name w:val="TAR"/>
    <w:basedOn w:val="68"/>
    <w:qFormat/>
    <w:uiPriority w:val="0"/>
    <w:pPr>
      <w:jc w:val="right"/>
    </w:pPr>
  </w:style>
  <w:style w:type="paragraph" w:customStyle="1" w:styleId="81">
    <w:name w:val="TAN"/>
    <w:basedOn w:val="68"/>
    <w:qFormat/>
    <w:uiPriority w:val="0"/>
    <w:pPr>
      <w:ind w:left="851" w:hanging="851"/>
    </w:pPr>
  </w:style>
  <w:style w:type="paragraph" w:customStyle="1" w:styleId="8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 w:eastAsia="Times New Roman" w:cs="Times New Roman"/>
      <w:sz w:val="40"/>
      <w:lang w:val="en-GB" w:eastAsia="ja-JP" w:bidi="ar-SA"/>
    </w:rPr>
  </w:style>
  <w:style w:type="paragraph" w:customStyle="1" w:styleId="8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ja-JP" w:bidi="ar-SA"/>
    </w:rPr>
  </w:style>
  <w:style w:type="paragraph" w:customStyle="1" w:styleId="84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 w:val="32"/>
      <w:lang w:val="en-GB" w:eastAsia="ja-JP" w:bidi="ar-SA"/>
    </w:rPr>
  </w:style>
  <w:style w:type="paragraph" w:customStyle="1" w:styleId="8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86">
    <w:name w:val="ZV"/>
    <w:basedOn w:val="85"/>
    <w:qFormat/>
    <w:uiPriority w:val="0"/>
    <w:pPr>
      <w:framePr w:y="16161"/>
    </w:pPr>
  </w:style>
  <w:style w:type="character" w:customStyle="1" w:styleId="87">
    <w:name w:val="ZGSM"/>
    <w:qFormat/>
    <w:uiPriority w:val="0"/>
  </w:style>
  <w:style w:type="paragraph" w:customStyle="1" w:styleId="8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 w:eastAsia="Times New Roman" w:cs="Times New Roman"/>
      <w:lang w:val="en-GB" w:eastAsia="ja-JP" w:bidi="ar-SA"/>
    </w:rPr>
  </w:style>
  <w:style w:type="paragraph" w:customStyle="1" w:styleId="89">
    <w:name w:val="Editor's Note"/>
    <w:basedOn w:val="71"/>
    <w:qFormat/>
    <w:uiPriority w:val="0"/>
    <w:rPr>
      <w:color w:val="FF0000"/>
    </w:rPr>
  </w:style>
  <w:style w:type="paragraph" w:customStyle="1" w:styleId="90">
    <w:name w:val="B2"/>
    <w:basedOn w:val="13"/>
    <w:qFormat/>
    <w:uiPriority w:val="0"/>
  </w:style>
  <w:style w:type="paragraph" w:customStyle="1" w:styleId="91">
    <w:name w:val="B3"/>
    <w:basedOn w:val="12"/>
    <w:qFormat/>
    <w:uiPriority w:val="0"/>
  </w:style>
  <w:style w:type="paragraph" w:customStyle="1" w:styleId="92">
    <w:name w:val="B4"/>
    <w:basedOn w:val="37"/>
    <w:qFormat/>
    <w:uiPriority w:val="0"/>
  </w:style>
  <w:style w:type="paragraph" w:customStyle="1" w:styleId="93">
    <w:name w:val="B5"/>
    <w:basedOn w:val="36"/>
    <w:qFormat/>
    <w:uiPriority w:val="0"/>
  </w:style>
  <w:style w:type="paragraph" w:customStyle="1" w:styleId="94">
    <w:name w:val="ZTD"/>
    <w:basedOn w:val="83"/>
    <w:qFormat/>
    <w:uiPriority w:val="0"/>
    <w:pPr>
      <w:framePr w:hRule="auto" w:y="852"/>
    </w:pPr>
    <w:rPr>
      <w:i w:val="0"/>
      <w:sz w:val="40"/>
    </w:rPr>
  </w:style>
  <w:style w:type="character" w:customStyle="1" w:styleId="95">
    <w:name w:val="List Paragraph Char"/>
    <w:link w:val="96"/>
    <w:qFormat/>
    <w:locked/>
    <w:uiPriority w:val="34"/>
    <w:rPr>
      <w:rFonts w:ascii="Tahoma" w:hAnsi="Tahoma" w:eastAsia="微软雅黑"/>
      <w:sz w:val="22"/>
      <w:szCs w:val="22"/>
    </w:rPr>
  </w:style>
  <w:style w:type="paragraph" w:styleId="96">
    <w:name w:val="List Paragraph"/>
    <w:basedOn w:val="1"/>
    <w:link w:val="95"/>
    <w:qFormat/>
    <w:uiPriority w:val="34"/>
    <w:pPr>
      <w:overflowPunct/>
      <w:autoSpaceDE/>
      <w:autoSpaceDN/>
      <w:snapToGrid w:val="0"/>
      <w:spacing w:after="200"/>
      <w:ind w:firstLine="420" w:firstLineChars="200"/>
      <w:textAlignment w:val="auto"/>
    </w:pPr>
    <w:rPr>
      <w:rFonts w:ascii="Tahoma" w:hAnsi="Tahoma" w:eastAsia="微软雅黑"/>
      <w:sz w:val="22"/>
      <w:szCs w:val="22"/>
    </w:rPr>
  </w:style>
  <w:style w:type="character" w:customStyle="1" w:styleId="97">
    <w:name w:val="Body Text Indent 3 Char"/>
    <w:link w:val="38"/>
    <w:qFormat/>
    <w:uiPriority w:val="0"/>
    <w:rPr>
      <w:sz w:val="16"/>
      <w:szCs w:val="16"/>
    </w:rPr>
  </w:style>
  <w:style w:type="character" w:customStyle="1" w:styleId="98">
    <w:name w:val="Comment Text Char"/>
    <w:basedOn w:val="46"/>
    <w:link w:val="28"/>
    <w:semiHidden/>
    <w:qFormat/>
    <w:uiPriority w:val="0"/>
    <w:rPr>
      <w:rFonts w:ascii="Arial" w:hAnsi="Arial"/>
      <w:lang w:val="en-GB" w:eastAsia="en-GB"/>
    </w:rPr>
  </w:style>
  <w:style w:type="character" w:customStyle="1" w:styleId="99">
    <w:name w:val="Comment Subject Char"/>
    <w:basedOn w:val="98"/>
    <w:link w:val="43"/>
    <w:semiHidden/>
    <w:qFormat/>
    <w:uiPriority w:val="99"/>
    <w:rPr>
      <w:rFonts w:ascii="Arial" w:hAnsi="Arial"/>
      <w:b/>
      <w:bCs/>
      <w:lang w:val="en-GB" w:eastAsia="en-GB"/>
    </w:rPr>
  </w:style>
  <w:style w:type="paragraph" w:customStyle="1" w:styleId="100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等线" w:cs="Times New Roman"/>
      <w:lang w:val="en-GB" w:eastAsia="en-GB" w:bidi="ar-SA"/>
    </w:rPr>
  </w:style>
  <w:style w:type="character" w:customStyle="1" w:styleId="101">
    <w:name w:val="CR Cover Page Zchn"/>
    <w:link w:val="102"/>
    <w:qFormat/>
    <w:locked/>
    <w:uiPriority w:val="0"/>
    <w:rPr>
      <w:rFonts w:ascii="Arial" w:hAnsi="Arial" w:cs="Arial"/>
    </w:rPr>
  </w:style>
  <w:style w:type="paragraph" w:customStyle="1" w:styleId="102">
    <w:name w:val="CR Cover Page"/>
    <w:link w:val="101"/>
    <w:qFormat/>
    <w:uiPriority w:val="0"/>
    <w:pPr>
      <w:spacing w:after="120" w:line="240" w:lineRule="auto"/>
    </w:pPr>
    <w:rPr>
      <w:rFonts w:ascii="Arial" w:hAnsi="Arial" w:eastAsia="等线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ETSI Sophia Antipolis</Company>
  <Pages>2</Pages>
  <Words>456</Words>
  <Characters>2602</Characters>
  <Lines>21</Lines>
  <Paragraphs>6</Paragraphs>
  <TotalTime>0</TotalTime>
  <ScaleCrop>false</ScaleCrop>
  <LinksUpToDate>false</LinksUpToDate>
  <CharactersWithSpaces>3052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2021-08-22T13:26:00Z</dcterms:created>
  <dc:creator>ZTE</dc:creator>
  <cp:lastModifiedBy>ZTE</cp:lastModifiedBy>
  <cp:lastPrinted>2021-05-27T01:53:00Z</cp:lastPrinted>
  <dcterms:modified xsi:type="dcterms:W3CDTF">2021-08-23T07:22:47Z</dcterms:modified>
  <dc:title>LS template for N3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