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6E80" w14:textId="77777777" w:rsidR="00473A30" w:rsidRPr="00473A30" w:rsidRDefault="00473A30" w:rsidP="00473A30">
      <w:pPr>
        <w:rPr>
          <w:rFonts w:ascii="Arial" w:hAnsi="Arial" w:cs="Arial"/>
          <w:b/>
          <w:bCs/>
          <w:sz w:val="22"/>
          <w:szCs w:val="22"/>
        </w:rPr>
      </w:pPr>
      <w:r w:rsidRPr="00473A30">
        <w:rPr>
          <w:rFonts w:ascii="Arial" w:hAnsi="Arial" w:cs="Arial"/>
          <w:b/>
          <w:bCs/>
          <w:sz w:val="22"/>
          <w:szCs w:val="22"/>
        </w:rPr>
        <w:t>3GPP TSG-RAN WG2 Meeting #11</w:t>
      </w:r>
      <w:r w:rsidR="00D93F0F">
        <w:rPr>
          <w:rFonts w:ascii="Arial" w:hAnsi="Arial" w:cs="Arial"/>
          <w:b/>
          <w:bCs/>
          <w:sz w:val="22"/>
          <w:szCs w:val="22"/>
        </w:rPr>
        <w:t>4</w:t>
      </w:r>
      <w:r w:rsidRPr="00473A30">
        <w:rPr>
          <w:rFonts w:ascii="Arial" w:hAnsi="Arial" w:cs="Arial"/>
          <w:b/>
          <w:bCs/>
          <w:sz w:val="22"/>
          <w:szCs w:val="22"/>
        </w:rPr>
        <w:t>-e</w:t>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0540D1" w:rsidRPr="000540D1">
        <w:rPr>
          <w:rFonts w:ascii="Arial" w:hAnsi="Arial" w:cs="Arial"/>
          <w:b/>
          <w:bCs/>
          <w:sz w:val="22"/>
          <w:szCs w:val="22"/>
        </w:rPr>
        <w:t>R2-210</w:t>
      </w:r>
      <w:r w:rsidR="00D93F0F">
        <w:rPr>
          <w:rFonts w:ascii="Arial" w:hAnsi="Arial" w:cs="Arial"/>
          <w:b/>
          <w:bCs/>
          <w:sz w:val="22"/>
          <w:szCs w:val="22"/>
        </w:rPr>
        <w:t>xxxx</w:t>
      </w:r>
    </w:p>
    <w:p w14:paraId="0773314B" w14:textId="77777777" w:rsidR="00611B45" w:rsidRPr="00473A30" w:rsidRDefault="00165955" w:rsidP="00473A30">
      <w:pPr>
        <w:rPr>
          <w:rFonts w:ascii="Arial" w:hAnsi="Arial" w:cs="Arial"/>
          <w:sz w:val="22"/>
          <w:szCs w:val="22"/>
        </w:rPr>
      </w:pPr>
      <w:r w:rsidRPr="00165955">
        <w:rPr>
          <w:rFonts w:ascii="Arial" w:hAnsi="Arial" w:cs="Arial"/>
          <w:b/>
          <w:bCs/>
          <w:sz w:val="22"/>
          <w:szCs w:val="22"/>
        </w:rPr>
        <w:t xml:space="preserve">E-Meeting, </w:t>
      </w:r>
      <w:r w:rsidR="00D93F0F">
        <w:rPr>
          <w:rFonts w:ascii="Arial" w:hAnsi="Arial" w:cs="Arial"/>
          <w:b/>
          <w:bCs/>
          <w:sz w:val="22"/>
          <w:szCs w:val="22"/>
        </w:rPr>
        <w:t>May</w:t>
      </w:r>
      <w:r w:rsidRPr="00165955">
        <w:rPr>
          <w:rFonts w:ascii="Arial" w:hAnsi="Arial" w:cs="Arial"/>
          <w:b/>
          <w:bCs/>
          <w:sz w:val="22"/>
          <w:szCs w:val="22"/>
        </w:rPr>
        <w:t xml:space="preserve"> 2020</w:t>
      </w:r>
    </w:p>
    <w:p w14:paraId="6936C969" w14:textId="77777777" w:rsidR="00611B45" w:rsidRDefault="00611B45">
      <w:pPr>
        <w:rPr>
          <w:rFonts w:ascii="Arial" w:hAnsi="Arial" w:cs="Arial"/>
        </w:rPr>
      </w:pPr>
    </w:p>
    <w:p w14:paraId="75D99FB3" w14:textId="77777777" w:rsidR="00611B45" w:rsidRDefault="00611B45">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rPr>
        <w:t xml:space="preserve"> </w:t>
      </w:r>
      <w:r w:rsidR="00473A30">
        <w:rPr>
          <w:rFonts w:ascii="Arial" w:hAnsi="Arial" w:cs="Arial"/>
        </w:rPr>
        <w:t xml:space="preserve">[draft] </w:t>
      </w:r>
      <w:r w:rsidR="00165955" w:rsidRPr="00165955">
        <w:rPr>
          <w:rFonts w:ascii="Arial" w:hAnsi="Arial" w:cs="Arial"/>
        </w:rPr>
        <w:t xml:space="preserve">LS </w:t>
      </w:r>
      <w:r w:rsidR="00D93F0F">
        <w:rPr>
          <w:rFonts w:ascii="Arial" w:hAnsi="Arial" w:cs="Arial"/>
        </w:rPr>
        <w:t>response on two PUCCH capability</w:t>
      </w:r>
    </w:p>
    <w:p w14:paraId="38D09F12" w14:textId="77777777" w:rsidR="00611B45" w:rsidRDefault="00611B45">
      <w:pPr>
        <w:spacing w:after="60"/>
        <w:ind w:left="1985" w:hanging="1985"/>
        <w:rPr>
          <w:rFonts w:ascii="Arial" w:hAnsi="Arial" w:cs="Arial"/>
          <w:bCs/>
        </w:rPr>
      </w:pPr>
      <w:r>
        <w:rPr>
          <w:rFonts w:ascii="Arial" w:hAnsi="Arial" w:cs="Arial"/>
          <w:b/>
        </w:rPr>
        <w:t>Response to:</w:t>
      </w:r>
      <w:r>
        <w:rPr>
          <w:rFonts w:ascii="Arial" w:hAnsi="Arial" w:cs="Arial"/>
          <w:bCs/>
        </w:rPr>
        <w:tab/>
      </w:r>
      <w:r w:rsidR="00D93F0F" w:rsidRPr="00D93F0F">
        <w:rPr>
          <w:rFonts w:ascii="Arial" w:hAnsi="Arial" w:cs="Arial"/>
          <w:bCs/>
        </w:rPr>
        <w:t>R2-2104716</w:t>
      </w:r>
      <w:r w:rsidR="00D93F0F">
        <w:rPr>
          <w:rFonts w:ascii="Arial" w:hAnsi="Arial" w:cs="Arial"/>
          <w:bCs/>
        </w:rPr>
        <w:t xml:space="preserve"> (</w:t>
      </w:r>
      <w:r w:rsidR="00D93F0F" w:rsidRPr="00D93F0F">
        <w:rPr>
          <w:rFonts w:ascii="Arial" w:hAnsi="Arial" w:cs="Arial"/>
          <w:bCs/>
        </w:rPr>
        <w:t>R1-2104121</w:t>
      </w:r>
      <w:r w:rsidR="00D93F0F">
        <w:rPr>
          <w:rFonts w:ascii="Arial" w:hAnsi="Arial" w:cs="Arial"/>
          <w:bCs/>
        </w:rPr>
        <w:t>)</w:t>
      </w:r>
    </w:p>
    <w:p w14:paraId="367357EC" w14:textId="77777777" w:rsidR="00611B45" w:rsidRDefault="00611B45">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473A30">
        <w:rPr>
          <w:rFonts w:ascii="Arial" w:hAnsi="Arial" w:cs="Arial"/>
          <w:bCs/>
          <w:lang w:val="en-US" w:eastAsia="zh-CN"/>
        </w:rPr>
        <w:t>6</w:t>
      </w:r>
    </w:p>
    <w:p w14:paraId="0200BF2C" w14:textId="77777777" w:rsidR="00611B45" w:rsidRDefault="00611B45">
      <w:pPr>
        <w:spacing w:after="60"/>
        <w:ind w:left="1985" w:hanging="1985"/>
        <w:rPr>
          <w:rFonts w:ascii="Arial" w:hAnsi="Arial" w:cs="Arial"/>
          <w:bCs/>
        </w:rPr>
      </w:pPr>
      <w:r>
        <w:rPr>
          <w:rFonts w:ascii="Arial" w:hAnsi="Arial" w:cs="Arial"/>
          <w:b/>
        </w:rPr>
        <w:t>Work Item:</w:t>
      </w:r>
      <w:r>
        <w:rPr>
          <w:rFonts w:ascii="Arial" w:hAnsi="Arial" w:cs="Arial"/>
          <w:bCs/>
        </w:rPr>
        <w:tab/>
      </w:r>
      <w:r w:rsidR="00D93F0F">
        <w:rPr>
          <w:rFonts w:ascii="Arial" w:hAnsi="Arial" w:cs="Arial"/>
          <w:bCs/>
        </w:rPr>
        <w:t>NR_L1enh_URLLC-Core</w:t>
      </w:r>
    </w:p>
    <w:p w14:paraId="71B2A491" w14:textId="77777777" w:rsidR="00611B45" w:rsidRDefault="00611B45">
      <w:pPr>
        <w:spacing w:after="60"/>
        <w:ind w:left="1985" w:hanging="1985"/>
        <w:rPr>
          <w:rFonts w:ascii="Arial" w:hAnsi="Arial" w:cs="Arial"/>
          <w:b/>
        </w:rPr>
      </w:pPr>
    </w:p>
    <w:p w14:paraId="6D60479C" w14:textId="77777777" w:rsidR="00611B45" w:rsidRDefault="00611B45">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D93F0F">
        <w:rPr>
          <w:rFonts w:ascii="Arial" w:hAnsi="Arial" w:cs="Arial"/>
          <w:bCs/>
        </w:rPr>
        <w:t>OPPO</w:t>
      </w:r>
      <w:r w:rsidR="000540D1">
        <w:rPr>
          <w:rFonts w:ascii="Arial" w:hAnsi="Arial" w:cs="Arial"/>
          <w:bCs/>
        </w:rPr>
        <w:t xml:space="preserve"> [</w:t>
      </w:r>
      <w:r w:rsidR="00D93F0F">
        <w:rPr>
          <w:rFonts w:ascii="Arial" w:hAnsi="Arial" w:cs="Arial"/>
          <w:bCs/>
        </w:rPr>
        <w:t xml:space="preserve">to be </w:t>
      </w:r>
      <w:r>
        <w:rPr>
          <w:rFonts w:ascii="Arial" w:hAnsi="Arial" w:cs="Arial" w:hint="eastAsia"/>
          <w:bCs/>
          <w:lang w:val="en-US" w:eastAsia="zh-CN"/>
        </w:rPr>
        <w:t>RAN2</w:t>
      </w:r>
      <w:r w:rsidR="000540D1">
        <w:rPr>
          <w:rFonts w:ascii="Arial" w:hAnsi="Arial" w:cs="Arial"/>
          <w:bCs/>
          <w:lang w:val="en-US" w:eastAsia="zh-CN"/>
        </w:rPr>
        <w:t>]</w:t>
      </w:r>
    </w:p>
    <w:p w14:paraId="21A82309" w14:textId="77777777" w:rsidR="00611B45" w:rsidRDefault="00611B4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4A54D162" w14:textId="77777777" w:rsidR="00611B45" w:rsidRDefault="00611B45">
      <w:pPr>
        <w:spacing w:after="60"/>
        <w:ind w:left="1985" w:hanging="1985"/>
        <w:rPr>
          <w:rFonts w:ascii="Arial" w:hAnsi="Arial" w:cs="Arial"/>
          <w:bCs/>
        </w:rPr>
      </w:pPr>
      <w:r>
        <w:rPr>
          <w:rFonts w:ascii="Arial" w:hAnsi="Arial" w:cs="Arial"/>
          <w:b/>
        </w:rPr>
        <w:t>Cc:</w:t>
      </w:r>
      <w:r>
        <w:rPr>
          <w:rFonts w:ascii="Arial" w:hAnsi="Arial" w:cs="Arial"/>
          <w:bCs/>
        </w:rPr>
        <w:tab/>
      </w:r>
    </w:p>
    <w:p w14:paraId="32F17086" w14:textId="77777777" w:rsidR="00611B45" w:rsidRDefault="00611B45">
      <w:pPr>
        <w:spacing w:after="60"/>
        <w:ind w:left="1985" w:hanging="1985"/>
        <w:rPr>
          <w:rFonts w:ascii="Arial" w:hAnsi="Arial" w:cs="Arial"/>
          <w:bCs/>
        </w:rPr>
      </w:pPr>
    </w:p>
    <w:p w14:paraId="737688F0" w14:textId="77777777" w:rsidR="00611B45" w:rsidRDefault="00611B45">
      <w:pPr>
        <w:tabs>
          <w:tab w:val="left" w:pos="2268"/>
        </w:tabs>
        <w:rPr>
          <w:rFonts w:ascii="Arial" w:hAnsi="Arial" w:cs="Arial"/>
          <w:bCs/>
        </w:rPr>
      </w:pPr>
      <w:r>
        <w:rPr>
          <w:rFonts w:ascii="Arial" w:hAnsi="Arial" w:cs="Arial"/>
          <w:b/>
        </w:rPr>
        <w:t>Contact Person:</w:t>
      </w:r>
      <w:r>
        <w:rPr>
          <w:rFonts w:ascii="Arial" w:hAnsi="Arial" w:cs="Arial"/>
          <w:bCs/>
        </w:rPr>
        <w:tab/>
      </w:r>
    </w:p>
    <w:p w14:paraId="25704B3C" w14:textId="77777777" w:rsidR="00611B45" w:rsidRDefault="00611B45">
      <w:pPr>
        <w:pStyle w:val="4"/>
        <w:tabs>
          <w:tab w:val="left" w:pos="2268"/>
        </w:tabs>
        <w:ind w:left="567"/>
        <w:rPr>
          <w:rFonts w:cs="Arial"/>
          <w:b w:val="0"/>
          <w:bCs/>
          <w:lang w:val="en-US" w:eastAsia="zh-CN"/>
        </w:rPr>
      </w:pPr>
      <w:r>
        <w:rPr>
          <w:rFonts w:cs="Arial"/>
        </w:rPr>
        <w:t>Name:</w:t>
      </w:r>
      <w:r>
        <w:rPr>
          <w:rFonts w:cs="Arial"/>
          <w:b w:val="0"/>
          <w:bCs/>
        </w:rPr>
        <w:tab/>
      </w:r>
      <w:r w:rsidR="00D93F0F">
        <w:rPr>
          <w:rFonts w:cs="Arial"/>
          <w:b w:val="0"/>
          <w:bCs/>
          <w:lang w:val="en-US" w:eastAsia="zh-CN"/>
        </w:rPr>
        <w:t>Qianxi Lu</w:t>
      </w:r>
    </w:p>
    <w:p w14:paraId="600313F0" w14:textId="77777777" w:rsidR="00611B45" w:rsidRDefault="00611B45">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D93F0F">
        <w:rPr>
          <w:rFonts w:cs="Arial"/>
          <w:b w:val="0"/>
          <w:bCs/>
          <w:lang w:val="en-US" w:eastAsia="zh-CN"/>
        </w:rPr>
        <w:t>qianxi.lu@oppo.com</w:t>
      </w:r>
      <w:r>
        <w:rPr>
          <w:rFonts w:cs="Arial"/>
          <w:b w:val="0"/>
          <w:bCs/>
          <w:color w:val="auto"/>
        </w:rPr>
        <w:t>&gt;</w:t>
      </w:r>
    </w:p>
    <w:p w14:paraId="7120C18A" w14:textId="77777777" w:rsidR="00611B45" w:rsidRDefault="00611B45">
      <w:pPr>
        <w:spacing w:after="60"/>
        <w:ind w:left="1985" w:hanging="1985"/>
        <w:rPr>
          <w:rFonts w:ascii="Arial" w:hAnsi="Arial" w:cs="Arial"/>
          <w:b/>
        </w:rPr>
      </w:pPr>
    </w:p>
    <w:p w14:paraId="10ADC5CB" w14:textId="77777777" w:rsidR="00611B45" w:rsidRDefault="00611B4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4"/>
            <w:rFonts w:ascii="Arial" w:hAnsi="Arial" w:cs="Arial"/>
            <w:b/>
          </w:rPr>
          <w:t>mailto:3GPPLiaison@etsi.org</w:t>
        </w:r>
      </w:hyperlink>
      <w:r>
        <w:rPr>
          <w:rFonts w:ascii="Arial" w:hAnsi="Arial" w:cs="Arial"/>
          <w:b/>
        </w:rPr>
        <w:t xml:space="preserve"> </w:t>
      </w:r>
      <w:r>
        <w:rPr>
          <w:rFonts w:ascii="Arial" w:hAnsi="Arial" w:cs="Arial"/>
          <w:bCs/>
        </w:rPr>
        <w:tab/>
      </w:r>
    </w:p>
    <w:p w14:paraId="7589BD8E" w14:textId="77777777" w:rsidR="00611B45" w:rsidRDefault="00611B45">
      <w:pPr>
        <w:spacing w:after="60"/>
        <w:ind w:left="1985" w:hanging="1985"/>
        <w:rPr>
          <w:rFonts w:ascii="Arial" w:hAnsi="Arial" w:cs="Arial"/>
          <w:b/>
        </w:rPr>
      </w:pPr>
    </w:p>
    <w:p w14:paraId="4039F55C" w14:textId="77777777" w:rsidR="00611B45" w:rsidRDefault="00611B4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A869F2B" w14:textId="77777777" w:rsidR="00611B45" w:rsidRDefault="00611B45">
      <w:pPr>
        <w:pBdr>
          <w:bottom w:val="single" w:sz="4" w:space="1" w:color="auto"/>
        </w:pBdr>
        <w:rPr>
          <w:rFonts w:ascii="Arial" w:hAnsi="Arial" w:cs="Arial"/>
        </w:rPr>
      </w:pPr>
    </w:p>
    <w:p w14:paraId="6994F8CE" w14:textId="77777777" w:rsidR="00611B45" w:rsidRDefault="00611B45">
      <w:pPr>
        <w:rPr>
          <w:rFonts w:ascii="Arial" w:hAnsi="Arial" w:cs="Arial"/>
        </w:rPr>
      </w:pPr>
    </w:p>
    <w:p w14:paraId="1319DBEB" w14:textId="77777777" w:rsidR="00611B45" w:rsidRDefault="00611B45">
      <w:pPr>
        <w:spacing w:after="120"/>
        <w:rPr>
          <w:rFonts w:ascii="Arial" w:hAnsi="Arial" w:cs="Arial"/>
          <w:b/>
        </w:rPr>
      </w:pPr>
      <w:r>
        <w:rPr>
          <w:rFonts w:ascii="Arial" w:hAnsi="Arial" w:cs="Arial"/>
          <w:b/>
        </w:rPr>
        <w:t>1. Overall Description:</w:t>
      </w:r>
    </w:p>
    <w:p w14:paraId="62167B1E" w14:textId="77777777" w:rsidR="00D93F0F" w:rsidRDefault="00DD54DE" w:rsidP="00661381">
      <w:pPr>
        <w:spacing w:before="180" w:afterLines="100" w:after="240"/>
        <w:jc w:val="both"/>
        <w:rPr>
          <w:rFonts w:ascii="Arial" w:hAnsi="Arial" w:cs="Arial"/>
          <w:bCs/>
        </w:rPr>
      </w:pPr>
      <w:r>
        <w:rPr>
          <w:rFonts w:ascii="Arial" w:hAnsi="Arial" w:cs="Arial"/>
          <w:lang w:val="en-US" w:eastAsia="zh-CN"/>
        </w:rPr>
        <w:t>For</w:t>
      </w:r>
      <w:r w:rsidR="00D93F0F">
        <w:rPr>
          <w:rFonts w:ascii="Arial" w:hAnsi="Arial" w:cs="Arial"/>
          <w:lang w:val="en-US" w:eastAsia="zh-CN"/>
        </w:rPr>
        <w:t xml:space="preserve"> the follow issue </w:t>
      </w:r>
      <w:r w:rsidR="00D93F0F">
        <w:rPr>
          <w:rFonts w:ascii="Arial" w:hAnsi="Arial" w:cs="Arial" w:hint="eastAsia"/>
          <w:lang w:val="en-US" w:eastAsia="zh-CN"/>
        </w:rPr>
        <w:t>In</w:t>
      </w:r>
      <w:r w:rsidR="00D93F0F">
        <w:rPr>
          <w:rFonts w:ascii="Arial" w:hAnsi="Arial" w:cs="Arial"/>
          <w:lang w:val="en-US"/>
        </w:rPr>
        <w:t xml:space="preserve"> LS </w:t>
      </w:r>
      <w:r w:rsidR="00D93F0F" w:rsidRPr="00D93F0F">
        <w:rPr>
          <w:rFonts w:ascii="Arial" w:hAnsi="Arial" w:cs="Arial"/>
          <w:bCs/>
        </w:rPr>
        <w:t>R2-2104716</w:t>
      </w:r>
      <w:r w:rsidR="00D93F0F">
        <w:rPr>
          <w:rFonts w:ascii="Arial" w:hAnsi="Arial" w:cs="Arial"/>
          <w:bCs/>
        </w:rPr>
        <w:t xml:space="preserve"> (</w:t>
      </w:r>
      <w:r w:rsidR="00D93F0F" w:rsidRPr="00D93F0F">
        <w:rPr>
          <w:rFonts w:ascii="Arial" w:hAnsi="Arial" w:cs="Arial"/>
          <w:bCs/>
        </w:rPr>
        <w:t>R1-2104121</w:t>
      </w:r>
      <w:r w:rsidR="00D93F0F">
        <w:rPr>
          <w:rFonts w:ascii="Arial" w:hAnsi="Arial" w:cs="Arial"/>
          <w:bCs/>
        </w:rPr>
        <w:t>)</w:t>
      </w:r>
      <w:r w:rsidR="00D93F0F">
        <w:rPr>
          <w:rFonts w:ascii="Arial" w:hAnsi="Arial" w:cs="Arial"/>
          <w:bCs/>
        </w:rPr>
        <w:t xml:space="preserve"> from RAN1</w:t>
      </w:r>
      <w:r>
        <w:rPr>
          <w:rFonts w:ascii="Arial" w:hAnsi="Arial" w:cs="Arial"/>
          <w:bCs/>
        </w:rPr>
        <w:t>:</w:t>
      </w:r>
    </w:p>
    <w:p w14:paraId="137E294F" w14:textId="77777777" w:rsidR="00D93F0F" w:rsidRPr="00D93F0F" w:rsidRDefault="00D93F0F" w:rsidP="00D93F0F">
      <w:pPr>
        <w:spacing w:afterLines="50" w:after="120"/>
        <w:jc w:val="both"/>
        <w:rPr>
          <w:rFonts w:ascii="Arial" w:eastAsia="Yu Mincho" w:hAnsi="Arial" w:cs="Arial"/>
          <w:bCs/>
          <w:i/>
          <w:iCs/>
          <w:lang w:eastAsia="ja-JP"/>
        </w:rPr>
      </w:pPr>
      <w:r w:rsidRPr="00D93F0F">
        <w:rPr>
          <w:rFonts w:ascii="Arial" w:eastAsia="Yu Mincho" w:hAnsi="Arial" w:cs="Arial"/>
          <w:bCs/>
          <w:i/>
          <w:iCs/>
          <w:lang w:eastAsia="ja-JP"/>
        </w:rPr>
        <w:t>RAN1 would like to clarify that FG 11-4c, FG11-4d, FG 11-4f and FG 11-4h are for two codebooks where one of the two is sub-slot based codebook, and the other is slot-based codebook. RAN1 would like to ask RAN2 to check if following sentences in TS38.306 in current places are appropriate considering above restriction on FG 11-4c/4d/4f/4h. If not appropriate, RAN2 can consider editing sentences.</w:t>
      </w:r>
    </w:p>
    <w:tbl>
      <w:tblPr>
        <w:tblStyle w:val="af4"/>
        <w:tblW w:w="0" w:type="auto"/>
        <w:tblLook w:val="04A0" w:firstRow="1" w:lastRow="0" w:firstColumn="1" w:lastColumn="0" w:noHBand="0" w:noVBand="1"/>
      </w:tblPr>
      <w:tblGrid>
        <w:gridCol w:w="9655"/>
      </w:tblGrid>
      <w:tr w:rsidR="00D93F0F" w:rsidRPr="00E36A23" w14:paraId="7FC528F1" w14:textId="77777777" w:rsidTr="00860328">
        <w:tc>
          <w:tcPr>
            <w:tcW w:w="19409" w:type="dxa"/>
          </w:tcPr>
          <w:p w14:paraId="6A037564" w14:textId="77777777" w:rsidR="00D93F0F" w:rsidRPr="00E36A23" w:rsidRDefault="00D93F0F" w:rsidP="00860328">
            <w:pPr>
              <w:rPr>
                <w:rFonts w:ascii="Times" w:eastAsia="Batang" w:hAnsi="Times"/>
                <w:b/>
                <w:i/>
              </w:rPr>
            </w:pPr>
            <w:r w:rsidRPr="00E36A23">
              <w:rPr>
                <w:rFonts w:ascii="Times" w:eastAsia="Batang" w:hAnsi="Times"/>
                <w:b/>
                <w:i/>
              </w:rPr>
              <w:t>twoPUCCH-Type5-r16</w:t>
            </w:r>
          </w:p>
          <w:p w14:paraId="21BB784A" w14:textId="77777777" w:rsidR="00D93F0F" w:rsidRPr="00EC50C6" w:rsidRDefault="00D93F0F" w:rsidP="00860328">
            <w:pP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30026522" w14:textId="77777777" w:rsidR="00D93F0F" w:rsidRPr="00EC50C6" w:rsidRDefault="00D93F0F" w:rsidP="00860328">
            <w:pPr>
              <w:rPr>
                <w:rFonts w:ascii="Times" w:eastAsia="Batang" w:hAnsi="Times"/>
                <w:b/>
                <w:i/>
              </w:rPr>
            </w:pPr>
            <w:r w:rsidRPr="00EC50C6">
              <w:rPr>
                <w:rFonts w:ascii="Times" w:eastAsia="Batang" w:hAnsi="Times"/>
                <w:b/>
                <w:i/>
              </w:rPr>
              <w:t>twoPUCCH-Type6-r16</w:t>
            </w:r>
          </w:p>
          <w:p w14:paraId="66EE904E" w14:textId="77777777" w:rsidR="00D93F0F" w:rsidRPr="00EC50C6" w:rsidRDefault="00D93F0F" w:rsidP="00860328">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69230110" w14:textId="77777777" w:rsidR="00D93F0F" w:rsidRPr="00EC50C6" w:rsidRDefault="00D93F0F" w:rsidP="00860328">
            <w:pPr>
              <w:rPr>
                <w:rFonts w:ascii="Times" w:eastAsia="Batang" w:hAnsi="Times"/>
                <w:b/>
                <w:i/>
              </w:rPr>
            </w:pPr>
            <w:r w:rsidRPr="00EC50C6">
              <w:rPr>
                <w:rFonts w:ascii="Times" w:eastAsia="Batang" w:hAnsi="Times"/>
                <w:b/>
                <w:i/>
              </w:rPr>
              <w:t>twoPUCCH-Type8-r16</w:t>
            </w:r>
          </w:p>
          <w:p w14:paraId="7EEC9EE5" w14:textId="77777777" w:rsidR="00D93F0F" w:rsidRPr="00EC50C6" w:rsidRDefault="00D93F0F" w:rsidP="00860328">
            <w:pP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onePUCCH-LongAndShortFormat.</w:t>
            </w:r>
          </w:p>
          <w:p w14:paraId="5698C075" w14:textId="77777777" w:rsidR="00D93F0F" w:rsidRPr="00EC50C6" w:rsidRDefault="00D93F0F" w:rsidP="00860328">
            <w:pPr>
              <w:rPr>
                <w:rFonts w:ascii="Times" w:eastAsia="Batang" w:hAnsi="Times"/>
                <w:b/>
                <w:i/>
              </w:rPr>
            </w:pPr>
            <w:r w:rsidRPr="00EC50C6">
              <w:rPr>
                <w:rFonts w:ascii="Times" w:eastAsia="Batang" w:hAnsi="Times"/>
                <w:b/>
                <w:i/>
              </w:rPr>
              <w:t>twoPUCCH-Type10-r16</w:t>
            </w:r>
          </w:p>
          <w:p w14:paraId="3D1C3FB7" w14:textId="77777777" w:rsidR="00D93F0F" w:rsidRPr="00E36A23" w:rsidRDefault="00D93F0F" w:rsidP="00860328">
            <w:pPr>
              <w:rPr>
                <w:rFonts w:ascii="Times" w:eastAsia="Batang" w:hAnsi="Times"/>
                <w:bCs/>
                <w:iCs/>
              </w:rP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i/>
                <w:color w:val="FF0000"/>
              </w:rPr>
              <w:t>twoPUCCH-AnyOthersInSlot.</w:t>
            </w:r>
          </w:p>
        </w:tc>
      </w:tr>
    </w:tbl>
    <w:p w14:paraId="49C0A11B" w14:textId="77777777" w:rsidR="00DD54DE" w:rsidRDefault="00DD54DE" w:rsidP="00D93F0F">
      <w:pPr>
        <w:spacing w:beforeLines="50" w:before="120" w:afterLines="50" w:after="120"/>
        <w:jc w:val="both"/>
        <w:rPr>
          <w:rFonts w:ascii="Arial" w:eastAsiaTheme="minorEastAsia" w:hAnsi="Arial" w:cs="Arial"/>
          <w:bCs/>
          <w:iCs/>
          <w:lang w:eastAsia="zh-CN"/>
        </w:rPr>
      </w:pPr>
    </w:p>
    <w:p w14:paraId="7DF176E0" w14:textId="77777777" w:rsidR="00D93F0F" w:rsidRDefault="00D93F0F" w:rsidP="00D93F0F">
      <w:pPr>
        <w:spacing w:beforeLines="50" w:before="120" w:afterLines="50" w:after="120"/>
        <w:jc w:val="both"/>
        <w:rPr>
          <w:rFonts w:ascii="Arial" w:eastAsiaTheme="minorEastAsia" w:hAnsi="Arial" w:cs="Arial"/>
          <w:bCs/>
          <w:iCs/>
          <w:lang w:eastAsia="zh-CN"/>
        </w:rPr>
      </w:pPr>
      <w:r>
        <w:rPr>
          <w:rFonts w:ascii="Arial" w:eastAsiaTheme="minorEastAsia" w:hAnsi="Arial" w:cs="Arial" w:hint="eastAsia"/>
          <w:bCs/>
          <w:iCs/>
          <w:lang w:eastAsia="zh-CN"/>
        </w:rPr>
        <w:t>R</w:t>
      </w:r>
      <w:r>
        <w:rPr>
          <w:rFonts w:ascii="Arial" w:eastAsiaTheme="minorEastAsia" w:hAnsi="Arial" w:cs="Arial"/>
          <w:bCs/>
          <w:iCs/>
          <w:lang w:eastAsia="zh-CN"/>
        </w:rPr>
        <w:t xml:space="preserve">AN2 discussed this issue, and decided to relocate the related </w:t>
      </w:r>
      <w:r w:rsidRPr="00D93F0F">
        <w:rPr>
          <w:rFonts w:ascii="Arial" w:eastAsiaTheme="minorEastAsia" w:hAnsi="Arial" w:cs="Arial"/>
          <w:bCs/>
          <w:iCs/>
          <w:color w:val="FF0000"/>
          <w:lang w:eastAsia="zh-CN"/>
        </w:rPr>
        <w:t xml:space="preserve">sentences </w:t>
      </w:r>
      <w:r w:rsidRPr="00D93F0F">
        <w:rPr>
          <w:rFonts w:ascii="Arial" w:eastAsiaTheme="minorEastAsia" w:hAnsi="Arial" w:cs="Arial"/>
          <w:bCs/>
          <w:iCs/>
          <w:lang w:eastAsia="zh-CN"/>
        </w:rPr>
        <w:t>all into</w:t>
      </w:r>
      <w:r w:rsidRPr="00DD54DE">
        <w:rPr>
          <w:rFonts w:ascii="Arial" w:eastAsiaTheme="minorEastAsia" w:hAnsi="Arial" w:cs="Arial"/>
          <w:bCs/>
          <w:i/>
          <w:iCs/>
          <w:lang w:eastAsia="zh-CN"/>
        </w:rPr>
        <w:t xml:space="preserve"> twoHARQ-ACK-Codebook-type1-r16</w:t>
      </w:r>
      <w:r>
        <w:rPr>
          <w:rFonts w:ascii="Arial" w:eastAsiaTheme="minorEastAsia" w:hAnsi="Arial" w:cs="Arial"/>
          <w:bCs/>
          <w:iCs/>
          <w:lang w:eastAsia="zh-CN"/>
        </w:rPr>
        <w:t xml:space="preserve"> as follows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D93F0F" w14:paraId="00AFA391" w14:textId="77777777" w:rsidTr="00D93F0F">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36A690F" w14:textId="77777777" w:rsidR="00D93F0F" w:rsidRDefault="00D93F0F">
            <w:pPr>
              <w:pStyle w:val="TAL"/>
              <w:rPr>
                <w:b/>
                <w:bCs/>
                <w:i/>
                <w:iCs/>
              </w:rPr>
            </w:pPr>
            <w:r>
              <w:rPr>
                <w:b/>
                <w:bCs/>
                <w:i/>
                <w:iCs/>
              </w:rPr>
              <w:lastRenderedPageBreak/>
              <w:t>twoHARQ-ACK-Codebook-type1-r16</w:t>
            </w:r>
          </w:p>
          <w:p w14:paraId="144D3DB1" w14:textId="77777777" w:rsidR="00D93F0F" w:rsidRDefault="00D93F0F">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72446F96" w14:textId="77777777" w:rsidR="00D93F0F" w:rsidRDefault="00D93F0F">
            <w:pPr>
              <w:pStyle w:val="B1"/>
              <w:spacing w:after="120"/>
              <w:rPr>
                <w:rFonts w:cs="Arial"/>
                <w:sz w:val="18"/>
                <w:szCs w:val="18"/>
              </w:rPr>
            </w:pPr>
            <w:r>
              <w:rPr>
                <w:rFonts w:cs="Arial"/>
                <w:sz w:val="18"/>
                <w:szCs w:val="18"/>
              </w:rPr>
              <w:t xml:space="preserve">-     </w:t>
            </w:r>
            <w:r>
              <w:rPr>
                <w:rFonts w:cs="Arial"/>
                <w:i/>
                <w:iCs/>
                <w:sz w:val="18"/>
                <w:szCs w:val="18"/>
              </w:rPr>
              <w:t>sub-SlotConfig-NCP-r16</w:t>
            </w:r>
            <w:r>
              <w:rPr>
                <w:rFonts w:cs="Arial"/>
                <w:sz w:val="18"/>
                <w:szCs w:val="18"/>
              </w:rPr>
              <w:t xml:space="preserve"> indicates the maximum number of actual PUCCH transmissions for HARQ-ACK within a slot for NCP with 2-symbol*7 sub-slot configuration;</w:t>
            </w:r>
          </w:p>
          <w:p w14:paraId="4679C7DA" w14:textId="77777777" w:rsidR="00D93F0F" w:rsidRDefault="00D93F0F">
            <w:pPr>
              <w:pStyle w:val="B1"/>
              <w:spacing w:after="120"/>
              <w:rPr>
                <w:rFonts w:cs="Arial"/>
                <w:sz w:val="18"/>
                <w:szCs w:val="18"/>
              </w:rPr>
            </w:pPr>
            <w:r>
              <w:rPr>
                <w:rFonts w:cs="Arial"/>
                <w:sz w:val="18"/>
                <w:szCs w:val="18"/>
              </w:rPr>
              <w:t xml:space="preserve">-     </w:t>
            </w:r>
            <w:r>
              <w:rPr>
                <w:rFonts w:cs="Arial"/>
                <w:i/>
                <w:iCs/>
                <w:sz w:val="18"/>
                <w:szCs w:val="18"/>
              </w:rPr>
              <w:t>sub-SlotConfig-ECP-r16</w:t>
            </w:r>
            <w:r>
              <w:rPr>
                <w:rFonts w:cs="Arial"/>
                <w:i/>
                <w:iCs/>
                <w:sz w:val="18"/>
                <w:szCs w:val="18"/>
                <w:lang w:eastAsia="zh-CN"/>
              </w:rPr>
              <w:t xml:space="preserve"> </w:t>
            </w:r>
            <w:r>
              <w:rPr>
                <w:rFonts w:cs="Arial"/>
                <w:sz w:val="18"/>
                <w:szCs w:val="18"/>
              </w:rPr>
              <w:t>indicates the maximum number of actual PUCCH transmissions for HARQ-ACK within a slot for ECP with 2-symbol*6 sub-slot configuration;</w:t>
            </w:r>
          </w:p>
          <w:p w14:paraId="48F4C17F" w14:textId="77777777" w:rsidR="00D93F0F" w:rsidRDefault="00D93F0F">
            <w:pPr>
              <w:pStyle w:val="TAL"/>
              <w:rPr>
                <w:sz w:val="18"/>
                <w:szCs w:val="18"/>
              </w:rPr>
            </w:pPr>
            <w:r>
              <w:t>For the 7-symbol*2 sub-slot configuration of NCP or the 6-symbol*2 sub-slot configuration of ECP, the value of the maximum number of actual PUCCH transmissions for HARQ-ACK within a slot is {2}.</w:t>
            </w:r>
          </w:p>
          <w:p w14:paraId="70B01407" w14:textId="77777777" w:rsidR="00D93F0F" w:rsidRDefault="00D93F0F">
            <w:pPr>
              <w:pStyle w:val="TAL"/>
            </w:pPr>
          </w:p>
          <w:p w14:paraId="2DFD4A27" w14:textId="77777777" w:rsidR="00D93F0F" w:rsidRDefault="00D93F0F">
            <w:pPr>
              <w:pStyle w:val="TAN"/>
              <w:rPr>
                <w:color w:val="FF0000"/>
                <w:u w:val="single"/>
              </w:rPr>
            </w:pPr>
            <w:commentRangeStart w:id="1"/>
            <w:r>
              <w:rPr>
                <w:color w:val="FF0000"/>
                <w:u w:val="single"/>
              </w:rPr>
              <w:t>NOTE 1:   When simultaneously configured with two slot-based HARQ-ACK codebooks:</w:t>
            </w:r>
          </w:p>
          <w:p w14:paraId="69128C83" w14:textId="77777777" w:rsidR="00D93F0F" w:rsidRDefault="00D93F0F" w:rsidP="00D93F0F">
            <w:pPr>
              <w:pStyle w:val="TAN"/>
              <w:numPr>
                <w:ilvl w:val="0"/>
                <w:numId w:val="6"/>
              </w:numPr>
              <w:rPr>
                <w:color w:val="FF0000"/>
                <w:u w:val="single"/>
              </w:rPr>
            </w:pPr>
            <w:r>
              <w:rPr>
                <w:color w:val="FF0000"/>
                <w:u w:val="single"/>
              </w:rPr>
              <w:t xml:space="preserve">whether the UE supports two PUCCH of format 0 or 2 for each HARQ-ACK codebook is subjected to the capability reported by </w:t>
            </w:r>
            <w:r>
              <w:rPr>
                <w:i/>
                <w:iCs/>
                <w:color w:val="FF0000"/>
                <w:u w:val="single"/>
              </w:rPr>
              <w:t>twoPUCCH-F0-2-ConsecSymbols.</w:t>
            </w:r>
          </w:p>
          <w:p w14:paraId="07A56F56" w14:textId="77777777" w:rsidR="00D93F0F" w:rsidRDefault="00D93F0F" w:rsidP="00D93F0F">
            <w:pPr>
              <w:pStyle w:val="TAN"/>
              <w:numPr>
                <w:ilvl w:val="0"/>
                <w:numId w:val="6"/>
              </w:numPr>
              <w:rPr>
                <w:color w:val="FF0000"/>
                <w:u w:val="single"/>
              </w:rPr>
            </w:pPr>
            <w:r>
              <w:rPr>
                <w:color w:val="FF0000"/>
                <w:u w:val="single"/>
              </w:rPr>
              <w:t xml:space="preserve">whether the UE supports two PUCCH of format 0 or 2 in consecutive symbols for each HARQ-ACK codebook is subjected to the capability reported by </w:t>
            </w:r>
            <w:r>
              <w:rPr>
                <w:i/>
                <w:iCs/>
                <w:color w:val="FF0000"/>
                <w:u w:val="single"/>
              </w:rPr>
              <w:t>twoPUCCH-F0-2-ConsecSymbols.</w:t>
            </w:r>
          </w:p>
          <w:p w14:paraId="70ACDF60" w14:textId="77777777" w:rsidR="00D93F0F" w:rsidRDefault="00D93F0F" w:rsidP="00D93F0F">
            <w:pPr>
              <w:pStyle w:val="TAN"/>
              <w:numPr>
                <w:ilvl w:val="0"/>
                <w:numId w:val="6"/>
              </w:numPr>
              <w:rPr>
                <w:color w:val="FF0000"/>
                <w:u w:val="single"/>
              </w:rPr>
            </w:pPr>
            <w:r>
              <w:rPr>
                <w:color w:val="FF0000"/>
                <w:u w:val="single"/>
              </w:rPr>
              <w:t xml:space="preserve">whether the UE supports one PUCCH format 0 or 2 and one PUCCH format 1, 3 or 4 in the same subslot for each HARQ-ACK codebook is subjected to the capability reported by </w:t>
            </w:r>
            <w:r>
              <w:rPr>
                <w:i/>
                <w:iCs/>
                <w:color w:val="FF0000"/>
                <w:u w:val="single"/>
              </w:rPr>
              <w:t>onePUCCH-LongAndShortFormat</w:t>
            </w:r>
            <w:r>
              <w:rPr>
                <w:color w:val="FF0000"/>
                <w:u w:val="single"/>
              </w:rPr>
              <w:t>.</w:t>
            </w:r>
          </w:p>
          <w:p w14:paraId="33025B5D" w14:textId="77777777" w:rsidR="00D93F0F" w:rsidRDefault="00D93F0F" w:rsidP="00D93F0F">
            <w:pPr>
              <w:pStyle w:val="TAN"/>
              <w:numPr>
                <w:ilvl w:val="0"/>
                <w:numId w:val="6"/>
              </w:numPr>
              <w:rPr>
                <w:color w:val="FF0000"/>
                <w:u w:val="single"/>
              </w:rPr>
            </w:pPr>
            <w:r>
              <w:rPr>
                <w:color w:val="FF0000"/>
                <w:u w:val="single"/>
              </w:rPr>
              <w:t xml:space="preserve">whether the UE supports two PUCCH transmissions in the same subslot for each HARQ-ACK codebook is subjected to the capability reported by </w:t>
            </w:r>
            <w:r>
              <w:rPr>
                <w:i/>
                <w:iCs/>
                <w:color w:val="FF0000"/>
                <w:u w:val="single"/>
              </w:rPr>
              <w:t>twoPUCCH-AnyOthersInSlot.</w:t>
            </w:r>
            <w:commentRangeEnd w:id="1"/>
            <w:r>
              <w:rPr>
                <w:rStyle w:val="a5"/>
                <w:rFonts w:cs="Times New Roman"/>
                <w:szCs w:val="20"/>
                <w:lang w:val="en-GB"/>
              </w:rPr>
              <w:commentReference w:id="1"/>
            </w:r>
          </w:p>
          <w:p w14:paraId="7C77D16D" w14:textId="77777777" w:rsidR="00D93F0F" w:rsidRDefault="00D93F0F">
            <w:pPr>
              <w:pStyle w:val="TAL"/>
            </w:pPr>
          </w:p>
          <w:p w14:paraId="1BAA5037" w14:textId="77777777" w:rsidR="00D93F0F" w:rsidRDefault="00D93F0F">
            <w:pPr>
              <w:pStyle w:val="TAN"/>
            </w:pPr>
            <w:r>
              <w:t>NOTE</w:t>
            </w:r>
            <w:r>
              <w:rPr>
                <w:color w:val="FF0000"/>
                <w:u w:val="single"/>
              </w:rPr>
              <w:t xml:space="preserve"> 2</w:t>
            </w:r>
            <w:r>
              <w:t xml:space="preserve">:   If a UE reports both </w:t>
            </w:r>
            <w:r>
              <w:rPr>
                <w:i/>
                <w:iCs/>
              </w:rPr>
              <w:t>multiPUCCH-r16</w:t>
            </w:r>
            <w:r>
              <w:t xml:space="preserve"> and </w:t>
            </w:r>
            <w:r>
              <w:rPr>
                <w:i/>
                <w:iCs/>
              </w:rPr>
              <w:t>twoHARQ-ACK-Codebook-type1-r16</w:t>
            </w:r>
            <w:r>
              <w:t xml:space="preserve">, it can support two slot-based HARQ-ACK codebooks, and one slot-based and one-sub-slot-based HARQ-ACK codebooks. If a UE reports </w:t>
            </w:r>
            <w:r>
              <w:rPr>
                <w:i/>
                <w:iCs/>
              </w:rPr>
              <w:t>twoHARQ-ACK-Codebook-type1-r16</w:t>
            </w:r>
            <w:r>
              <w:rPr>
                <w:i/>
                <w:iCs/>
                <w:lang w:eastAsia="zh-CN"/>
              </w:rPr>
              <w:t xml:space="preserve"> </w:t>
            </w:r>
            <w:r>
              <w:t xml:space="preserve">but </w:t>
            </w:r>
            <w:r>
              <w:rPr>
                <w:lang w:eastAsia="zh-CN"/>
              </w:rPr>
              <w:t xml:space="preserve">does not report </w:t>
            </w:r>
            <w:r>
              <w:rPr>
                <w:i/>
                <w:iCs/>
              </w:rPr>
              <w:t>multiPUCCH-r16</w:t>
            </w:r>
            <w: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FD40D24" w14:textId="77777777" w:rsidR="00D93F0F" w:rsidRDefault="00D93F0F">
            <w:pPr>
              <w:pStyle w:val="TAL"/>
              <w:jc w:val="center"/>
            </w:pPr>
            <w: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092300" w14:textId="77777777" w:rsidR="00D93F0F" w:rsidRDefault="00D93F0F">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A9099D5" w14:textId="77777777" w:rsidR="00D93F0F" w:rsidRDefault="00D93F0F">
            <w:pPr>
              <w:pStyle w:val="TAL"/>
              <w:jc w:val="center"/>
            </w:pPr>
            <w: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86A4A42" w14:textId="77777777" w:rsidR="00D93F0F" w:rsidRDefault="00D93F0F">
            <w:pPr>
              <w:pStyle w:val="TAL"/>
              <w:jc w:val="center"/>
            </w:pPr>
            <w:r>
              <w:t>N/A</w:t>
            </w:r>
          </w:p>
        </w:tc>
      </w:tr>
    </w:tbl>
    <w:p w14:paraId="6D22A021" w14:textId="77777777" w:rsidR="00D93F0F" w:rsidRPr="00D93F0F" w:rsidRDefault="00D93F0F" w:rsidP="00D93F0F">
      <w:pPr>
        <w:spacing w:beforeLines="50" w:before="120" w:afterLines="50" w:after="120"/>
        <w:jc w:val="both"/>
        <w:rPr>
          <w:rFonts w:ascii="Arial" w:eastAsiaTheme="minorEastAsia" w:hAnsi="Arial" w:cs="Arial" w:hint="eastAsia"/>
          <w:bCs/>
          <w:iCs/>
          <w:lang w:eastAsia="zh-CN"/>
        </w:rPr>
      </w:pPr>
    </w:p>
    <w:p w14:paraId="64660381" w14:textId="77777777" w:rsidR="00611B45" w:rsidRDefault="00611B45">
      <w:pPr>
        <w:rPr>
          <w:rFonts w:ascii="Calibri" w:hAnsi="Calibri" w:cs="Calibri"/>
          <w:sz w:val="22"/>
          <w:szCs w:val="22"/>
          <w:lang w:val="en-US" w:eastAsia="zh-CN"/>
        </w:rPr>
      </w:pPr>
    </w:p>
    <w:p w14:paraId="38A1586F" w14:textId="77777777" w:rsidR="00611B45" w:rsidRDefault="00611B45">
      <w:pPr>
        <w:spacing w:after="120"/>
        <w:rPr>
          <w:rFonts w:ascii="Arial" w:hAnsi="Arial" w:cs="Arial"/>
          <w:b/>
        </w:rPr>
      </w:pPr>
      <w:r>
        <w:rPr>
          <w:rFonts w:ascii="Arial" w:hAnsi="Arial" w:cs="Arial"/>
          <w:b/>
        </w:rPr>
        <w:t>2. Actions:</w:t>
      </w:r>
    </w:p>
    <w:p w14:paraId="20CA7BBC" w14:textId="77777777" w:rsidR="00661381" w:rsidRDefault="00611B45">
      <w:pPr>
        <w:spacing w:before="180" w:afterLines="100" w:after="240"/>
        <w:ind w:left="1518" w:hangingChars="759" w:hanging="1518"/>
        <w:jc w:val="both"/>
        <w:rPr>
          <w:rFonts w:ascii="Arial" w:hAnsi="Arial" w:cs="Arial"/>
          <w:lang w:val="en-US" w:eastAsia="zh-CN"/>
        </w:rPr>
      </w:pPr>
      <w:r>
        <w:rPr>
          <w:rFonts w:ascii="Arial" w:hAnsi="Arial" w:cs="Arial" w:hint="eastAsia"/>
          <w:lang w:val="en-US" w:eastAsia="zh-CN"/>
        </w:rPr>
        <w:t xml:space="preserve">To RAN WG1: </w:t>
      </w:r>
      <w:r w:rsidR="00661381" w:rsidRPr="00661381">
        <w:rPr>
          <w:rFonts w:ascii="Arial" w:hAnsi="Arial" w:cs="Arial"/>
          <w:lang w:val="en-US" w:eastAsia="zh-CN"/>
        </w:rPr>
        <w:t xml:space="preserve">RAN2 respectfully requests RAN1 to feedback </w:t>
      </w:r>
      <w:r w:rsidR="00D93F0F">
        <w:rPr>
          <w:rFonts w:ascii="Arial" w:hAnsi="Arial" w:cs="Arial"/>
          <w:lang w:val="en-US" w:eastAsia="zh-CN"/>
        </w:rPr>
        <w:t>if any concern on the change above</w:t>
      </w:r>
      <w:r w:rsidR="00661381" w:rsidRPr="00661381">
        <w:rPr>
          <w:rFonts w:ascii="Arial" w:hAnsi="Arial" w:cs="Arial"/>
          <w:lang w:val="en-US" w:eastAsia="zh-CN"/>
        </w:rPr>
        <w:t>.</w:t>
      </w:r>
    </w:p>
    <w:p w14:paraId="12F993DF" w14:textId="77777777" w:rsidR="00D93F0F" w:rsidRDefault="00D93F0F">
      <w:pPr>
        <w:spacing w:before="180" w:afterLines="100" w:after="240"/>
        <w:ind w:left="1518" w:hangingChars="759" w:hanging="1518"/>
        <w:jc w:val="both"/>
        <w:rPr>
          <w:rFonts w:ascii="Arial" w:hAnsi="Arial" w:cs="Arial"/>
        </w:rPr>
      </w:pPr>
      <w:bookmarkStart w:id="2" w:name="_GoBack"/>
      <w:bookmarkEnd w:id="2"/>
    </w:p>
    <w:p w14:paraId="0BAA8AD0" w14:textId="77777777" w:rsidR="00611B45" w:rsidRDefault="00611B45">
      <w:pPr>
        <w:spacing w:after="120"/>
        <w:rPr>
          <w:rFonts w:ascii="Arial" w:hAnsi="Arial" w:cs="Arial"/>
          <w:b/>
        </w:rPr>
      </w:pPr>
      <w:r>
        <w:rPr>
          <w:rFonts w:ascii="Arial" w:hAnsi="Arial" w:cs="Arial"/>
          <w:b/>
        </w:rPr>
        <w:t>3. Dates of Next TSG-RAN WG2 Meetings:</w:t>
      </w:r>
    </w:p>
    <w:p w14:paraId="289BF4E7" w14:textId="77777777" w:rsidR="00611B45" w:rsidRDefault="00611B45">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w:t>
      </w:r>
      <w:r w:rsidR="00D93F0F">
        <w:rPr>
          <w:rFonts w:ascii="Arial" w:eastAsia="MS Mincho" w:hAnsi="Arial" w:cs="Arial"/>
          <w:bCs/>
          <w:lang w:val="sv-SE"/>
        </w:rPr>
        <w:t>5</w:t>
      </w:r>
      <w:r>
        <w:rPr>
          <w:rFonts w:ascii="Arial" w:eastAsia="MS Mincho" w:hAnsi="Arial" w:cs="Arial"/>
          <w:bCs/>
          <w:lang w:val="sv-SE"/>
        </w:rPr>
        <w:t>-e</w:t>
      </w:r>
      <w:r>
        <w:rPr>
          <w:rFonts w:ascii="Arial" w:eastAsia="MS Mincho" w:hAnsi="Arial" w:cs="Arial"/>
          <w:bCs/>
          <w:lang w:val="sv-SE"/>
        </w:rPr>
        <w:tab/>
      </w:r>
      <w:r w:rsidR="00D93F0F">
        <w:rPr>
          <w:rFonts w:ascii="Arial" w:eastAsia="MS Mincho" w:hAnsi="Arial" w:cs="Arial"/>
          <w:bCs/>
          <w:lang w:val="sv-SE"/>
        </w:rPr>
        <w:t>16</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 2</w:t>
      </w:r>
      <w:r w:rsidR="00165955">
        <w:rPr>
          <w:rFonts w:ascii="Arial" w:eastAsia="MS Mincho" w:hAnsi="Arial" w:cs="Arial"/>
          <w:bCs/>
          <w:lang w:val="sv-SE"/>
        </w:rPr>
        <w:t>7</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2021</w:t>
      </w:r>
      <w:r>
        <w:rPr>
          <w:rFonts w:ascii="Arial" w:eastAsia="MS Mincho" w:hAnsi="Arial" w:cs="Arial"/>
          <w:bCs/>
          <w:lang w:val="sv-SE"/>
        </w:rPr>
        <w:tab/>
        <w:t>eMeeting</w:t>
      </w:r>
    </w:p>
    <w:p w14:paraId="020F0342" w14:textId="77777777" w:rsidR="00D93F0F" w:rsidRDefault="00D93F0F" w:rsidP="00D93F0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w:t>
      </w:r>
      <w:r>
        <w:rPr>
          <w:rFonts w:ascii="Arial" w:eastAsia="MS Mincho" w:hAnsi="Arial" w:cs="Arial"/>
          <w:bCs/>
          <w:lang w:val="sv-SE"/>
        </w:rPr>
        <w:t>6</w:t>
      </w:r>
      <w:r>
        <w:rPr>
          <w:rFonts w:ascii="Arial" w:eastAsia="MS Mincho" w:hAnsi="Arial" w:cs="Arial"/>
          <w:bCs/>
          <w:lang w:val="sv-SE"/>
        </w:rPr>
        <w:t>-e</w:t>
      </w:r>
      <w:r>
        <w:rPr>
          <w:rFonts w:ascii="Arial" w:eastAsia="MS Mincho" w:hAnsi="Arial" w:cs="Arial"/>
          <w:bCs/>
          <w:lang w:val="sv-SE"/>
        </w:rPr>
        <w:tab/>
        <w:t xml:space="preserve">1 </w:t>
      </w:r>
      <w:r w:rsidRPr="00D93F0F">
        <w:rPr>
          <w:rFonts w:ascii="Arial" w:eastAsia="MS Mincho" w:hAnsi="Arial" w:cs="Arial"/>
          <w:bCs/>
          <w:lang w:val="sv-SE"/>
        </w:rPr>
        <w:t>November</w:t>
      </w:r>
      <w:r>
        <w:rPr>
          <w:rFonts w:ascii="Arial" w:eastAsia="MS Mincho" w:hAnsi="Arial" w:cs="Arial"/>
          <w:bCs/>
          <w:lang w:val="sv-SE"/>
        </w:rPr>
        <w:t xml:space="preserve">– </w:t>
      </w:r>
      <w:r>
        <w:rPr>
          <w:rFonts w:ascii="Arial" w:eastAsia="MS Mincho" w:hAnsi="Arial" w:cs="Arial"/>
          <w:bCs/>
          <w:lang w:val="sv-SE"/>
        </w:rPr>
        <w:t>12</w:t>
      </w:r>
      <w:r>
        <w:rPr>
          <w:rFonts w:ascii="Arial" w:eastAsia="MS Mincho" w:hAnsi="Arial" w:cs="Arial"/>
          <w:bCs/>
          <w:lang w:val="sv-SE"/>
        </w:rPr>
        <w:t xml:space="preserve"> </w:t>
      </w:r>
      <w:r w:rsidRPr="00D93F0F">
        <w:rPr>
          <w:rFonts w:ascii="Arial" w:eastAsia="MS Mincho" w:hAnsi="Arial" w:cs="Arial"/>
          <w:bCs/>
          <w:lang w:val="sv-SE"/>
        </w:rPr>
        <w:t>November</w:t>
      </w:r>
      <w:r>
        <w:rPr>
          <w:rFonts w:ascii="Arial" w:eastAsia="MS Mincho" w:hAnsi="Arial" w:cs="Arial"/>
          <w:bCs/>
          <w:lang w:val="sv-SE"/>
        </w:rPr>
        <w:t xml:space="preserve"> </w:t>
      </w:r>
      <w:r>
        <w:rPr>
          <w:rFonts w:ascii="Arial" w:eastAsia="MS Mincho" w:hAnsi="Arial" w:cs="Arial"/>
          <w:bCs/>
          <w:lang w:val="sv-SE"/>
        </w:rPr>
        <w:t>2021</w:t>
      </w:r>
      <w:r>
        <w:rPr>
          <w:rFonts w:ascii="Arial" w:eastAsia="MS Mincho" w:hAnsi="Arial" w:cs="Arial"/>
          <w:bCs/>
          <w:lang w:val="sv-SE"/>
        </w:rPr>
        <w:tab/>
        <w:t>eMeeting</w:t>
      </w:r>
    </w:p>
    <w:p w14:paraId="14FCBD71" w14:textId="77777777" w:rsidR="00D93F0F" w:rsidRPr="00D93F0F" w:rsidRDefault="00D93F0F">
      <w:pPr>
        <w:tabs>
          <w:tab w:val="left" w:pos="4253"/>
          <w:tab w:val="left" w:pos="7655"/>
        </w:tabs>
        <w:spacing w:after="120"/>
        <w:ind w:left="2268" w:hanging="2268"/>
        <w:rPr>
          <w:rFonts w:ascii="Arial" w:eastAsiaTheme="minorEastAsia" w:hAnsi="Arial" w:cs="Arial" w:hint="eastAsia"/>
          <w:bCs/>
          <w:lang w:eastAsia="zh-CN"/>
        </w:rPr>
      </w:pPr>
    </w:p>
    <w:sectPr w:rsidR="00D93F0F" w:rsidRPr="00D93F0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者" w:date="2021-05-22T18:44:00Z" w:initials="A">
    <w:p w14:paraId="71CC5F91" w14:textId="77777777" w:rsidR="00D93F0F" w:rsidRDefault="00D93F0F">
      <w:pPr>
        <w:pStyle w:val="a7"/>
        <w:rPr>
          <w:rFonts w:hint="eastAsia"/>
          <w:lang w:eastAsia="zh-CN"/>
        </w:rPr>
      </w:pPr>
      <w:r>
        <w:rPr>
          <w:rStyle w:val="a5"/>
        </w:rPr>
        <w:annotationRef/>
      </w:r>
      <w:r>
        <w:rPr>
          <w:lang w:eastAsia="zh-CN"/>
        </w:rPr>
        <w:t>This part is copied from the suggested change by rapporteur, and will align with the final decision of phase-2 discussion output.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C5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C5F91" w16cid:durableId="2453C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9E2CB" w14:textId="77777777" w:rsidR="007F0311" w:rsidRDefault="007F0311" w:rsidP="00021F7C">
      <w:r>
        <w:separator/>
      </w:r>
    </w:p>
  </w:endnote>
  <w:endnote w:type="continuationSeparator" w:id="0">
    <w:p w14:paraId="504B37E2" w14:textId="77777777" w:rsidR="007F0311" w:rsidRDefault="007F0311" w:rsidP="000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51ED" w14:textId="77777777" w:rsidR="007F0311" w:rsidRDefault="007F0311" w:rsidP="00021F7C">
      <w:r>
        <w:separator/>
      </w:r>
    </w:p>
  </w:footnote>
  <w:footnote w:type="continuationSeparator" w:id="0">
    <w:p w14:paraId="311E5DCC" w14:textId="77777777" w:rsidR="007F0311" w:rsidRDefault="007F0311" w:rsidP="000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qQUABQw6uywAAAA="/>
  </w:docVars>
  <w:rsids>
    <w:rsidRoot w:val="00923E7C"/>
    <w:rsid w:val="000011B7"/>
    <w:rsid w:val="00007055"/>
    <w:rsid w:val="00010452"/>
    <w:rsid w:val="00012A27"/>
    <w:rsid w:val="000148A2"/>
    <w:rsid w:val="00015DE5"/>
    <w:rsid w:val="00021F7C"/>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5870"/>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402D77"/>
    <w:rsid w:val="004053CC"/>
    <w:rsid w:val="00422E84"/>
    <w:rsid w:val="00424C12"/>
    <w:rsid w:val="004256C3"/>
    <w:rsid w:val="00426890"/>
    <w:rsid w:val="00432648"/>
    <w:rsid w:val="004402BA"/>
    <w:rsid w:val="004446C5"/>
    <w:rsid w:val="00447DBC"/>
    <w:rsid w:val="0046083D"/>
    <w:rsid w:val="00463675"/>
    <w:rsid w:val="0046640A"/>
    <w:rsid w:val="00473A30"/>
    <w:rsid w:val="00493794"/>
    <w:rsid w:val="004C6B4A"/>
    <w:rsid w:val="004D1CD2"/>
    <w:rsid w:val="004F12D0"/>
    <w:rsid w:val="00511873"/>
    <w:rsid w:val="005149F1"/>
    <w:rsid w:val="0052073E"/>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CA9"/>
    <w:rsid w:val="006F2719"/>
    <w:rsid w:val="00701A28"/>
    <w:rsid w:val="00712F9F"/>
    <w:rsid w:val="0071621F"/>
    <w:rsid w:val="0072280D"/>
    <w:rsid w:val="007310C6"/>
    <w:rsid w:val="00734CB9"/>
    <w:rsid w:val="00742A17"/>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A20FB"/>
    <w:rsid w:val="008B2616"/>
    <w:rsid w:val="008B4528"/>
    <w:rsid w:val="008C43F2"/>
    <w:rsid w:val="008D098C"/>
    <w:rsid w:val="008E7763"/>
    <w:rsid w:val="008F2903"/>
    <w:rsid w:val="0090172D"/>
    <w:rsid w:val="00904A3F"/>
    <w:rsid w:val="00910C2C"/>
    <w:rsid w:val="0091710C"/>
    <w:rsid w:val="00923E7C"/>
    <w:rsid w:val="009252F6"/>
    <w:rsid w:val="00942813"/>
    <w:rsid w:val="00952403"/>
    <w:rsid w:val="00954F3E"/>
    <w:rsid w:val="00956536"/>
    <w:rsid w:val="00970791"/>
    <w:rsid w:val="009721D2"/>
    <w:rsid w:val="00993DD9"/>
    <w:rsid w:val="009968D6"/>
    <w:rsid w:val="009A378E"/>
    <w:rsid w:val="009A5B44"/>
    <w:rsid w:val="009B13B7"/>
    <w:rsid w:val="009C5270"/>
    <w:rsid w:val="009C6B80"/>
    <w:rsid w:val="009E4A8B"/>
    <w:rsid w:val="009F2F96"/>
    <w:rsid w:val="009F38A1"/>
    <w:rsid w:val="009F4AC9"/>
    <w:rsid w:val="009F7C4C"/>
    <w:rsid w:val="00A05506"/>
    <w:rsid w:val="00A37D21"/>
    <w:rsid w:val="00A42568"/>
    <w:rsid w:val="00A65A3A"/>
    <w:rsid w:val="00A66119"/>
    <w:rsid w:val="00A72E62"/>
    <w:rsid w:val="00A82A19"/>
    <w:rsid w:val="00A85213"/>
    <w:rsid w:val="00A86B6A"/>
    <w:rsid w:val="00A87F2E"/>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23A35"/>
    <w:rsid w:val="00C30744"/>
    <w:rsid w:val="00C36D63"/>
    <w:rsid w:val="00C468CC"/>
    <w:rsid w:val="00C579C9"/>
    <w:rsid w:val="00C6528C"/>
    <w:rsid w:val="00C67A64"/>
    <w:rsid w:val="00C76DD2"/>
    <w:rsid w:val="00C82B7A"/>
    <w:rsid w:val="00C83AE2"/>
    <w:rsid w:val="00C915BD"/>
    <w:rsid w:val="00C9197C"/>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71E4"/>
    <w:rsid w:val="00E918E8"/>
    <w:rsid w:val="00EA0EC5"/>
    <w:rsid w:val="00EA50B4"/>
    <w:rsid w:val="00EB054C"/>
    <w:rsid w:val="00EC6912"/>
    <w:rsid w:val="00EC6F07"/>
    <w:rsid w:val="00EC7F93"/>
    <w:rsid w:val="00EE5311"/>
    <w:rsid w:val="00F043A5"/>
    <w:rsid w:val="00F0630D"/>
    <w:rsid w:val="00F10887"/>
    <w:rsid w:val="00F23D6C"/>
    <w:rsid w:val="00F37E51"/>
    <w:rsid w:val="00F55C58"/>
    <w:rsid w:val="00F84449"/>
    <w:rsid w:val="00F9253F"/>
    <w:rsid w:val="00F94740"/>
    <w:rsid w:val="00FA0DCE"/>
    <w:rsid w:val="00FA191A"/>
    <w:rsid w:val="00FA21EA"/>
    <w:rsid w:val="00FB07B9"/>
    <w:rsid w:val="00FB1602"/>
    <w:rsid w:val="00FB210E"/>
    <w:rsid w:val="00FB297A"/>
    <w:rsid w:val="00FB44E7"/>
    <w:rsid w:val="00FC3DD5"/>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0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uiPriority w:val="99"/>
    <w:rPr>
      <w:lang w:val="en-GB" w:eastAsia="en-US"/>
    </w:rPr>
  </w:style>
  <w:style w:type="character" w:customStyle="1" w:styleId="ac">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eastAsia="en-US"/>
    </w:rPr>
  </w:style>
  <w:style w:type="paragraph" w:customStyle="1" w:styleId="af3">
    <w:name w:val="??"/>
    <w:pPr>
      <w:widowControl w:val="0"/>
    </w:pPr>
    <w:rPr>
      <w:lang w:eastAsia="en-US"/>
    </w:rPr>
  </w:style>
  <w:style w:type="paragraph" w:styleId="ad">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表段落11"/>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661381"/>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sid w:val="00661381"/>
    <w:rPr>
      <w:rFonts w:ascii="Arial" w:hAnsi="Arial"/>
      <w:lang w:eastAsia="en-US"/>
    </w:rPr>
  </w:style>
  <w:style w:type="character" w:customStyle="1" w:styleId="B2Char">
    <w:name w:val="B2 Char"/>
    <w:link w:val="B2"/>
    <w:qFormat/>
    <w:rsid w:val="00661381"/>
    <w:rPr>
      <w:rFonts w:eastAsia="Times New Roman"/>
      <w:lang w:eastAsia="en-GB"/>
    </w:rPr>
  </w:style>
  <w:style w:type="paragraph" w:customStyle="1" w:styleId="B3">
    <w:name w:val="B3"/>
    <w:basedOn w:val="30"/>
    <w:link w:val="B3Char2"/>
    <w:qFormat/>
    <w:rsid w:val="00661381"/>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sid w:val="00661381"/>
    <w:rPr>
      <w:rFonts w:eastAsia="Times New Roman"/>
      <w:lang w:eastAsia="ja-JP"/>
    </w:rPr>
  </w:style>
  <w:style w:type="paragraph" w:customStyle="1" w:styleId="B4">
    <w:name w:val="B4"/>
    <w:basedOn w:val="40"/>
    <w:link w:val="B4Char"/>
    <w:rsid w:val="00661381"/>
    <w:pPr>
      <w:spacing w:after="180"/>
      <w:ind w:left="1418" w:hanging="284"/>
      <w:contextualSpacing w:val="0"/>
    </w:pPr>
  </w:style>
  <w:style w:type="character" w:customStyle="1" w:styleId="B4Char">
    <w:name w:val="B4 Char"/>
    <w:link w:val="B4"/>
    <w:qFormat/>
    <w:rsid w:val="00661381"/>
    <w:rPr>
      <w:lang w:eastAsia="en-US"/>
    </w:rPr>
  </w:style>
  <w:style w:type="paragraph" w:styleId="21">
    <w:name w:val="List 2"/>
    <w:basedOn w:val="a"/>
    <w:uiPriority w:val="99"/>
    <w:semiHidden/>
    <w:unhideWhenUsed/>
    <w:rsid w:val="00661381"/>
    <w:pPr>
      <w:ind w:left="566" w:hanging="283"/>
      <w:contextualSpacing/>
    </w:pPr>
  </w:style>
  <w:style w:type="paragraph" w:styleId="30">
    <w:name w:val="List 3"/>
    <w:basedOn w:val="a"/>
    <w:uiPriority w:val="99"/>
    <w:semiHidden/>
    <w:unhideWhenUsed/>
    <w:rsid w:val="00661381"/>
    <w:pPr>
      <w:ind w:left="849" w:hanging="283"/>
      <w:contextualSpacing/>
    </w:pPr>
  </w:style>
  <w:style w:type="paragraph" w:styleId="40">
    <w:name w:val="List 4"/>
    <w:basedOn w:val="a"/>
    <w:uiPriority w:val="99"/>
    <w:semiHidden/>
    <w:unhideWhenUsed/>
    <w:rsid w:val="00661381"/>
    <w:pPr>
      <w:ind w:left="1132" w:hanging="283"/>
      <w:contextualSpacing/>
    </w:pPr>
  </w:style>
  <w:style w:type="character" w:customStyle="1" w:styleId="B1Char">
    <w:name w:val="B1 Char"/>
    <w:qFormat/>
    <w:rsid w:val="00661381"/>
    <w:rPr>
      <w:rFonts w:eastAsia="Times New Roman"/>
    </w:rPr>
  </w:style>
  <w:style w:type="character" w:customStyle="1" w:styleId="TALCar">
    <w:name w:val="TAL Car"/>
    <w:basedOn w:val="a0"/>
    <w:link w:val="TAL"/>
    <w:locked/>
    <w:rsid w:val="00D93F0F"/>
    <w:rPr>
      <w:rFonts w:ascii="Arial" w:hAnsi="Arial" w:cs="Arial"/>
      <w:lang w:eastAsia="en-US"/>
    </w:rPr>
  </w:style>
  <w:style w:type="paragraph" w:customStyle="1" w:styleId="TAL">
    <w:name w:val="TAL"/>
    <w:basedOn w:val="a"/>
    <w:link w:val="TALCar"/>
    <w:rsid w:val="00D93F0F"/>
    <w:pPr>
      <w:keepNext/>
      <w:spacing w:line="252" w:lineRule="auto"/>
    </w:pPr>
    <w:rPr>
      <w:rFonts w:ascii="Arial" w:hAnsi="Arial" w:cs="Arial"/>
      <w:lang w:val="en-US"/>
    </w:rPr>
  </w:style>
  <w:style w:type="paragraph" w:customStyle="1" w:styleId="TAN">
    <w:name w:val="TAN"/>
    <w:basedOn w:val="a"/>
    <w:rsid w:val="00D93F0F"/>
    <w:pPr>
      <w:keepNext/>
      <w:spacing w:line="252" w:lineRule="auto"/>
      <w:ind w:left="851" w:hanging="851"/>
    </w:pPr>
    <w:rPr>
      <w:rFonts w:ascii="Arial" w:hAnsi="Arial" w:cs="Arial"/>
      <w:sz w:val="18"/>
      <w:szCs w:val="18"/>
      <w:lang w:val="en-US"/>
    </w:rPr>
  </w:style>
  <w:style w:type="character" w:customStyle="1" w:styleId="B1Char1">
    <w:name w:val="B1 Char1"/>
    <w:basedOn w:val="a0"/>
    <w:locked/>
    <w:rsid w:val="00D93F0F"/>
    <w:rPr>
      <w:rFonts w:ascii="宋体" w:hAnsi="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058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2021-05-22T10:38:00Z</dcterms:created>
  <dcterms:modified xsi:type="dcterms:W3CDTF">2021-05-22T10:50:00Z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