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D87CF0"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D87CF0"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435573">
            <w:pPr>
              <w:rPr>
                <w:rFonts w:ascii="Arial" w:hAnsi="Arial" w:cs="Arial"/>
              </w:rPr>
            </w:pPr>
            <w:hyperlink r:id="rId15" w:history="1">
              <w:r w:rsidR="00627C81" w:rsidRPr="000C2920">
                <w:rPr>
                  <w:rStyle w:val="Hyperlink"/>
                  <w:rFonts w:ascii="Arial" w:hAnsi="Arial" w:cs="Arial"/>
                </w:rPr>
                <w:t>brian.alexander.martin@huawei.com</w:t>
              </w:r>
            </w:hyperlink>
          </w:p>
        </w:tc>
      </w:tr>
      <w:tr w:rsidR="00627C81"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r>
              <w:rPr>
                <w:rFonts w:ascii="Arial" w:hAnsi="Arial" w:cs="Arial"/>
              </w:rPr>
              <w:t>Mouaffac (</w:t>
            </w:r>
            <w:hyperlink r:id="rId16" w:history="1">
              <w:r w:rsidRPr="002A11E4">
                <w:rPr>
                  <w:rStyle w:val="Hyperlink"/>
                  <w:rFonts w:ascii="Arial" w:hAnsi="Arial" w:cs="Arial"/>
                </w:rPr>
                <w:t>mambriss@qti.qualcomm.com</w:t>
              </w:r>
            </w:hyperlink>
            <w:r>
              <w:rPr>
                <w:rFonts w:ascii="Arial" w:hAnsi="Arial" w:cs="Arial"/>
              </w:rPr>
              <w:t xml:space="preserve">) </w:t>
            </w: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435573" w:rsidP="00AD0407">
      <w:pPr>
        <w:pStyle w:val="Doc-title"/>
      </w:pPr>
      <w:hyperlink r:id="rId17"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8"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lastRenderedPageBreak/>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435573" w:rsidP="003740AE">
      <w:pPr>
        <w:pStyle w:val="Doc-title"/>
      </w:pPr>
      <w:hyperlink r:id="rId19"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435573" w:rsidP="00E1006E">
      <w:pPr>
        <w:rPr>
          <w:rFonts w:ascii="Arial" w:eastAsia="MS Mincho" w:hAnsi="Arial"/>
          <w:noProof/>
          <w:sz w:val="20"/>
        </w:rPr>
      </w:pPr>
      <w:hyperlink r:id="rId20"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21"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lastRenderedPageBreak/>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Another point to consider is that RAN2 probably cannot decide this on its own. The referenceTimeInfo IE in 38.331 is linked with the SFN timing where the time field indicates the time at the ending boundary of the system frame indicated by referenceSFN.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w:t>
            </w:r>
            <w:r w:rsidRPr="004270D0">
              <w:rPr>
                <w:rFonts w:ascii="Arial" w:hAnsi="Arial" w:cs="Arial"/>
                <w:sz w:val="20"/>
                <w:szCs w:val="20"/>
                <w:lang w:val="de-DE"/>
              </w:rPr>
              <w:lastRenderedPageBreak/>
              <w:t>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Correction on failureType in FailureReportSCG-EUTRA and scgFailureInfoEUTRA</w:t>
      </w:r>
    </w:p>
    <w:p w14:paraId="2763D59C" w14:textId="7ECBAAD9" w:rsidR="003740AE" w:rsidRPr="00260650" w:rsidRDefault="00435573" w:rsidP="003740AE">
      <w:pPr>
        <w:pStyle w:val="Doc-title"/>
      </w:pPr>
      <w:hyperlink r:id="rId22"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lastRenderedPageBreak/>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BodyText"/>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3"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Correction to scgFailureInfoEUTRA and FailureReportSCG-EUTRA</w:t>
      </w:r>
    </w:p>
    <w:p w14:paraId="66FD61E5" w14:textId="4CA10D0A" w:rsidR="003740AE" w:rsidRDefault="00435573" w:rsidP="003740AE">
      <w:pPr>
        <w:pStyle w:val="Doc-title"/>
      </w:pPr>
      <w:hyperlink r:id="rId24"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r w:rsidRPr="00476F7D">
        <w:t>scgFailureInfoEUTR</w:t>
      </w:r>
      <w:r>
        <w:t xml:space="preserve">A IE within the </w:t>
      </w:r>
      <w:r w:rsidRPr="00E22C95">
        <w:t>CG-ConfigInfo-v1610-IEs</w:t>
      </w:r>
      <w:r>
        <w:t xml:space="preserve"> and the </w:t>
      </w:r>
      <w:r w:rsidRPr="00E22C95">
        <w:rPr>
          <w:rFonts w:eastAsia="Malgun Gothic"/>
        </w:rPr>
        <w:t xml:space="preserve">FailureReportSCG-EUTRA </w:t>
      </w:r>
      <w:r>
        <w:rPr>
          <w:rFonts w:eastAsia="Malgun Gothic"/>
        </w:rPr>
        <w:t xml:space="preserve">IE within the </w:t>
      </w:r>
      <w:r w:rsidRPr="00E22C95">
        <w:rPr>
          <w:rFonts w:eastAsia="Malgun Gothic"/>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5"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435573" w:rsidP="003740AE">
      <w:pPr>
        <w:pStyle w:val="Doc-title"/>
      </w:pPr>
      <w:hyperlink r:id="rId26"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w:t>
            </w:r>
            <w:r w:rsidRPr="000E6B2E">
              <w:rPr>
                <w:rFonts w:eastAsia="Malgun Gothic"/>
                <w:highlight w:val="yellow"/>
                <w:lang w:eastAsia="ko-KR"/>
              </w:rPr>
              <w:lastRenderedPageBreak/>
              <w:t xml:space="preserve">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lastRenderedPageBreak/>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w:t>
            </w:r>
            <w:r w:rsidRPr="000E6B2E">
              <w:rPr>
                <w:rFonts w:cs="Arial"/>
                <w:i/>
                <w:highlight w:val="green"/>
              </w:rPr>
              <w:lastRenderedPageBreak/>
              <w:t>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lastRenderedPageBreak/>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7"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Correction on UTRA Capabilty forwarding in HO preparation</w:t>
      </w:r>
    </w:p>
    <w:p w14:paraId="0A75405A" w14:textId="1164CEED" w:rsidR="009E38CB" w:rsidRPr="00260650" w:rsidRDefault="00435573" w:rsidP="009E38CB">
      <w:pPr>
        <w:pStyle w:val="Doc-title"/>
      </w:pPr>
      <w:hyperlink r:id="rId28"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9"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30"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435573" w:rsidP="009E38CB">
      <w:pPr>
        <w:pStyle w:val="Doc-title"/>
      </w:pPr>
      <w:hyperlink r:id="rId31"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2"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r w:rsidRPr="00C915E2">
              <w:rPr>
                <w:rFonts w:ascii="Arial" w:hAnsi="Arial" w:cs="Arial"/>
              </w:rPr>
              <w:t>uac-BarringTime</w:t>
            </w:r>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w:t>
            </w:r>
            <w:r w:rsidRPr="00A404E5">
              <w:rPr>
                <w:rFonts w:ascii="Arial" w:hAnsi="Arial" w:cs="Arial"/>
                <w:lang w:val="de-DE"/>
              </w:rPr>
              <w:lastRenderedPageBreak/>
              <w:t xml:space="preserve">(change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lastRenderedPageBreak/>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435573" w:rsidP="003463E2">
      <w:pPr>
        <w:pStyle w:val="Doc-title"/>
      </w:pPr>
      <w:hyperlink r:id="rId33"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The main motivation in LTE for introducing the ue-ConfigRelease was mainly because there were network implementation not using any ASN.1 decoder at the target eNB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It is not clear how the ue-ConfigRelease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The ue-ConfigRelease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r w:rsidRPr="003463E2">
        <w:rPr>
          <w:i/>
          <w:iCs/>
        </w:rPr>
        <w:t>ue-ConfigRelease</w:t>
      </w:r>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w:t>
            </w:r>
            <w:r w:rsidR="001013B2">
              <w:rPr>
                <w:rFonts w:ascii="Arial" w:hAnsi="Arial" w:cs="Arial"/>
              </w:rPr>
              <w:lastRenderedPageBreak/>
              <w:t xml:space="preserve">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435573" w:rsidRDefault="00435573">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BBA7E" w14:textId="77777777" w:rsidR="00435573" w:rsidRDefault="00435573">
      <w:r>
        <w:separator/>
      </w:r>
    </w:p>
  </w:endnote>
  <w:endnote w:type="continuationSeparator" w:id="0">
    <w:p w14:paraId="0BA96DD0" w14:textId="77777777" w:rsidR="00435573" w:rsidRDefault="0043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2C68" w14:textId="77777777" w:rsidR="00435573" w:rsidRDefault="0043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435573" w:rsidRDefault="004355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84BB" w14:textId="77777777" w:rsidR="00435573" w:rsidRDefault="0043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7671" w14:textId="77777777" w:rsidR="00435573" w:rsidRDefault="00435573">
      <w:r>
        <w:separator/>
      </w:r>
    </w:p>
  </w:footnote>
  <w:footnote w:type="continuationSeparator" w:id="0">
    <w:p w14:paraId="486DF9BE" w14:textId="77777777" w:rsidR="00435573" w:rsidRDefault="0043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435573" w:rsidRDefault="004355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2716" w14:textId="77777777" w:rsidR="00435573" w:rsidRDefault="00435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C8C6" w14:textId="77777777" w:rsidR="00435573" w:rsidRDefault="0043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styleId="UnresolvedMention">
    <w:name w:val="Unresolved Mention"/>
    <w:basedOn w:val="DefaultParagraphFont"/>
    <w:uiPriority w:val="99"/>
    <w:semiHidden/>
    <w:unhideWhenUsed/>
    <w:rsid w:val="0045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3gpp.org/ftp/tsg_ran/WG2_RL2/TSGR2_113bis-e/Docs/R2-2102714.zip" TargetMode="External"/><Relationship Id="rId26" Type="http://schemas.openxmlformats.org/officeDocument/2006/relationships/hyperlink" Target="http://www.3gpp.org/ftp/tsg_ran/WG2_RL2/TSGR2_113bis-e/Docs/R2-2104205.zip" TargetMode="External"/><Relationship Id="rId39" Type="http://schemas.openxmlformats.org/officeDocument/2006/relationships/footer" Target="footer3.xml"/><Relationship Id="rId21" Type="http://schemas.openxmlformats.org/officeDocument/2006/relationships/hyperlink" Target="http://www.3gpp.org/ftp/tsg_ran/WG2_RL2/TSGR2_113bis-e/Docs/R2-2104506.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http://www.3gpp.org/ftp/tsg_ran/WG2_RL2/TSGR2_113bis-e/Docs/R2-2104506.zip" TargetMode="External"/><Relationship Id="rId29" Type="http://schemas.openxmlformats.org/officeDocument/2006/relationships/hyperlink" Target="http://www.3gpp.org/ftp/tsg_ran/WG2_RL2/TSGR2_113-e/Docs/R2-2102046.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936.zip" TargetMode="External"/><Relationship Id="rId32" Type="http://schemas.openxmlformats.org/officeDocument/2006/relationships/hyperlink" Target="http://www.3gpp.org/ftp/tsg_ran/WG2_RL2/TSGR2_113bis-e/Docs/R2-2103645.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ian.alexander.martin@huawei.com" TargetMode="External"/><Relationship Id="rId23" Type="http://schemas.openxmlformats.org/officeDocument/2006/relationships/hyperlink" Target="http://www.3gpp.org/ftp/tsg_ran/WG2_RL2/TSGR2_113bis-e/Docs/R2-2103929.zip" TargetMode="External"/><Relationship Id="rId28" Type="http://schemas.openxmlformats.org/officeDocument/2006/relationships/hyperlink" Target="http://www.3gpp.org/ftp/tsg_ran/WG2_RL2/TSGR2_113bis-e/Docs/R2-2103851.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3bis-e/Docs/R2-2103582.zip" TargetMode="External"/><Relationship Id="rId31" Type="http://schemas.openxmlformats.org/officeDocument/2006/relationships/hyperlink" Target="http://www.3gpp.org/ftp/tsg_ran/WG2_RL2/TSGR2_113bis-e/Docs/R2-21036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29.zip" TargetMode="External"/><Relationship Id="rId27" Type="http://schemas.openxmlformats.org/officeDocument/2006/relationships/hyperlink" Target="http://www.3gpp.org/ftp/tsg_ran/WG2_RL2/TSGR2_113bis-e/Docs/R2-2104205.zip" TargetMode="External"/><Relationship Id="rId30" Type="http://schemas.openxmlformats.org/officeDocument/2006/relationships/hyperlink" Target="http://www.3gpp.org/ftp/tsg_ran/WG2_RL2/TSGR2_113bis-e/Docs/R2-2103851.zip"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3gpp.org/ftp/tsg_ran/WG2_RL2/TSGR2_113bis-e/Docs/R2-2102714.zip" TargetMode="External"/><Relationship Id="rId25" Type="http://schemas.openxmlformats.org/officeDocument/2006/relationships/hyperlink" Target="http://www.3gpp.org/ftp/tsg_ran/WG2_RL2/TSGR2_113bis-e/Docs/R2-2103936.zip" TargetMode="External"/><Relationship Id="rId33" Type="http://schemas.openxmlformats.org/officeDocument/2006/relationships/hyperlink" Target="http://www.3gpp.org/ftp/tsg_ran/WG2_RL2/TSGR2_113bis-e/Docs/R2-2103661.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76D2E5-CC79-4964-BDE2-ADB2934D8B49}">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26726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18</cp:revision>
  <cp:lastPrinted>2008-01-31T07:09:00Z</cp:lastPrinted>
  <dcterms:created xsi:type="dcterms:W3CDTF">2021-04-14T00:28:00Z</dcterms:created>
  <dcterms:modified xsi:type="dcterms:W3CDTF">2021-04-14T07:26:00Z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