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r>
      <w:proofErr w:type="gramStart"/>
      <w:r w:rsidRPr="00260650">
        <w:t>Phase 1,</w:t>
      </w:r>
      <w:proofErr w:type="gramEnd"/>
      <w:r w:rsidRPr="00260650">
        <w:t xml:space="preserve">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 xml:space="preserve">April </w:t>
      </w:r>
      <w:proofErr w:type="gramStart"/>
      <w:r w:rsidR="00DC0D8D">
        <w:rPr>
          <w:b/>
          <w:color w:val="FF0000"/>
        </w:rPr>
        <w:t>14</w:t>
      </w:r>
      <w:proofErr w:type="gramEnd"/>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proofErr w:type="gramStart"/>
      <w:r w:rsidR="00DC0D8D">
        <w:rPr>
          <w:b/>
          <w:color w:val="00B050"/>
        </w:rPr>
        <w:t>19</w:t>
      </w:r>
      <w:proofErr w:type="gramEnd"/>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BodyText"/>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D87CF0"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D87CF0"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DB39E9">
            <w:pPr>
              <w:rPr>
                <w:rFonts w:ascii="Arial" w:hAnsi="Arial" w:cs="Arial"/>
              </w:rPr>
            </w:pPr>
            <w:hyperlink r:id="rId15" w:history="1">
              <w:r w:rsidR="00627C81" w:rsidRPr="000C2920">
                <w:rPr>
                  <w:rStyle w:val="Hyperlink"/>
                  <w:rFonts w:ascii="Arial" w:hAnsi="Arial" w:cs="Arial"/>
                </w:rPr>
                <w:t>brian.alexander.martin@huawei.com</w:t>
              </w:r>
            </w:hyperlink>
          </w:p>
        </w:tc>
      </w:tr>
      <w:tr w:rsidR="00627C81"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27CCC877" w:rsidR="009A28A3" w:rsidRDefault="004511BD">
            <w:pPr>
              <w:rPr>
                <w:rFonts w:ascii="Arial" w:hAnsi="Arial" w:cs="Arial"/>
              </w:rPr>
            </w:pPr>
            <w:r>
              <w:rPr>
                <w:rFonts w:ascii="Arial" w:hAnsi="Arial" w:cs="Arial"/>
              </w:rPr>
              <w:t>Qcom</w:t>
            </w:r>
          </w:p>
        </w:tc>
        <w:tc>
          <w:tcPr>
            <w:tcW w:w="6259" w:type="dxa"/>
          </w:tcPr>
          <w:p w14:paraId="64484103" w14:textId="41C100E3" w:rsidR="009A28A3" w:rsidRDefault="004511BD">
            <w:pPr>
              <w:rPr>
                <w:rFonts w:ascii="Arial" w:hAnsi="Arial" w:cs="Arial"/>
              </w:rPr>
            </w:pPr>
            <w:r>
              <w:rPr>
                <w:rFonts w:ascii="Arial" w:hAnsi="Arial" w:cs="Arial"/>
              </w:rPr>
              <w:t>Mouaffac (</w:t>
            </w:r>
            <w:r>
              <w:rPr>
                <w:rFonts w:ascii="Arial" w:hAnsi="Arial" w:cs="Arial"/>
              </w:rPr>
              <w:fldChar w:fldCharType="begin"/>
            </w:r>
            <w:r>
              <w:rPr>
                <w:rFonts w:ascii="Arial" w:hAnsi="Arial" w:cs="Arial"/>
              </w:rPr>
              <w:instrText xml:space="preserve"> HYPERLINK "mailto:mambriss@qti.qualcomm.com" </w:instrText>
            </w:r>
            <w:r>
              <w:rPr>
                <w:rFonts w:ascii="Arial" w:hAnsi="Arial" w:cs="Arial"/>
              </w:rPr>
              <w:fldChar w:fldCharType="separate"/>
            </w:r>
            <w:r w:rsidRPr="002A11E4">
              <w:rPr>
                <w:rStyle w:val="Hyperlink"/>
                <w:rFonts w:ascii="Arial" w:hAnsi="Arial" w:cs="Arial"/>
              </w:rPr>
              <w:t>mambriss@qti.qualcomm.com</w:t>
            </w:r>
            <w:r>
              <w:rPr>
                <w:rFonts w:ascii="Arial" w:hAnsi="Arial" w:cs="Arial"/>
              </w:rPr>
              <w:fldChar w:fldCharType="end"/>
            </w:r>
            <w:r>
              <w:rPr>
                <w:rFonts w:ascii="Arial" w:hAnsi="Arial" w:cs="Arial"/>
              </w:rPr>
              <w:t xml:space="preserve">) </w:t>
            </w: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DB39E9" w:rsidP="00AD0407">
      <w:pPr>
        <w:pStyle w:val="Doc-title"/>
      </w:pPr>
      <w:hyperlink r:id="rId16"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7"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BodyText"/>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lastRenderedPageBreak/>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r w:rsidR="003204A4" w14:paraId="41F925EE" w14:textId="77777777" w:rsidTr="005116F8">
        <w:trPr>
          <w:trHeight w:val="417"/>
        </w:trPr>
        <w:tc>
          <w:tcPr>
            <w:tcW w:w="1068" w:type="pct"/>
          </w:tcPr>
          <w:p w14:paraId="711DC077" w14:textId="55B99948" w:rsidR="003204A4" w:rsidRDefault="003204A4" w:rsidP="003204A4">
            <w:pPr>
              <w:rPr>
                <w:rFonts w:ascii="Arial" w:hAnsi="Arial" w:cs="Arial"/>
              </w:rPr>
            </w:pPr>
            <w:r>
              <w:rPr>
                <w:rFonts w:ascii="Arial" w:hAnsi="Arial" w:cs="Arial"/>
              </w:rPr>
              <w:t>Qcom</w:t>
            </w:r>
          </w:p>
        </w:tc>
        <w:tc>
          <w:tcPr>
            <w:tcW w:w="843" w:type="pct"/>
          </w:tcPr>
          <w:p w14:paraId="1D6D96C9" w14:textId="4C3A3C84" w:rsidR="003204A4" w:rsidRDefault="003204A4" w:rsidP="003204A4">
            <w:pPr>
              <w:rPr>
                <w:rFonts w:ascii="Arial" w:hAnsi="Arial" w:cs="Arial"/>
              </w:rPr>
            </w:pPr>
            <w:r>
              <w:rPr>
                <w:rFonts w:ascii="Arial" w:hAnsi="Arial" w:cs="Arial"/>
              </w:rPr>
              <w:t>No</w:t>
            </w:r>
          </w:p>
        </w:tc>
        <w:tc>
          <w:tcPr>
            <w:tcW w:w="3089" w:type="pct"/>
          </w:tcPr>
          <w:p w14:paraId="71307A3A" w14:textId="77777777" w:rsidR="003204A4" w:rsidRPr="00D76B5A" w:rsidRDefault="003204A4" w:rsidP="003204A4">
            <w:pPr>
              <w:rPr>
                <w:rFonts w:ascii="Arial" w:hAnsi="Arial" w:cs="Arial"/>
              </w:rPr>
            </w:pPr>
            <w:r>
              <w:rPr>
                <w:rFonts w:ascii="Arial" w:hAnsi="Arial" w:cs="Arial"/>
              </w:rPr>
              <w:t>We don’t think</w:t>
            </w:r>
            <w:r w:rsidRPr="00D76B5A">
              <w:rPr>
                <w:rFonts w:ascii="Arial" w:hAnsi="Arial" w:cs="Arial"/>
              </w:rPr>
              <w:t xml:space="preserve"> </w:t>
            </w:r>
            <w:r>
              <w:rPr>
                <w:rFonts w:ascii="Arial" w:hAnsi="Arial" w:cs="Arial"/>
              </w:rPr>
              <w:t xml:space="preserve">this should </w:t>
            </w:r>
            <w:r w:rsidRPr="00D76B5A">
              <w:rPr>
                <w:rFonts w:ascii="Arial" w:hAnsi="Arial" w:cs="Arial"/>
              </w:rPr>
              <w:t>be a requirement in spec:</w:t>
            </w:r>
          </w:p>
          <w:p w14:paraId="6BCE00F3" w14:textId="77777777" w:rsidR="003204A4" w:rsidRPr="00FE43A2" w:rsidRDefault="003204A4" w:rsidP="003204A4">
            <w:pPr>
              <w:pStyle w:val="ListParagraph"/>
              <w:numPr>
                <w:ilvl w:val="0"/>
                <w:numId w:val="41"/>
              </w:numPr>
              <w:rPr>
                <w:rFonts w:ascii="Arial" w:hAnsi="Arial" w:cs="Arial"/>
              </w:rPr>
            </w:pPr>
            <w:r w:rsidRPr="00FE43A2">
              <w:rPr>
                <w:rFonts w:ascii="Arial" w:hAnsi="Arial" w:cs="Arial"/>
                <w:lang w:val="de-DE"/>
              </w:rPr>
              <w:t>Different Infras may behave differently. Do we have unified Infra design here? Otherwise, the UE can waste power by keeping acquiring SIB1.</w:t>
            </w:r>
          </w:p>
          <w:p w14:paraId="103E52BF" w14:textId="59074A1C" w:rsidR="003204A4" w:rsidRPr="004F450A" w:rsidRDefault="003204A4" w:rsidP="004F450A">
            <w:pPr>
              <w:pStyle w:val="ListParagraph"/>
              <w:numPr>
                <w:ilvl w:val="0"/>
                <w:numId w:val="41"/>
              </w:numPr>
              <w:rPr>
                <w:rFonts w:ascii="Arial" w:hAnsi="Arial" w:cs="Arial"/>
                <w:lang w:val="de-DE"/>
              </w:rPr>
            </w:pPr>
            <w:r w:rsidRPr="004F450A">
              <w:rPr>
                <w:rFonts w:ascii="Arial" w:hAnsi="Arial" w:cs="Arial"/>
                <w:lang w:val="de-DE"/>
              </w:rPr>
              <w:t>If the concern is mainly PWS, it should be fine as network should send indication via paging first for PWS.</w:t>
            </w: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DB39E9" w:rsidP="003740AE">
      <w:pPr>
        <w:pStyle w:val="Doc-title"/>
      </w:pPr>
      <w:hyperlink r:id="rId18"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DB39E9" w:rsidP="00E1006E">
      <w:pPr>
        <w:rPr>
          <w:rFonts w:ascii="Arial" w:eastAsia="MS Mincho" w:hAnsi="Arial"/>
          <w:noProof/>
          <w:sz w:val="20"/>
        </w:rPr>
      </w:pPr>
      <w:hyperlink r:id="rId19"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gNB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w:t>
      </w:r>
      <w:proofErr w:type="gramStart"/>
      <w:r w:rsidRPr="00E1006E">
        <w:rPr>
          <w:rFonts w:ascii="Arial" w:hAnsi="Arial"/>
          <w:i/>
          <w:iCs/>
          <w:sz w:val="20"/>
          <w:szCs w:val="20"/>
          <w:lang w:eastAsia="zh-CN"/>
        </w:rPr>
        <w:t xml:space="preserve">one or two </w:t>
      </w:r>
      <w:proofErr w:type="spellStart"/>
      <w:r w:rsidRPr="00E1006E">
        <w:rPr>
          <w:rFonts w:ascii="Arial" w:hAnsi="Arial"/>
          <w:i/>
          <w:iCs/>
          <w:sz w:val="20"/>
          <w:szCs w:val="20"/>
          <w:lang w:eastAsia="zh-CN"/>
        </w:rPr>
        <w:t>hours</w:t>
      </w:r>
      <w:proofErr w:type="gramEnd"/>
      <w:r w:rsidRPr="00E1006E">
        <w:rPr>
          <w:rFonts w:ascii="Arial" w:hAnsi="Arial"/>
          <w:i/>
          <w:iCs/>
          <w:sz w:val="20"/>
          <w:szCs w:val="20"/>
          <w:lang w:eastAsia="zh-CN"/>
        </w:rPr>
        <w:t xml:space="preserve"> time</w:t>
      </w:r>
      <w:proofErr w:type="spellEnd"/>
      <w:r w:rsidRPr="00E1006E">
        <w:rPr>
          <w:rFonts w:ascii="Arial" w:hAnsi="Arial"/>
          <w:i/>
          <w:iCs/>
          <w:sz w:val="20"/>
          <w:szCs w:val="20"/>
          <w:lang w:eastAsia="zh-CN"/>
        </w:rPr>
        <w:t xml:space="preserv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20"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BodyText"/>
              <w:jc w:val="center"/>
              <w:rPr>
                <w:color w:val="000000" w:themeColor="text1"/>
              </w:rPr>
            </w:pPr>
            <w:r>
              <w:rPr>
                <w:color w:val="000000" w:themeColor="text1"/>
              </w:rPr>
              <w:t>Proposal x:</w:t>
            </w:r>
          </w:p>
          <w:p w14:paraId="01D2643D" w14:textId="75C83F1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BodyText"/>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lastRenderedPageBreak/>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F14D7F">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w:t>
            </w:r>
            <w:r w:rsidRPr="004270D0">
              <w:rPr>
                <w:rFonts w:ascii="Arial" w:hAnsi="Arial" w:cs="Arial"/>
                <w:sz w:val="20"/>
                <w:szCs w:val="20"/>
                <w:lang w:val="de-DE"/>
              </w:rPr>
              <w:lastRenderedPageBreak/>
              <w:t>leap second related information in R16 accurate reference time, e.g., when using local time type.</w:t>
            </w:r>
          </w:p>
          <w:p w14:paraId="3BBFDD90"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time information from Local on-site TSN GM clock. But the only missing part is leap second and DST awareness in UE side.</w:t>
            </w:r>
          </w:p>
          <w:p w14:paraId="02D925D2" w14:textId="04E1E9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DB39E9" w:rsidP="003740AE">
      <w:pPr>
        <w:pStyle w:val="Doc-title"/>
      </w:pPr>
      <w:hyperlink r:id="rId21"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lastRenderedPageBreak/>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w:t>
            </w:r>
            <w:proofErr w:type="gramStart"/>
            <w:r w:rsidRPr="006B1E18">
              <w:rPr>
                <w:i/>
              </w:rPr>
              <w:t>Expiry</w:t>
            </w:r>
            <w:r w:rsidRPr="006B1E18">
              <w:t>;</w:t>
            </w:r>
            <w:proofErr w:type="gramEnd"/>
          </w:p>
          <w:p w14:paraId="206E5FE9" w14:textId="77777777" w:rsidR="003740AE" w:rsidRPr="006B1E18" w:rsidRDefault="003740AE" w:rsidP="00F14D7F">
            <w:pPr>
              <w:spacing w:after="120"/>
              <w:ind w:left="568" w:hanging="284"/>
            </w:pPr>
            <w:r w:rsidRPr="006B1E18">
              <w:t>1&gt;</w:t>
            </w:r>
            <w:r w:rsidRPr="006B1E18">
              <w:tab/>
              <w:t xml:space="preserve">else if SCG failure is due to indication from SCG MAC that a </w:t>
            </w:r>
            <w:proofErr w:type="gramStart"/>
            <w:r w:rsidRPr="006B1E18">
              <w:t>random access</w:t>
            </w:r>
            <w:proofErr w:type="gramEnd"/>
            <w:r w:rsidRPr="006B1E18">
              <w:t xml:space="preserve">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proofErr w:type="gramStart"/>
            <w:r w:rsidRPr="006B1E18">
              <w:rPr>
                <w:i/>
              </w:rPr>
              <w:t>randomAccessProblem</w:t>
            </w:r>
            <w:proofErr w:type="spellEnd"/>
            <w:r w:rsidRPr="006B1E18">
              <w:t>;</w:t>
            </w:r>
            <w:proofErr w:type="gramEnd"/>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w:t>
            </w:r>
            <w:proofErr w:type="gramStart"/>
            <w:r w:rsidRPr="006B1E18">
              <w:rPr>
                <w:i/>
              </w:rPr>
              <w:t>MaxNumRetx</w:t>
            </w:r>
            <w:proofErr w:type="spellEnd"/>
            <w:r w:rsidRPr="006B1E18">
              <w:t>;</w:t>
            </w:r>
            <w:proofErr w:type="gramEnd"/>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w:t>
      </w:r>
      <w:proofErr w:type="gramStart"/>
      <w:r>
        <w:t>a</w:t>
      </w:r>
      <w:proofErr w:type="gramEnd"/>
      <w:r>
        <w:t xml:space="preserve"> LTE eNB, the SpCell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CG-ConfigInfo</w:t>
      </w:r>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CG-ConfigInfo</w:t>
      </w:r>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22"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BodyText"/>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CG-ConfigInfo.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lastRenderedPageBreak/>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r w:rsidR="006A6190" w14:paraId="2204DC54" w14:textId="77777777" w:rsidTr="005116F8">
        <w:trPr>
          <w:trHeight w:val="417"/>
        </w:trPr>
        <w:tc>
          <w:tcPr>
            <w:tcW w:w="1068" w:type="pct"/>
          </w:tcPr>
          <w:p w14:paraId="42B9A729" w14:textId="0611AC98" w:rsidR="006A6190" w:rsidRDefault="006A6190" w:rsidP="006A6190">
            <w:pPr>
              <w:rPr>
                <w:rFonts w:ascii="Arial" w:hAnsi="Arial" w:cs="Arial"/>
              </w:rPr>
            </w:pPr>
            <w:r>
              <w:rPr>
                <w:rFonts w:ascii="Arial" w:hAnsi="Arial" w:cs="Arial"/>
              </w:rPr>
              <w:t>Qcom</w:t>
            </w:r>
          </w:p>
        </w:tc>
        <w:tc>
          <w:tcPr>
            <w:tcW w:w="843" w:type="pct"/>
          </w:tcPr>
          <w:p w14:paraId="674EA7C9" w14:textId="6F16F664" w:rsidR="006A6190" w:rsidRDefault="006A6190" w:rsidP="006A6190">
            <w:pPr>
              <w:rPr>
                <w:rFonts w:ascii="Arial" w:hAnsi="Arial" w:cs="Arial"/>
              </w:rPr>
            </w:pPr>
            <w:r>
              <w:rPr>
                <w:rFonts w:ascii="Arial" w:hAnsi="Arial" w:cs="Arial"/>
              </w:rPr>
              <w:t>Yes</w:t>
            </w:r>
          </w:p>
        </w:tc>
        <w:tc>
          <w:tcPr>
            <w:tcW w:w="3089" w:type="pct"/>
          </w:tcPr>
          <w:p w14:paraId="4F87A655" w14:textId="77777777" w:rsidR="006A6190" w:rsidRDefault="006A6190" w:rsidP="006A6190">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DB39E9" w:rsidP="003740AE">
      <w:pPr>
        <w:pStyle w:val="Doc-title"/>
      </w:pPr>
      <w:hyperlink r:id="rId23"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4"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3B3D7B2B"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BodyText"/>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dummified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DB39E9" w:rsidP="003740AE">
      <w:pPr>
        <w:pStyle w:val="Doc-title"/>
      </w:pPr>
      <w:hyperlink r:id="rId25"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w:t>
      </w:r>
      <w:proofErr w:type="spellStart"/>
      <w:r w:rsidRPr="005D4CCD">
        <w:rPr>
          <w:rFonts w:hint="eastAsia"/>
          <w:lang w:val="fr-FR"/>
        </w:rPr>
        <w:t>agreed</w:t>
      </w:r>
      <w:proofErr w:type="spellEnd"/>
      <w:r w:rsidRPr="005D4CCD">
        <w:rPr>
          <w:rFonts w:hint="eastAsia"/>
          <w:lang w:val="fr-FR"/>
        </w:rPr>
        <w:t xml:space="preserve"> to </w:t>
      </w:r>
      <w:proofErr w:type="spellStart"/>
      <w:r w:rsidRPr="005D4CCD">
        <w:rPr>
          <w:rFonts w:hint="eastAsia"/>
          <w:lang w:val="fr-FR"/>
        </w:rPr>
        <w:t>add</w:t>
      </w:r>
      <w:proofErr w:type="spellEnd"/>
      <w:r w:rsidRPr="005D4CCD">
        <w:rPr>
          <w:rFonts w:hint="eastAsia"/>
          <w:lang w:val="fr-FR"/>
        </w:rPr>
        <w:t xml:space="preserve"> the </w:t>
      </w:r>
      <w:r w:rsidRPr="005D4CCD">
        <w:rPr>
          <w:rFonts w:hint="eastAsia"/>
          <w:i/>
          <w:lang w:val="fr-FR"/>
        </w:rPr>
        <w:t>TDD-UL-DL-</w:t>
      </w:r>
      <w:proofErr w:type="spellStart"/>
      <w:r w:rsidRPr="005D4CCD">
        <w:rPr>
          <w:rFonts w:hint="eastAsia"/>
          <w:i/>
          <w:lang w:val="fr-FR"/>
        </w:rPr>
        <w:t>ConfigurationCommon</w:t>
      </w:r>
      <w:proofErr w:type="spellEnd"/>
      <w:r w:rsidRPr="005D4CCD">
        <w:rPr>
          <w:rFonts w:hint="eastAsia"/>
          <w:lang w:val="fr-FR"/>
        </w:rPr>
        <w:t xml:space="preserve"> in the </w:t>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r w:rsidRPr="005D4CCD">
        <w:rPr>
          <w:rFonts w:hint="eastAsia"/>
          <w:lang w:val="fr-FR"/>
        </w:rPr>
        <w:t xml:space="preserve"> </w:t>
      </w:r>
      <w:proofErr w:type="spellStart"/>
      <w:r w:rsidRPr="005D4CCD">
        <w:rPr>
          <w:rFonts w:hint="eastAsia"/>
          <w:lang w:val="fr-FR"/>
        </w:rPr>
        <w:t>in</w:t>
      </w:r>
      <w:proofErr w:type="spellEnd"/>
      <w:r w:rsidRPr="005D4CCD">
        <w:rPr>
          <w:rFonts w:hint="eastAsia"/>
          <w:lang w:val="fr-FR"/>
        </w:rPr>
        <w:t xml:space="preserve"> 38.423 as </w:t>
      </w:r>
      <w:proofErr w:type="spellStart"/>
      <w:proofErr w:type="gramStart"/>
      <w:r w:rsidRPr="005D4CCD">
        <w:rPr>
          <w:rFonts w:hint="eastAsia"/>
          <w:lang w:val="fr-FR"/>
        </w:rPr>
        <w:t>following</w:t>
      </w:r>
      <w:proofErr w:type="spellEnd"/>
      <w:r w:rsidRPr="005D4CCD">
        <w:rPr>
          <w:rFonts w:hint="eastAsia"/>
          <w:lang w:val="fr-FR"/>
        </w:rPr>
        <w:t>:</w:t>
      </w:r>
      <w:proofErr w:type="gramEnd"/>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w:t>
            </w:r>
            <w:r w:rsidRPr="000E6B2E">
              <w:rPr>
                <w:rFonts w:eastAsia="Malgun Gothic"/>
                <w:highlight w:val="yellow"/>
                <w:lang w:eastAsia="ko-KR"/>
              </w:rPr>
              <w:lastRenderedPageBreak/>
              <w:t xml:space="preserve">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Malgun Gothic" w:cs="Arial"/>
              </w:rPr>
              <w:lastRenderedPageBreak/>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w:t>
            </w:r>
            <w:r w:rsidRPr="000E6B2E">
              <w:rPr>
                <w:rFonts w:cs="Arial"/>
                <w:i/>
                <w:highlight w:val="green"/>
              </w:rPr>
              <w:lastRenderedPageBreak/>
              <w:t>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Malgun Gothic" w:hint="eastAsia"/>
              </w:rPr>
              <w:lastRenderedPageBreak/>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6"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BodyText"/>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TDD-UL-DL-ConfigCommon</w:t>
            </w:r>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TDD-UL-DL-ConfigCommon.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r w:rsidR="009A39C4" w14:paraId="2A848469" w14:textId="77777777" w:rsidTr="005116F8">
        <w:trPr>
          <w:trHeight w:val="417"/>
        </w:trPr>
        <w:tc>
          <w:tcPr>
            <w:tcW w:w="1068" w:type="pct"/>
          </w:tcPr>
          <w:p w14:paraId="4F15CBDB" w14:textId="3125F545" w:rsidR="009A39C4" w:rsidRDefault="009A39C4" w:rsidP="009A39C4">
            <w:pPr>
              <w:rPr>
                <w:rFonts w:ascii="Arial" w:hAnsi="Arial" w:cs="Arial"/>
              </w:rPr>
            </w:pPr>
            <w:r>
              <w:rPr>
                <w:rFonts w:ascii="Arial" w:hAnsi="Arial" w:cs="Arial"/>
              </w:rPr>
              <w:t>Qcom</w:t>
            </w:r>
          </w:p>
        </w:tc>
        <w:tc>
          <w:tcPr>
            <w:tcW w:w="843" w:type="pct"/>
          </w:tcPr>
          <w:p w14:paraId="123A612F" w14:textId="183F15BC" w:rsidR="009A39C4" w:rsidRDefault="009A39C4" w:rsidP="009A39C4">
            <w:pPr>
              <w:rPr>
                <w:rFonts w:ascii="Arial" w:hAnsi="Arial" w:cs="Arial"/>
              </w:rPr>
            </w:pPr>
            <w:r>
              <w:rPr>
                <w:rFonts w:ascii="Arial" w:hAnsi="Arial" w:cs="Arial"/>
              </w:rPr>
              <w:t>No</w:t>
            </w:r>
          </w:p>
        </w:tc>
        <w:tc>
          <w:tcPr>
            <w:tcW w:w="3089" w:type="pct"/>
          </w:tcPr>
          <w:p w14:paraId="64AF0CA2" w14:textId="47319394" w:rsidR="009A39C4" w:rsidRDefault="009A39C4" w:rsidP="009A39C4">
            <w:pPr>
              <w:rPr>
                <w:rFonts w:ascii="Arial" w:hAnsi="Arial" w:cs="Arial"/>
              </w:rPr>
            </w:pPr>
            <w:r w:rsidRPr="005B4977">
              <w:rPr>
                <w:color w:val="000000"/>
              </w:rPr>
              <w:t xml:space="preserve">This change is not necessary. RAN3 just quotes the RAN2 IE </w:t>
            </w:r>
            <w:r w:rsidRPr="005B4977">
              <w:rPr>
                <w:i/>
                <w:iCs/>
                <w:color w:val="000000"/>
              </w:rPr>
              <w:t>TDD-UL-DL-ConfigurationCommon</w:t>
            </w:r>
            <w:r w:rsidRPr="005B4977">
              <w:rPr>
                <w:color w:val="000000"/>
              </w:rPr>
              <w:t>. It is not a new message.</w:t>
            </w: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DB39E9" w:rsidP="009E38CB">
      <w:pPr>
        <w:pStyle w:val="Doc-title"/>
      </w:pPr>
      <w:hyperlink r:id="rId27"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For NR to EUTRA case, the UTRA capability should be allowed to be forwarded to the target RAT in HO preparation and can be ignored by target eNB if received in case the target eNB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8"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9"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BodyText"/>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DB39E9" w:rsidP="009E38CB">
      <w:pPr>
        <w:pStyle w:val="Doc-title"/>
      </w:pPr>
      <w:hyperlink r:id="rId30"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31"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BodyText"/>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r w:rsidRPr="00C915E2">
              <w:rPr>
                <w:rFonts w:ascii="Arial" w:hAnsi="Arial" w:cs="Arial"/>
                <w:lang w:val="de-DE"/>
              </w:rPr>
              <w:t xml:space="preserve">We wonder about the change to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w:t>
            </w:r>
            <w:r w:rsidRPr="00A404E5">
              <w:rPr>
                <w:rFonts w:ascii="Arial" w:hAnsi="Arial" w:cs="Arial"/>
                <w:lang w:val="de-DE"/>
              </w:rPr>
              <w:lastRenderedPageBreak/>
              <w:t xml:space="preserve">(change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lastRenderedPageBreak/>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Heading2"/>
        <w:rPr>
          <w:lang w:eastAsia="en-GB"/>
        </w:rPr>
      </w:pPr>
      <w:r>
        <w:t>3.7</w:t>
      </w:r>
      <w:r>
        <w:tab/>
      </w:r>
      <w:r w:rsidRPr="00260650">
        <w:t>Introducing the UE config release in INM</w:t>
      </w:r>
    </w:p>
    <w:p w14:paraId="50BDA2F7" w14:textId="3E75380E" w:rsidR="003463E2" w:rsidRPr="00260650" w:rsidRDefault="00DB39E9" w:rsidP="003463E2">
      <w:pPr>
        <w:pStyle w:val="Doc-title"/>
      </w:pPr>
      <w:hyperlink r:id="rId32" w:history="1">
        <w:r w:rsidR="003463E2" w:rsidRPr="003463E2">
          <w:rPr>
            <w:rStyle w:val="Hyperlink"/>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eNB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proofErr w:type="spellStart"/>
      <w:r w:rsidRPr="003463E2">
        <w:rPr>
          <w:i/>
          <w:iCs/>
        </w:rPr>
        <w:t>ue-ConfigRelease</w:t>
      </w:r>
      <w:proofErr w:type="spellEnd"/>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F14D7F">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BodyText"/>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2" w:name="_In-sequence_SDU_delivery"/>
      <w:bookmarkEnd w:id="2"/>
      <w:r w:rsidRPr="00CE0424">
        <w:t>References</w:t>
      </w:r>
    </w:p>
    <w:p w14:paraId="768912DB" w14:textId="77777777" w:rsidR="003A7EF3" w:rsidRPr="00CE0424" w:rsidRDefault="003A7EF3" w:rsidP="00CE0424">
      <w:pPr>
        <w:pStyle w:val="BodyText"/>
      </w:pPr>
    </w:p>
    <w:sectPr w:rsidR="003A7EF3" w:rsidRPr="00CE0424" w:rsidSect="00C473A5">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1-04-12T23:05:00Z" w:initials="B">
    <w:p w14:paraId="0B907256" w14:textId="79143BF1" w:rsidR="00F14D7F" w:rsidRDefault="00F14D7F">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BBA7E" w14:textId="77777777" w:rsidR="00DB39E9" w:rsidRDefault="00DB39E9">
      <w:r>
        <w:separator/>
      </w:r>
    </w:p>
  </w:endnote>
  <w:endnote w:type="continuationSeparator" w:id="0">
    <w:p w14:paraId="0BA96DD0" w14:textId="77777777" w:rsidR="00DB39E9" w:rsidRDefault="00DB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2C68" w14:textId="77777777" w:rsidR="00F14D7F" w:rsidRDefault="00F14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7F942B1" w:rsidR="00F14D7F" w:rsidRDefault="00F14D7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29FA">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29FA">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84BB" w14:textId="77777777" w:rsidR="00F14D7F" w:rsidRDefault="00F14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F7671" w14:textId="77777777" w:rsidR="00DB39E9" w:rsidRDefault="00DB39E9">
      <w:r>
        <w:separator/>
      </w:r>
    </w:p>
  </w:footnote>
  <w:footnote w:type="continuationSeparator" w:id="0">
    <w:p w14:paraId="486DF9BE" w14:textId="77777777" w:rsidR="00DB39E9" w:rsidRDefault="00DB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F14D7F" w:rsidRDefault="00F14D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2716" w14:textId="77777777" w:rsidR="00F14D7F" w:rsidRDefault="00F14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C8C6" w14:textId="77777777" w:rsidR="00F14D7F" w:rsidRDefault="00F14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B4777B"/>
    <w:multiLevelType w:val="hybridMultilevel"/>
    <w:tmpl w:val="8E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5"/>
  </w:num>
  <w:num w:numId="3">
    <w:abstractNumId w:val="18"/>
  </w:num>
  <w:num w:numId="4">
    <w:abstractNumId w:val="19"/>
  </w:num>
  <w:num w:numId="5">
    <w:abstractNumId w:val="15"/>
  </w:num>
  <w:num w:numId="6">
    <w:abstractNumId w:val="22"/>
  </w:num>
  <w:num w:numId="7">
    <w:abstractNumId w:val="30"/>
  </w:num>
  <w:num w:numId="8">
    <w:abstractNumId w:val="16"/>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0"/>
  </w:num>
  <w:num w:numId="16">
    <w:abstractNumId w:val="31"/>
  </w:num>
  <w:num w:numId="17">
    <w:abstractNumId w:val="11"/>
  </w:num>
  <w:num w:numId="18">
    <w:abstractNumId w:val="12"/>
  </w:num>
  <w:num w:numId="19">
    <w:abstractNumId w:val="6"/>
  </w:num>
  <w:num w:numId="20">
    <w:abstractNumId w:val="38"/>
  </w:num>
  <w:num w:numId="21">
    <w:abstractNumId w:val="17"/>
  </w:num>
  <w:num w:numId="22">
    <w:abstractNumId w:val="34"/>
  </w:num>
  <w:num w:numId="23">
    <w:abstractNumId w:val="40"/>
  </w:num>
  <w:num w:numId="24">
    <w:abstractNumId w:val="33"/>
  </w:num>
  <w:num w:numId="25">
    <w:abstractNumId w:val="0"/>
  </w:num>
  <w:num w:numId="26">
    <w:abstractNumId w:val="9"/>
  </w:num>
  <w:num w:numId="27">
    <w:abstractNumId w:val="10"/>
  </w:num>
  <w:num w:numId="28">
    <w:abstractNumId w:val="24"/>
  </w:num>
  <w:num w:numId="29">
    <w:abstractNumId w:val="5"/>
  </w:num>
  <w:num w:numId="30">
    <w:abstractNumId w:val="8"/>
  </w:num>
  <w:num w:numId="31">
    <w:abstractNumId w:val="29"/>
  </w:num>
  <w:num w:numId="32">
    <w:abstractNumId w:val="21"/>
  </w:num>
  <w:num w:numId="33">
    <w:abstractNumId w:val="35"/>
  </w:num>
  <w:num w:numId="34">
    <w:abstractNumId w:val="26"/>
  </w:num>
  <w:num w:numId="35">
    <w:abstractNumId w:val="39"/>
  </w:num>
  <w:num w:numId="36">
    <w:abstractNumId w:val="37"/>
  </w:num>
  <w:num w:numId="37">
    <w:abstractNumId w:val="23"/>
  </w:num>
  <w:num w:numId="38">
    <w:abstractNumId w:val="32"/>
  </w:num>
  <w:num w:numId="39">
    <w:abstractNumId w:val="13"/>
  </w:num>
  <w:num w:numId="40">
    <w:abstractNumId w:val="36"/>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4A4"/>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1BD"/>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50A"/>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190"/>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9C4"/>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B39E9"/>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DefaultParagraphFont"/>
    <w:uiPriority w:val="99"/>
    <w:semiHidden/>
    <w:unhideWhenUsed/>
    <w:rsid w:val="003463E2"/>
    <w:rPr>
      <w:color w:val="605E5C"/>
      <w:shd w:val="clear" w:color="auto" w:fill="E1DFDD"/>
    </w:rPr>
  </w:style>
  <w:style w:type="character" w:customStyle="1" w:styleId="UnresolvedMention3">
    <w:name w:val="Unresolved Mention3"/>
    <w:basedOn w:val="DefaultParagraphFont"/>
    <w:uiPriority w:val="99"/>
    <w:semiHidden/>
    <w:unhideWhenUsed/>
    <w:rsid w:val="00627C81"/>
    <w:rPr>
      <w:color w:val="605E5C"/>
      <w:shd w:val="clear" w:color="auto" w:fill="E1DFDD"/>
    </w:rPr>
  </w:style>
  <w:style w:type="character" w:styleId="UnresolvedMention">
    <w:name w:val="Unresolved Mention"/>
    <w:basedOn w:val="DefaultParagraphFont"/>
    <w:uiPriority w:val="99"/>
    <w:semiHidden/>
    <w:unhideWhenUsed/>
    <w:rsid w:val="0045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2_RL2/TSGR2_113bis-e/Docs/R2-2103582.zip" TargetMode="External"/><Relationship Id="rId26" Type="http://schemas.openxmlformats.org/officeDocument/2006/relationships/hyperlink" Target="http://www.3gpp.org/ftp/tsg_ran/WG2_RL2/TSGR2_113bis-e/Docs/R2-210420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3bis-e/Docs/R2-2103929.zip" TargetMode="External"/><Relationship Id="rId34"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2714.zip" TargetMode="External"/><Relationship Id="rId25" Type="http://schemas.openxmlformats.org/officeDocument/2006/relationships/hyperlink" Target="http://www.3gpp.org/ftp/tsg_ran/WG2_RL2/TSGR2_113bis-e/Docs/R2-2104205.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3bis-e/Docs/R2-2102714.zip" TargetMode="External"/><Relationship Id="rId20" Type="http://schemas.openxmlformats.org/officeDocument/2006/relationships/hyperlink" Target="http://www.3gpp.org/ftp/tsg_ran/WG2_RL2/TSGR2_113bis-e/Docs/R2-2104506.zip" TargetMode="External"/><Relationship Id="rId29" Type="http://schemas.openxmlformats.org/officeDocument/2006/relationships/hyperlink" Target="http://www.3gpp.org/ftp/tsg_ran/WG2_RL2/TSGR2_113bis-e/Docs/R2-210385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936.zip" TargetMode="External"/><Relationship Id="rId32" Type="http://schemas.openxmlformats.org/officeDocument/2006/relationships/hyperlink" Target="http://www.3gpp.org/ftp/tsg_ran/WG2_RL2/TSGR2_113bis-e/Docs/R2-2103661.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brian.alexander.martin@huawei.com" TargetMode="External"/><Relationship Id="rId23" Type="http://schemas.openxmlformats.org/officeDocument/2006/relationships/hyperlink" Target="http://www.3gpp.org/ftp/tsg_ran/WG2_RL2/TSGR2_113bis-e/Docs/R2-2103936.zip" TargetMode="External"/><Relationship Id="rId28" Type="http://schemas.openxmlformats.org/officeDocument/2006/relationships/hyperlink" Target="http://www.3gpp.org/ftp/tsg_ran/WG2_RL2/TSGR2_113-e/Docs/R2-2102046.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3gpp.org/ftp/tsg_ran/WG2_RL2/TSGR2_113bis-e/Docs/R2-2104506.zip" TargetMode="External"/><Relationship Id="rId31" Type="http://schemas.openxmlformats.org/officeDocument/2006/relationships/hyperlink" Target="http://www.3gpp.org/ftp/tsg_ran/WG2_RL2/TSGR2_113bis-e/Docs/R2-21036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3gpp.org/ftp/tsg_ran/WG2_RL2/TSGR2_113bis-e/Docs/R2-2103929.zip" TargetMode="External"/><Relationship Id="rId27" Type="http://schemas.openxmlformats.org/officeDocument/2006/relationships/hyperlink" Target="http://www.3gpp.org/ftp/tsg_ran/WG2_RL2/TSGR2_113bis-e/Docs/R2-2103851.zip" TargetMode="External"/><Relationship Id="rId30" Type="http://schemas.openxmlformats.org/officeDocument/2006/relationships/hyperlink" Target="http://www.3gpp.org/ftp/tsg_ran/WG2_RL2/TSGR2_113bis-e/Docs/R2-210364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376D2E5-CC79-4964-BDE2-ADB2934D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26139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[Mouaffac]</cp:lastModifiedBy>
  <cp:revision>17</cp:revision>
  <cp:lastPrinted>2008-01-31T07:09:00Z</cp:lastPrinted>
  <dcterms:created xsi:type="dcterms:W3CDTF">2021-04-14T00:28:00Z</dcterms:created>
  <dcterms:modified xsi:type="dcterms:W3CDTF">2021-04-14T05:17:00Z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