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AT113bis-e][021][NR16] Sys Info Inter Node and Misc</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[AT113bis-e][021][NR16] Sys Info Inter Node and Misc (Ericsson)</w:t>
      </w:r>
    </w:p>
    <w:p w14:paraId="53662A1F" w14:textId="77777777" w:rsidR="00AD0407" w:rsidRPr="00260650" w:rsidRDefault="00AD0407" w:rsidP="00AD0407">
      <w:pPr>
        <w:pStyle w:val="Doc-text2"/>
      </w:pPr>
      <w:r w:rsidRPr="00260650">
        <w:tab/>
        <w:t>Scope: Treat R2-2102714, R2-2103582, R2-2103661,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1DC4D9BD" w14:textId="77777777" w:rsidR="00702049" w:rsidRDefault="00891033" w:rsidP="00404DFA">
            <w:pPr>
              <w:rPr>
                <w:rFonts w:ascii="Arial" w:hAnsi="Arial" w:cs="Arial"/>
                <w:lang w:val="sv-SE"/>
              </w:rPr>
            </w:pPr>
            <w:r>
              <w:rPr>
                <w:rFonts w:ascii="Arial" w:hAnsi="Arial" w:cs="Arial"/>
                <w:lang w:val="sv-SE"/>
              </w:rPr>
              <w:t>Ericsson (Zhenhua Zou)</w:t>
            </w:r>
          </w:p>
          <w:p w14:paraId="243CCEDF" w14:textId="7ED7F930" w:rsidR="00891033" w:rsidRPr="00891033" w:rsidRDefault="00891033" w:rsidP="00404DFA">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404DFA">
            <w:pPr>
              <w:rPr>
                <w:rFonts w:ascii="Arial" w:hAnsi="Arial" w:cs="Arial"/>
                <w:lang w:val="sv-SE"/>
              </w:rPr>
            </w:pPr>
            <w:r>
              <w:rPr>
                <w:rFonts w:ascii="Arial" w:hAnsi="Arial" w:cs="Arial"/>
                <w:lang w:val="sv-SE"/>
              </w:rPr>
              <w:t>zhenhua.zou@ericsson.com</w:t>
            </w:r>
          </w:p>
        </w:tc>
      </w:tr>
      <w:tr w:rsidR="00702049" w:rsidRPr="00D87CF0" w14:paraId="6997B0EE" w14:textId="77777777" w:rsidTr="00404DFA">
        <w:trPr>
          <w:trHeight w:val="417"/>
        </w:trPr>
        <w:tc>
          <w:tcPr>
            <w:tcW w:w="3397" w:type="dxa"/>
          </w:tcPr>
          <w:p w14:paraId="0163F56C" w14:textId="398DE42C" w:rsidR="00702049" w:rsidRPr="00702049" w:rsidRDefault="00491365" w:rsidP="00404DFA">
            <w:pPr>
              <w:rPr>
                <w:rFonts w:ascii="Arial" w:hAnsi="Arial" w:cs="Arial"/>
              </w:rPr>
            </w:pPr>
            <w:r>
              <w:rPr>
                <w:rFonts w:ascii="Arial" w:hAnsi="Arial" w:cs="Arial"/>
              </w:rPr>
              <w:t>Google</w:t>
            </w:r>
          </w:p>
        </w:tc>
        <w:tc>
          <w:tcPr>
            <w:tcW w:w="6259" w:type="dxa"/>
          </w:tcPr>
          <w:p w14:paraId="72CACFED" w14:textId="0FF6899A" w:rsidR="00702049" w:rsidRPr="00702049" w:rsidRDefault="00491365" w:rsidP="00404DFA">
            <w:pPr>
              <w:rPr>
                <w:rFonts w:ascii="Arial" w:hAnsi="Arial" w:cs="Arial"/>
              </w:rPr>
            </w:pPr>
            <w:r>
              <w:rPr>
                <w:rFonts w:ascii="Arial" w:hAnsi="Arial" w:cs="Arial"/>
              </w:rPr>
              <w:t>frankwu@google.com</w:t>
            </w:r>
          </w:p>
        </w:tc>
      </w:tr>
      <w:tr w:rsidR="00702049" w:rsidRPr="00D87CF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Heading1"/>
      </w:pPr>
      <w:r>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191211" w:rsidP="00AD0407">
      <w:pPr>
        <w:pStyle w:val="Doc-title"/>
      </w:pPr>
      <w:hyperlink r:id="rId11"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lastRenderedPageBreak/>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2"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D0407" w:rsidRPr="00D87CF0" w14:paraId="3D710FF1" w14:textId="77777777" w:rsidTr="00B35DAB">
        <w:trPr>
          <w:trHeight w:val="417"/>
        </w:trPr>
        <w:tc>
          <w:tcPr>
            <w:tcW w:w="1068" w:type="pct"/>
          </w:tcPr>
          <w:p w14:paraId="5D8D8316" w14:textId="77777777" w:rsidR="00AD0407" w:rsidRPr="00702049" w:rsidRDefault="00AD0407" w:rsidP="00B35DAB">
            <w:pPr>
              <w:rPr>
                <w:rFonts w:ascii="Arial" w:hAnsi="Arial" w:cs="Arial"/>
              </w:rPr>
            </w:pPr>
          </w:p>
        </w:tc>
        <w:tc>
          <w:tcPr>
            <w:tcW w:w="843" w:type="pct"/>
          </w:tcPr>
          <w:p w14:paraId="18EABF02" w14:textId="77777777" w:rsidR="00AD0407" w:rsidRPr="00702049" w:rsidRDefault="00AD0407" w:rsidP="00B35DAB">
            <w:pPr>
              <w:rPr>
                <w:rFonts w:ascii="Arial" w:hAnsi="Arial" w:cs="Arial"/>
              </w:rPr>
            </w:pPr>
          </w:p>
        </w:tc>
        <w:tc>
          <w:tcPr>
            <w:tcW w:w="3089" w:type="pct"/>
          </w:tcPr>
          <w:p w14:paraId="00AE654E" w14:textId="77777777" w:rsidR="00AD0407" w:rsidRPr="00702049" w:rsidRDefault="00AD0407" w:rsidP="00B35DAB">
            <w:pPr>
              <w:rPr>
                <w:rFonts w:ascii="Arial" w:hAnsi="Arial" w:cs="Arial"/>
              </w:rPr>
            </w:pPr>
          </w:p>
        </w:tc>
      </w:tr>
      <w:tr w:rsidR="00AD0407" w:rsidRPr="00D87CF0" w14:paraId="044496CD" w14:textId="77777777" w:rsidTr="00B35DAB">
        <w:trPr>
          <w:trHeight w:val="417"/>
        </w:trPr>
        <w:tc>
          <w:tcPr>
            <w:tcW w:w="1068" w:type="pct"/>
          </w:tcPr>
          <w:p w14:paraId="357D69A5" w14:textId="77777777" w:rsidR="00AD0407" w:rsidRPr="00702049" w:rsidRDefault="00AD0407" w:rsidP="00B35DAB">
            <w:pPr>
              <w:rPr>
                <w:rFonts w:ascii="Arial" w:hAnsi="Arial" w:cs="Arial"/>
              </w:rPr>
            </w:pPr>
          </w:p>
        </w:tc>
        <w:tc>
          <w:tcPr>
            <w:tcW w:w="843" w:type="pct"/>
          </w:tcPr>
          <w:p w14:paraId="274A9CC2" w14:textId="77777777" w:rsidR="00AD0407" w:rsidRPr="00702049" w:rsidRDefault="00AD0407" w:rsidP="00B35DAB">
            <w:pPr>
              <w:rPr>
                <w:rFonts w:ascii="Arial" w:hAnsi="Arial" w:cs="Arial"/>
              </w:rPr>
            </w:pPr>
          </w:p>
        </w:tc>
        <w:tc>
          <w:tcPr>
            <w:tcW w:w="3089" w:type="pct"/>
          </w:tcPr>
          <w:p w14:paraId="746C92B1" w14:textId="77777777" w:rsidR="00AD0407" w:rsidRPr="00702049" w:rsidRDefault="00AD0407" w:rsidP="00B35DAB">
            <w:pPr>
              <w:rPr>
                <w:rFonts w:ascii="Arial" w:hAnsi="Arial" w:cs="Arial"/>
              </w:rPr>
            </w:pPr>
          </w:p>
        </w:tc>
      </w:tr>
      <w:tr w:rsidR="00AD0407" w:rsidRPr="00D87CF0" w14:paraId="4B252A36" w14:textId="77777777" w:rsidTr="00B35DAB">
        <w:trPr>
          <w:trHeight w:val="417"/>
        </w:trPr>
        <w:tc>
          <w:tcPr>
            <w:tcW w:w="1068" w:type="pct"/>
          </w:tcPr>
          <w:p w14:paraId="5659EBBF" w14:textId="77777777" w:rsidR="00AD0407" w:rsidRPr="00702049" w:rsidRDefault="00AD0407" w:rsidP="00B35DAB">
            <w:pPr>
              <w:rPr>
                <w:rFonts w:ascii="Arial" w:hAnsi="Arial" w:cs="Arial"/>
              </w:rPr>
            </w:pPr>
          </w:p>
        </w:tc>
        <w:tc>
          <w:tcPr>
            <w:tcW w:w="843" w:type="pct"/>
          </w:tcPr>
          <w:p w14:paraId="52B5DDD8" w14:textId="77777777" w:rsidR="00AD0407" w:rsidRPr="00702049" w:rsidRDefault="00AD0407" w:rsidP="00B35DAB">
            <w:pPr>
              <w:rPr>
                <w:rFonts w:ascii="Arial" w:hAnsi="Arial" w:cs="Arial"/>
              </w:rPr>
            </w:pPr>
          </w:p>
        </w:tc>
        <w:tc>
          <w:tcPr>
            <w:tcW w:w="3089" w:type="pct"/>
          </w:tcPr>
          <w:p w14:paraId="260C910B" w14:textId="77777777" w:rsidR="00AD0407" w:rsidRPr="00702049" w:rsidRDefault="00AD0407" w:rsidP="00B35DAB">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191211" w:rsidP="003740AE">
      <w:pPr>
        <w:pStyle w:val="Doc-title"/>
      </w:pPr>
      <w:hyperlink r:id="rId13"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191211" w:rsidP="00E1006E">
      <w:pPr>
        <w:rPr>
          <w:rFonts w:ascii="Arial" w:eastAsia="MS Mincho" w:hAnsi="Arial"/>
          <w:noProof/>
          <w:sz w:val="20"/>
        </w:rPr>
      </w:pPr>
      <w:hyperlink r:id="rId14"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It can be seen that the leap seconds are not considered in the calculation of R16 accurate time based on referenceTimeInfo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If the referenceTimeInfo indicates the GPS time (Alt1), it’s no need for UE to correct the referenceTimeInfo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When the time is from remote TSN GM clock (Alt2) or Local on-site TSN GM clock, leap second may exist in the TSN GM clock. The gNB may need to further notify this leap second information to UE for UE to correct the local time but this is infeasible based on the current referenceTimeInfo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If DST/DSTE switch occurs, there will be one or two hours time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The R16 referenceTimeInfo IE definition of accurate reference timing delivery needs to take leapSeconds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To provide leap second prediction indication via referenceTimeInfo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To provide DST prediction indication via referenceTimeInfo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5"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r>
              <w:rPr>
                <w:color w:val="000000" w:themeColor="text1"/>
              </w:rPr>
              <w:t>Proposal x:</w:t>
            </w:r>
          </w:p>
          <w:p w14:paraId="01D2643D" w14:textId="75C83F1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55DBCA81" w:rsidR="003740AE" w:rsidRPr="00A01339" w:rsidRDefault="00A01339" w:rsidP="00B35DAB">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B35DAB">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lastRenderedPageBreak/>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r w:rsidRPr="00DE5341">
              <w:rPr>
                <w:b/>
                <w:i/>
                <w:szCs w:val="22"/>
                <w:lang w:eastAsia="en-US"/>
              </w:rPr>
              <w:t>leapSeconds</w:t>
            </w:r>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B35DAB">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B35DAB">
        <w:trPr>
          <w:trHeight w:val="417"/>
        </w:trPr>
        <w:tc>
          <w:tcPr>
            <w:tcW w:w="1068" w:type="pct"/>
          </w:tcPr>
          <w:p w14:paraId="349D64D9" w14:textId="77777777" w:rsidR="003740AE" w:rsidRPr="00702049" w:rsidRDefault="003740AE" w:rsidP="00B35DAB">
            <w:pPr>
              <w:rPr>
                <w:rFonts w:ascii="Arial" w:hAnsi="Arial" w:cs="Arial"/>
              </w:rPr>
            </w:pPr>
          </w:p>
        </w:tc>
        <w:tc>
          <w:tcPr>
            <w:tcW w:w="843" w:type="pct"/>
          </w:tcPr>
          <w:p w14:paraId="15329753" w14:textId="77777777" w:rsidR="003740AE" w:rsidRPr="00702049" w:rsidRDefault="003740AE" w:rsidP="00B35DAB">
            <w:pPr>
              <w:rPr>
                <w:rFonts w:ascii="Arial" w:hAnsi="Arial" w:cs="Arial"/>
              </w:rPr>
            </w:pPr>
          </w:p>
        </w:tc>
        <w:tc>
          <w:tcPr>
            <w:tcW w:w="3089" w:type="pct"/>
          </w:tcPr>
          <w:p w14:paraId="50E4115C" w14:textId="77777777" w:rsidR="003740AE" w:rsidRPr="00702049" w:rsidRDefault="003740AE" w:rsidP="00B35DAB">
            <w:pPr>
              <w:rPr>
                <w:rFonts w:ascii="Arial" w:hAnsi="Arial" w:cs="Arial"/>
              </w:rPr>
            </w:pPr>
          </w:p>
        </w:tc>
      </w:tr>
      <w:tr w:rsidR="003740AE" w:rsidRPr="00D87CF0" w14:paraId="55BE0268" w14:textId="77777777" w:rsidTr="00B35DAB">
        <w:trPr>
          <w:trHeight w:val="417"/>
        </w:trPr>
        <w:tc>
          <w:tcPr>
            <w:tcW w:w="1068" w:type="pct"/>
          </w:tcPr>
          <w:p w14:paraId="7BB6BEF2" w14:textId="77777777" w:rsidR="003740AE" w:rsidRPr="00702049" w:rsidRDefault="003740AE" w:rsidP="00B35DAB">
            <w:pPr>
              <w:rPr>
                <w:rFonts w:ascii="Arial" w:hAnsi="Arial" w:cs="Arial"/>
              </w:rPr>
            </w:pPr>
          </w:p>
        </w:tc>
        <w:tc>
          <w:tcPr>
            <w:tcW w:w="843" w:type="pct"/>
          </w:tcPr>
          <w:p w14:paraId="2CC84F70" w14:textId="77777777" w:rsidR="003740AE" w:rsidRPr="00702049" w:rsidRDefault="003740AE" w:rsidP="00B35DAB">
            <w:pPr>
              <w:rPr>
                <w:rFonts w:ascii="Arial" w:hAnsi="Arial" w:cs="Arial"/>
              </w:rPr>
            </w:pPr>
          </w:p>
        </w:tc>
        <w:tc>
          <w:tcPr>
            <w:tcW w:w="3089" w:type="pct"/>
          </w:tcPr>
          <w:p w14:paraId="1B9C498A" w14:textId="77777777" w:rsidR="003740AE" w:rsidRPr="00702049" w:rsidRDefault="003740AE" w:rsidP="00B35DAB">
            <w:pPr>
              <w:rPr>
                <w:rFonts w:ascii="Arial" w:hAnsi="Arial" w:cs="Arial"/>
              </w:rPr>
            </w:pP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Correction on failureType in FailureReportSCG-EUTRA and scgFailureInfoEUTRA</w:t>
      </w:r>
    </w:p>
    <w:p w14:paraId="2763D59C" w14:textId="7ECBAAD9" w:rsidR="003740AE" w:rsidRPr="00260650" w:rsidRDefault="00191211" w:rsidP="003740AE">
      <w:pPr>
        <w:pStyle w:val="Doc-title"/>
      </w:pPr>
      <w:hyperlink r:id="rId16"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r w:rsidRPr="006607F0">
              <w:rPr>
                <w:i/>
              </w:rPr>
              <w:t>SCGFailureInformationEUTRA</w:t>
            </w:r>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r w:rsidRPr="006607F0">
              <w:rPr>
                <w:i/>
              </w:rPr>
              <w:t>failureType</w:t>
            </w:r>
            <w:r w:rsidRPr="006607F0">
              <w:t xml:space="preserve"> within </w:t>
            </w:r>
            <w:r w:rsidRPr="006607F0">
              <w:rPr>
                <w:i/>
              </w:rPr>
              <w:t>failureReportSCG-EUTRA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lastRenderedPageBreak/>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t313-Expiry</w:t>
            </w:r>
            <w:r w:rsidRPr="006B1E18">
              <w:t>;</w:t>
            </w:r>
          </w:p>
          <w:p w14:paraId="206E5FE9" w14:textId="77777777" w:rsidR="003740AE" w:rsidRPr="006B1E18" w:rsidRDefault="003740AE" w:rsidP="00B35DAB">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randomAccessProblem</w:t>
            </w:r>
            <w:r w:rsidRPr="006B1E18">
              <w:t>;</w:t>
            </w:r>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rlc-MaxNumRetx</w:t>
            </w:r>
            <w:r w:rsidRPr="006B1E18">
              <w:t>;</w:t>
            </w:r>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r w:rsidRPr="006B1E18">
              <w:rPr>
                <w:i/>
              </w:rPr>
              <w:t>failureType</w:t>
            </w:r>
            <w:r w:rsidRPr="006B1E18">
              <w:t xml:space="preserve"> to be </w:t>
            </w:r>
            <w:r w:rsidRPr="006B1E18">
              <w:rPr>
                <w:i/>
              </w:rPr>
              <w:t>scg-ChangeFailure</w:t>
            </w:r>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eNB, the SpCell cannot be configured on the shared spectrum, thus </w:t>
      </w:r>
      <w:r w:rsidRPr="00D9426B">
        <w:rPr>
          <w:i/>
        </w:rPr>
        <w:t>failureType</w:t>
      </w:r>
      <w:r>
        <w:t xml:space="preserve"> with </w:t>
      </w:r>
      <w:r w:rsidRPr="006B0F20">
        <w:rPr>
          <w:i/>
          <w:noProof/>
        </w:rPr>
        <w:t>scg-lbtFailure</w:t>
      </w:r>
      <w:r>
        <w:t xml:space="preserve"> will never be reported in IE </w:t>
      </w:r>
      <w:r w:rsidRPr="00D9426B">
        <w:rPr>
          <w:i/>
        </w:rPr>
        <w:t>failureReportedSCG-EUTRA</w:t>
      </w:r>
      <w:r>
        <w:t xml:space="preserve">. Beam related operation is not supported for LTE and T312 will not be configured for LTE SCG, therefore </w:t>
      </w:r>
      <w:r w:rsidRPr="007D4CE7">
        <w:rPr>
          <w:i/>
        </w:rPr>
        <w:t>failureType</w:t>
      </w:r>
      <w:r>
        <w:t xml:space="preserve"> will never be set as </w:t>
      </w:r>
      <w:r w:rsidRPr="006B0F20">
        <w:rPr>
          <w:i/>
          <w:noProof/>
        </w:rPr>
        <w:t>beamFailureRecoveryFailure</w:t>
      </w:r>
      <w:r>
        <w:rPr>
          <w:noProof/>
        </w:rPr>
        <w:t xml:space="preserve"> or </w:t>
      </w:r>
      <w:r w:rsidRPr="006B0F20">
        <w:rPr>
          <w:i/>
        </w:rPr>
        <w:t>t312-Expiry</w:t>
      </w:r>
      <w:r>
        <w:t xml:space="preserve"> in IE </w:t>
      </w:r>
      <w:r>
        <w:rPr>
          <w:i/>
        </w:rPr>
        <w:t>failureReport</w:t>
      </w:r>
      <w:r w:rsidRPr="00D9426B">
        <w:rPr>
          <w:i/>
        </w:rPr>
        <w:t>SCG-EUTRA</w:t>
      </w:r>
      <w:r>
        <w:t>.</w:t>
      </w:r>
    </w:p>
    <w:p w14:paraId="4C7919F8" w14:textId="4E86ED6A" w:rsidR="003740AE" w:rsidRPr="003740AE" w:rsidRDefault="003740AE" w:rsidP="003740AE">
      <w:pPr>
        <w:pStyle w:val="BodyText"/>
      </w:pPr>
      <w:r w:rsidRPr="003740AE">
        <w:t xml:space="preserve">Similarly, for </w:t>
      </w:r>
      <w:r w:rsidRPr="003740AE">
        <w:rPr>
          <w:i/>
          <w:iCs/>
        </w:rPr>
        <w:t>failureTypeEUTRA</w:t>
      </w:r>
      <w:r w:rsidRPr="003740AE">
        <w:t xml:space="preserve"> in the IE </w:t>
      </w:r>
      <w:r w:rsidRPr="003740AE">
        <w:rPr>
          <w:i/>
          <w:iCs/>
        </w:rPr>
        <w:t>scgFailureInfoEUTRA</w:t>
      </w:r>
      <w:r w:rsidRPr="003740AE">
        <w:t xml:space="preserve"> of </w:t>
      </w:r>
      <w:r w:rsidRPr="003740AE">
        <w:rPr>
          <w:i/>
          <w:iCs/>
        </w:rPr>
        <w:t>CG-ConfigInfo</w:t>
      </w:r>
      <w:r w:rsidRPr="003740AE">
        <w:t xml:space="preserve"> message, the values </w:t>
      </w:r>
      <w:r w:rsidRPr="003740AE">
        <w:rPr>
          <w:i/>
          <w:iCs/>
        </w:rPr>
        <w:t>scg-lbtFailure</w:t>
      </w:r>
      <w:r w:rsidRPr="003740AE">
        <w:t xml:space="preserve">, </w:t>
      </w:r>
      <w:r w:rsidRPr="003740AE">
        <w:rPr>
          <w:i/>
          <w:iCs/>
        </w:rPr>
        <w:t>beamFailureRecoveryFailure</w:t>
      </w:r>
      <w:r w:rsidRPr="003740AE">
        <w:t xml:space="preserve">, and </w:t>
      </w:r>
      <w:r w:rsidRPr="003740AE">
        <w:rPr>
          <w:i/>
          <w:iCs/>
        </w:rPr>
        <w:t>t312-Expiry</w:t>
      </w:r>
      <w:r w:rsidRPr="003740AE">
        <w:t xml:space="preserve"> are of no use and can be removed. The consenquence is that </w:t>
      </w:r>
      <w:r w:rsidRPr="003740AE">
        <w:rPr>
          <w:i/>
          <w:iCs/>
        </w:rPr>
        <w:t>failureTypeEUTRA</w:t>
      </w:r>
      <w:r w:rsidRPr="003740AE">
        <w:t xml:space="preserve"> in the IE </w:t>
      </w:r>
      <w:r w:rsidRPr="003740AE">
        <w:rPr>
          <w:i/>
          <w:iCs/>
        </w:rPr>
        <w:t>scgFailureInfoEUTRA</w:t>
      </w:r>
      <w:r w:rsidRPr="003740AE">
        <w:t xml:space="preserve"> will only contain spare values. Considering </w:t>
      </w:r>
      <w:r w:rsidRPr="003740AE">
        <w:rPr>
          <w:i/>
          <w:iCs/>
        </w:rPr>
        <w:t>measResultSCG-EUTRA</w:t>
      </w:r>
      <w:r w:rsidRPr="003740AE">
        <w:t xml:space="preserve"> within the same IE will never be reported either, we can dummify </w:t>
      </w:r>
      <w:r w:rsidRPr="003740AE">
        <w:rPr>
          <w:i/>
          <w:iCs/>
        </w:rPr>
        <w:t>scgFailureInfoEUTRA</w:t>
      </w:r>
      <w:r w:rsidRPr="003740AE">
        <w:t xml:space="preserve"> from the </w:t>
      </w:r>
      <w:r w:rsidRPr="003740AE">
        <w:rPr>
          <w:i/>
          <w:iCs/>
        </w:rPr>
        <w:t>CG-ConfigInfo</w:t>
      </w:r>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17"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491365" w:rsidRPr="00D87CF0" w14:paraId="45CBB233" w14:textId="77777777" w:rsidTr="00B35DAB">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dummify </w:t>
            </w:r>
            <w:r w:rsidRPr="0000231E">
              <w:rPr>
                <w:rFonts w:ascii="Arial" w:hAnsi="Arial" w:cs="Arial"/>
                <w:i/>
                <w:iCs/>
                <w:lang w:val="en-US"/>
              </w:rPr>
              <w:t>scgFailureInfoEUTRA-r16</w:t>
            </w:r>
            <w:r w:rsidRPr="0000231E">
              <w:rPr>
                <w:rFonts w:ascii="Arial" w:hAnsi="Arial" w:cs="Arial"/>
                <w:lang w:val="en-US"/>
              </w:rPr>
              <w:t xml:space="preserve"> in CG-ConfigInfo.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r w:rsidRPr="0000231E">
              <w:rPr>
                <w:rFonts w:ascii="Arial" w:hAnsi="Arial" w:cs="Arial"/>
                <w:i/>
                <w:iCs/>
                <w:lang w:val="en-US"/>
              </w:rPr>
              <w:t>SCGFailureInformationEUTRA</w:t>
            </w:r>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B35DAB">
        <w:trPr>
          <w:trHeight w:val="417"/>
        </w:trPr>
        <w:tc>
          <w:tcPr>
            <w:tcW w:w="1068" w:type="pct"/>
          </w:tcPr>
          <w:p w14:paraId="32803B79" w14:textId="77777777" w:rsidR="00491365" w:rsidRPr="00702049" w:rsidRDefault="00491365" w:rsidP="00491365">
            <w:pPr>
              <w:rPr>
                <w:rFonts w:ascii="Arial" w:hAnsi="Arial" w:cs="Arial"/>
              </w:rPr>
            </w:pPr>
          </w:p>
        </w:tc>
        <w:tc>
          <w:tcPr>
            <w:tcW w:w="843" w:type="pct"/>
          </w:tcPr>
          <w:p w14:paraId="7C766ED7" w14:textId="77777777" w:rsidR="00491365" w:rsidRPr="00702049" w:rsidRDefault="00491365" w:rsidP="00491365">
            <w:pPr>
              <w:rPr>
                <w:rFonts w:ascii="Arial" w:hAnsi="Arial" w:cs="Arial"/>
              </w:rPr>
            </w:pPr>
          </w:p>
        </w:tc>
        <w:tc>
          <w:tcPr>
            <w:tcW w:w="3089" w:type="pct"/>
          </w:tcPr>
          <w:p w14:paraId="66871ECC" w14:textId="77777777" w:rsidR="00491365" w:rsidRPr="00702049" w:rsidRDefault="00491365" w:rsidP="00491365">
            <w:pPr>
              <w:rPr>
                <w:rFonts w:ascii="Arial" w:hAnsi="Arial" w:cs="Arial"/>
              </w:rPr>
            </w:pPr>
          </w:p>
        </w:tc>
      </w:tr>
      <w:tr w:rsidR="00491365" w:rsidRPr="00D87CF0" w14:paraId="0C85BE83" w14:textId="77777777" w:rsidTr="00B35DAB">
        <w:trPr>
          <w:trHeight w:val="417"/>
        </w:trPr>
        <w:tc>
          <w:tcPr>
            <w:tcW w:w="1068" w:type="pct"/>
          </w:tcPr>
          <w:p w14:paraId="10299C8A" w14:textId="77777777" w:rsidR="00491365" w:rsidRPr="00702049" w:rsidRDefault="00491365" w:rsidP="00491365">
            <w:pPr>
              <w:rPr>
                <w:rFonts w:ascii="Arial" w:hAnsi="Arial" w:cs="Arial"/>
              </w:rPr>
            </w:pPr>
          </w:p>
        </w:tc>
        <w:tc>
          <w:tcPr>
            <w:tcW w:w="843" w:type="pct"/>
          </w:tcPr>
          <w:p w14:paraId="2767012C" w14:textId="77777777" w:rsidR="00491365" w:rsidRPr="00702049" w:rsidRDefault="00491365" w:rsidP="00491365">
            <w:pPr>
              <w:rPr>
                <w:rFonts w:ascii="Arial" w:hAnsi="Arial" w:cs="Arial"/>
              </w:rPr>
            </w:pPr>
          </w:p>
        </w:tc>
        <w:tc>
          <w:tcPr>
            <w:tcW w:w="3089" w:type="pct"/>
          </w:tcPr>
          <w:p w14:paraId="35A4C0D0" w14:textId="77777777" w:rsidR="00491365" w:rsidRPr="00702049" w:rsidRDefault="00491365" w:rsidP="00491365">
            <w:pPr>
              <w:rPr>
                <w:rFonts w:ascii="Arial" w:hAnsi="Arial" w:cs="Arial"/>
              </w:rPr>
            </w:pPr>
          </w:p>
        </w:tc>
      </w:tr>
    </w:tbl>
    <w:p w14:paraId="5BE30E14" w14:textId="465634A7" w:rsidR="003740AE" w:rsidRDefault="003740AE" w:rsidP="00DC0D8D"/>
    <w:p w14:paraId="742EC8B3" w14:textId="678C63FD" w:rsidR="003740AE" w:rsidRDefault="003740AE" w:rsidP="003740AE">
      <w:pPr>
        <w:pStyle w:val="Heading3"/>
      </w:pPr>
      <w:r>
        <w:t>3.3.2</w:t>
      </w:r>
      <w:r>
        <w:tab/>
      </w:r>
      <w:r w:rsidRPr="00260650">
        <w:t>Correction to scgFailureInfoEUTRA and FailureReportSCG-EUTRA</w:t>
      </w:r>
    </w:p>
    <w:p w14:paraId="66FD61E5" w14:textId="4CA10D0A" w:rsidR="003740AE" w:rsidRDefault="00191211" w:rsidP="003740AE">
      <w:pPr>
        <w:pStyle w:val="Doc-title"/>
      </w:pPr>
      <w:hyperlink r:id="rId18"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lastRenderedPageBreak/>
        <w:t>Reason for change:</w:t>
      </w:r>
    </w:p>
    <w:p w14:paraId="05BE0CCA" w14:textId="34D881F1" w:rsidR="003740AE" w:rsidRDefault="003740AE" w:rsidP="003740AE">
      <w:pPr>
        <w:pStyle w:val="BodyText"/>
      </w:pPr>
      <w:r>
        <w:t xml:space="preserve">The </w:t>
      </w:r>
      <w:r w:rsidRPr="00476F7D">
        <w:t>scgFailureInfoEUTR</w:t>
      </w:r>
      <w:r>
        <w:t xml:space="preserve">A IE within the </w:t>
      </w:r>
      <w:r w:rsidRPr="00E22C95">
        <w:t>CG-ConfigInfo-v1610-IEs</w:t>
      </w:r>
      <w:r>
        <w:t xml:space="preserve"> and the </w:t>
      </w:r>
      <w:r w:rsidRPr="00E22C95">
        <w:rPr>
          <w:rFonts w:eastAsia="Malgun Gothic"/>
        </w:rPr>
        <w:t xml:space="preserve">FailureReportSCG-EUTRA </w:t>
      </w:r>
      <w:r>
        <w:rPr>
          <w:rFonts w:eastAsia="Malgun Gothic"/>
        </w:rPr>
        <w:t xml:space="preserve">IE within the </w:t>
      </w:r>
      <w:r w:rsidRPr="00E22C95">
        <w:rPr>
          <w:rFonts w:eastAsia="Malgun Gothic"/>
        </w:rPr>
        <w:t>SCGFailureInformationEUTRA</w:t>
      </w:r>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19"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2B0973" w:rsidRPr="00D87CF0" w14:paraId="29092CD4" w14:textId="77777777" w:rsidTr="00B35DAB">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dummify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dummified because it is not used for EUTRA SCG.</w:t>
            </w:r>
          </w:p>
        </w:tc>
      </w:tr>
      <w:tr w:rsidR="002B0973" w:rsidRPr="00D87CF0" w14:paraId="31597484" w14:textId="77777777" w:rsidTr="00B35DAB">
        <w:trPr>
          <w:trHeight w:val="417"/>
        </w:trPr>
        <w:tc>
          <w:tcPr>
            <w:tcW w:w="1068" w:type="pct"/>
          </w:tcPr>
          <w:p w14:paraId="60097B4F" w14:textId="77777777" w:rsidR="002B0973" w:rsidRPr="00702049" w:rsidRDefault="002B0973" w:rsidP="002B0973">
            <w:pPr>
              <w:rPr>
                <w:rFonts w:ascii="Arial" w:hAnsi="Arial" w:cs="Arial"/>
              </w:rPr>
            </w:pP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77777777" w:rsidR="002B0973" w:rsidRPr="00702049" w:rsidRDefault="002B0973" w:rsidP="002B0973">
            <w:pPr>
              <w:rPr>
                <w:rFonts w:ascii="Arial" w:hAnsi="Arial" w:cs="Arial"/>
              </w:rPr>
            </w:pPr>
          </w:p>
        </w:tc>
      </w:tr>
      <w:tr w:rsidR="002B0973" w:rsidRPr="00D87CF0" w14:paraId="413C15BF" w14:textId="77777777" w:rsidTr="00B35DAB">
        <w:trPr>
          <w:trHeight w:val="417"/>
        </w:trPr>
        <w:tc>
          <w:tcPr>
            <w:tcW w:w="1068" w:type="pct"/>
          </w:tcPr>
          <w:p w14:paraId="4FD7AA25" w14:textId="77777777" w:rsidR="002B0973" w:rsidRPr="00702049" w:rsidRDefault="002B0973" w:rsidP="002B0973">
            <w:pPr>
              <w:rPr>
                <w:rFonts w:ascii="Arial" w:hAnsi="Arial" w:cs="Arial"/>
              </w:rPr>
            </w:pPr>
          </w:p>
        </w:tc>
        <w:tc>
          <w:tcPr>
            <w:tcW w:w="843" w:type="pct"/>
          </w:tcPr>
          <w:p w14:paraId="1FA71E24" w14:textId="77777777" w:rsidR="002B0973" w:rsidRPr="00702049" w:rsidRDefault="002B0973" w:rsidP="002B0973">
            <w:pPr>
              <w:rPr>
                <w:rFonts w:ascii="Arial" w:hAnsi="Arial" w:cs="Arial"/>
              </w:rPr>
            </w:pPr>
          </w:p>
        </w:tc>
        <w:tc>
          <w:tcPr>
            <w:tcW w:w="3089" w:type="pct"/>
          </w:tcPr>
          <w:p w14:paraId="693C169B" w14:textId="77777777" w:rsidR="002B0973" w:rsidRPr="00702049" w:rsidRDefault="002B0973" w:rsidP="002B0973">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191211" w:rsidP="003740AE">
      <w:pPr>
        <w:pStyle w:val="Doc-title"/>
      </w:pPr>
      <w:hyperlink r:id="rId20"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B35DAB">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B35DAB">
            <w:pPr>
              <w:spacing w:after="120"/>
              <w:rPr>
                <w:rFonts w:ascii="Arial" w:hAnsi="Arial" w:cs="Arial"/>
                <w:lang w:eastAsia="zh-CN"/>
              </w:rPr>
            </w:pPr>
            <w:r w:rsidRPr="00E41FB0">
              <w:t>Criticality</w:t>
            </w:r>
          </w:p>
        </w:tc>
        <w:tc>
          <w:tcPr>
            <w:tcW w:w="945" w:type="dxa"/>
          </w:tcPr>
          <w:p w14:paraId="10791A0E" w14:textId="77777777" w:rsidR="003740AE" w:rsidRDefault="003740AE" w:rsidP="00B35DAB">
            <w:pPr>
              <w:spacing w:after="120"/>
              <w:rPr>
                <w:rFonts w:ascii="Arial" w:hAnsi="Arial" w:cs="Arial"/>
                <w:lang w:eastAsia="zh-CN"/>
              </w:rPr>
            </w:pPr>
            <w:r w:rsidRPr="00E41FB0">
              <w:t>Assigned Criticality</w:t>
            </w:r>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t>&gt;&gt;&gt;Frequency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B35DAB">
            <w:pPr>
              <w:spacing w:after="120"/>
              <w:rPr>
                <w:rFonts w:ascii="Arial" w:hAnsi="Arial" w:cs="Arial"/>
                <w:lang w:eastAsia="zh-CN"/>
              </w:rPr>
            </w:pPr>
            <w:r>
              <w:rPr>
                <w:lang w:eastAsia="zh-CN"/>
              </w:rPr>
              <w:t>ignore</w:t>
            </w:r>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B35DAB">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xml:space="preserve">, the TDD-UL-DL-ConfigurationCommon should be defined in 38.331, however in current 38.331, the </w:t>
      </w:r>
      <w:r w:rsidRPr="003740AE">
        <w:t>definition</w:t>
      </w:r>
      <w:r w:rsidRPr="003740AE">
        <w:rPr>
          <w:rFonts w:hint="eastAsia"/>
        </w:rPr>
        <w:t xml:space="preserve"> of TDD-UL-DL-ConfigurationCommon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1"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2B0973" w:rsidRPr="00D87CF0" w14:paraId="01EC0B30" w14:textId="77777777" w:rsidTr="00404DFA">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TDD-UL-DL-ConfigCommon</w:t>
            </w:r>
            <w:r>
              <w:rPr>
                <w:rFonts w:ascii="Arial" w:hAnsi="Arial" w:cs="Arial"/>
                <w:lang w:val="en-US"/>
              </w:rPr>
              <w:t>. There is no need to create a new inter-node message.</w:t>
            </w:r>
          </w:p>
        </w:tc>
      </w:tr>
      <w:tr w:rsidR="002B0973" w:rsidRPr="00D87CF0" w14:paraId="133098B5" w14:textId="77777777" w:rsidTr="00404DFA">
        <w:trPr>
          <w:trHeight w:val="417"/>
        </w:trPr>
        <w:tc>
          <w:tcPr>
            <w:tcW w:w="1068" w:type="pct"/>
          </w:tcPr>
          <w:p w14:paraId="5775EA48" w14:textId="77777777" w:rsidR="002B0973" w:rsidRPr="00702049" w:rsidRDefault="002B0973" w:rsidP="002B0973">
            <w:pPr>
              <w:rPr>
                <w:rFonts w:ascii="Arial" w:hAnsi="Arial" w:cs="Arial"/>
              </w:rPr>
            </w:pPr>
          </w:p>
        </w:tc>
        <w:tc>
          <w:tcPr>
            <w:tcW w:w="843" w:type="pct"/>
          </w:tcPr>
          <w:p w14:paraId="61A9AEB0" w14:textId="77777777" w:rsidR="002B0973" w:rsidRPr="00702049" w:rsidRDefault="002B0973" w:rsidP="002B0973">
            <w:pPr>
              <w:rPr>
                <w:rFonts w:ascii="Arial" w:hAnsi="Arial" w:cs="Arial"/>
              </w:rPr>
            </w:pPr>
          </w:p>
        </w:tc>
        <w:tc>
          <w:tcPr>
            <w:tcW w:w="3089" w:type="pct"/>
          </w:tcPr>
          <w:p w14:paraId="459F814F" w14:textId="77777777" w:rsidR="002B0973" w:rsidRPr="00702049" w:rsidRDefault="002B0973" w:rsidP="002B0973">
            <w:pPr>
              <w:rPr>
                <w:rFonts w:ascii="Arial" w:hAnsi="Arial" w:cs="Arial"/>
              </w:rPr>
            </w:pPr>
          </w:p>
        </w:tc>
      </w:tr>
      <w:tr w:rsidR="002B0973" w:rsidRPr="00D87CF0" w14:paraId="15C7BC58" w14:textId="77777777" w:rsidTr="00404DFA">
        <w:trPr>
          <w:trHeight w:val="417"/>
        </w:trPr>
        <w:tc>
          <w:tcPr>
            <w:tcW w:w="1068" w:type="pct"/>
          </w:tcPr>
          <w:p w14:paraId="4A5F0589" w14:textId="77777777" w:rsidR="002B0973" w:rsidRPr="00702049" w:rsidRDefault="002B0973" w:rsidP="002B0973">
            <w:pPr>
              <w:rPr>
                <w:rFonts w:ascii="Arial" w:hAnsi="Arial" w:cs="Arial"/>
              </w:rPr>
            </w:pPr>
          </w:p>
        </w:tc>
        <w:tc>
          <w:tcPr>
            <w:tcW w:w="843" w:type="pct"/>
          </w:tcPr>
          <w:p w14:paraId="3A6431EF" w14:textId="77777777" w:rsidR="002B0973" w:rsidRPr="00702049" w:rsidRDefault="002B0973" w:rsidP="002B0973">
            <w:pPr>
              <w:rPr>
                <w:rFonts w:ascii="Arial" w:hAnsi="Arial" w:cs="Arial"/>
              </w:rPr>
            </w:pPr>
          </w:p>
        </w:tc>
        <w:tc>
          <w:tcPr>
            <w:tcW w:w="3089" w:type="pct"/>
          </w:tcPr>
          <w:p w14:paraId="30DC7D82" w14:textId="77777777" w:rsidR="002B0973" w:rsidRPr="00702049" w:rsidRDefault="002B0973" w:rsidP="002B0973">
            <w:pPr>
              <w:rPr>
                <w:rFonts w:ascii="Arial" w:hAnsi="Arial" w:cs="Arial"/>
              </w:rPr>
            </w:pP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Correction on UTRA Capabilty forwarding in HO preparation</w:t>
      </w:r>
    </w:p>
    <w:p w14:paraId="0A75405A" w14:textId="1164CEED" w:rsidR="009E38CB" w:rsidRPr="00260650" w:rsidRDefault="00191211" w:rsidP="009E38CB">
      <w:pPr>
        <w:pStyle w:val="Doc-title"/>
      </w:pPr>
      <w:hyperlink r:id="rId22"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a-priori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For NR to EUTRA case, the UTRA capability should be allowed to be forwarded to the target RAT in HO preparation and can be ignored by target eNB if received in case the target eNB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3"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4"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2B0973" w:rsidRPr="00D87CF0" w14:paraId="4F4A6092" w14:textId="77777777" w:rsidTr="00B35DAB">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behaviour from Rel-15. </w:t>
            </w:r>
          </w:p>
        </w:tc>
      </w:tr>
      <w:tr w:rsidR="002B0973" w:rsidRPr="00D87CF0" w14:paraId="61F95C9C" w14:textId="77777777" w:rsidTr="00B35DAB">
        <w:trPr>
          <w:trHeight w:val="417"/>
        </w:trPr>
        <w:tc>
          <w:tcPr>
            <w:tcW w:w="1068" w:type="pct"/>
          </w:tcPr>
          <w:p w14:paraId="736795EE" w14:textId="77777777" w:rsidR="002B0973" w:rsidRPr="00702049" w:rsidRDefault="002B0973" w:rsidP="002B0973">
            <w:pPr>
              <w:rPr>
                <w:rFonts w:ascii="Arial" w:hAnsi="Arial" w:cs="Arial"/>
              </w:rPr>
            </w:pPr>
          </w:p>
        </w:tc>
        <w:tc>
          <w:tcPr>
            <w:tcW w:w="843" w:type="pct"/>
          </w:tcPr>
          <w:p w14:paraId="67EFC3F2" w14:textId="77777777" w:rsidR="002B0973" w:rsidRPr="00702049" w:rsidRDefault="002B0973" w:rsidP="002B0973">
            <w:pPr>
              <w:rPr>
                <w:rFonts w:ascii="Arial" w:hAnsi="Arial" w:cs="Arial"/>
              </w:rPr>
            </w:pPr>
          </w:p>
        </w:tc>
        <w:tc>
          <w:tcPr>
            <w:tcW w:w="3089" w:type="pct"/>
          </w:tcPr>
          <w:p w14:paraId="743CF7BF" w14:textId="77777777" w:rsidR="002B0973" w:rsidRPr="00702049" w:rsidRDefault="002B0973" w:rsidP="002B0973">
            <w:pPr>
              <w:rPr>
                <w:rFonts w:ascii="Arial" w:hAnsi="Arial" w:cs="Arial"/>
              </w:rPr>
            </w:pPr>
          </w:p>
        </w:tc>
      </w:tr>
      <w:tr w:rsidR="002B0973" w:rsidRPr="00D87CF0" w14:paraId="70495C57" w14:textId="77777777" w:rsidTr="00B35DAB">
        <w:trPr>
          <w:trHeight w:val="417"/>
        </w:trPr>
        <w:tc>
          <w:tcPr>
            <w:tcW w:w="1068" w:type="pct"/>
          </w:tcPr>
          <w:p w14:paraId="3662C130" w14:textId="77777777" w:rsidR="002B0973" w:rsidRPr="00702049" w:rsidRDefault="002B0973" w:rsidP="002B0973">
            <w:pPr>
              <w:rPr>
                <w:rFonts w:ascii="Arial" w:hAnsi="Arial" w:cs="Arial"/>
              </w:rPr>
            </w:pPr>
          </w:p>
        </w:tc>
        <w:tc>
          <w:tcPr>
            <w:tcW w:w="843" w:type="pct"/>
          </w:tcPr>
          <w:p w14:paraId="059A133A" w14:textId="77777777" w:rsidR="002B0973" w:rsidRPr="00702049" w:rsidRDefault="002B0973" w:rsidP="002B0973">
            <w:pPr>
              <w:rPr>
                <w:rFonts w:ascii="Arial" w:hAnsi="Arial" w:cs="Arial"/>
              </w:rPr>
            </w:pPr>
          </w:p>
        </w:tc>
        <w:tc>
          <w:tcPr>
            <w:tcW w:w="3089" w:type="pct"/>
          </w:tcPr>
          <w:p w14:paraId="02E041CF" w14:textId="77777777" w:rsidR="002B0973" w:rsidRPr="00702049" w:rsidRDefault="002B0973" w:rsidP="002B0973">
            <w:pPr>
              <w:rPr>
                <w:rFonts w:ascii="Arial" w:hAnsi="Arial" w:cs="Arial"/>
              </w:rPr>
            </w:pP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191211" w:rsidP="009E38CB">
      <w:pPr>
        <w:pStyle w:val="Doc-title"/>
      </w:pPr>
      <w:hyperlink r:id="rId25"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26"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9E38CB" w:rsidRPr="00D87CF0" w14:paraId="07721006" w14:textId="77777777" w:rsidTr="00B35DAB">
        <w:trPr>
          <w:trHeight w:val="417"/>
        </w:trPr>
        <w:tc>
          <w:tcPr>
            <w:tcW w:w="1068" w:type="pct"/>
          </w:tcPr>
          <w:p w14:paraId="6F218FEF" w14:textId="77777777" w:rsidR="009E38CB" w:rsidRPr="00702049" w:rsidRDefault="009E38CB" w:rsidP="00B35DAB">
            <w:pPr>
              <w:rPr>
                <w:rFonts w:ascii="Arial" w:hAnsi="Arial" w:cs="Arial"/>
              </w:rPr>
            </w:pPr>
          </w:p>
        </w:tc>
        <w:tc>
          <w:tcPr>
            <w:tcW w:w="843" w:type="pct"/>
          </w:tcPr>
          <w:p w14:paraId="759BBB68" w14:textId="77777777" w:rsidR="009E38CB" w:rsidRPr="00702049" w:rsidRDefault="009E38CB" w:rsidP="00B35DAB">
            <w:pPr>
              <w:rPr>
                <w:rFonts w:ascii="Arial" w:hAnsi="Arial" w:cs="Arial"/>
              </w:rPr>
            </w:pPr>
          </w:p>
        </w:tc>
        <w:tc>
          <w:tcPr>
            <w:tcW w:w="3089" w:type="pct"/>
          </w:tcPr>
          <w:p w14:paraId="72718116" w14:textId="77777777" w:rsidR="009E38CB" w:rsidRPr="00702049" w:rsidRDefault="009E38CB" w:rsidP="00B35DAB">
            <w:pPr>
              <w:rPr>
                <w:rFonts w:ascii="Arial" w:hAnsi="Arial" w:cs="Arial"/>
              </w:rPr>
            </w:pPr>
          </w:p>
        </w:tc>
      </w:tr>
      <w:tr w:rsidR="009E38CB" w:rsidRPr="00D87CF0" w14:paraId="628CB2D0" w14:textId="77777777" w:rsidTr="00B35DAB">
        <w:trPr>
          <w:trHeight w:val="417"/>
        </w:trPr>
        <w:tc>
          <w:tcPr>
            <w:tcW w:w="1068" w:type="pct"/>
          </w:tcPr>
          <w:p w14:paraId="3DDD605D" w14:textId="77777777" w:rsidR="009E38CB" w:rsidRPr="00702049" w:rsidRDefault="009E38CB" w:rsidP="00B35DAB">
            <w:pPr>
              <w:rPr>
                <w:rFonts w:ascii="Arial" w:hAnsi="Arial" w:cs="Arial"/>
              </w:rPr>
            </w:pPr>
          </w:p>
        </w:tc>
        <w:tc>
          <w:tcPr>
            <w:tcW w:w="843" w:type="pct"/>
          </w:tcPr>
          <w:p w14:paraId="70C6B3BD" w14:textId="77777777" w:rsidR="009E38CB" w:rsidRPr="00702049" w:rsidRDefault="009E38CB" w:rsidP="00B35DAB">
            <w:pPr>
              <w:rPr>
                <w:rFonts w:ascii="Arial" w:hAnsi="Arial" w:cs="Arial"/>
              </w:rPr>
            </w:pPr>
          </w:p>
        </w:tc>
        <w:tc>
          <w:tcPr>
            <w:tcW w:w="3089" w:type="pct"/>
          </w:tcPr>
          <w:p w14:paraId="11EA3F57" w14:textId="77777777" w:rsidR="009E38CB" w:rsidRPr="00702049" w:rsidRDefault="009E38CB" w:rsidP="00B35DAB">
            <w:pPr>
              <w:rPr>
                <w:rFonts w:ascii="Arial" w:hAnsi="Arial" w:cs="Arial"/>
              </w:rPr>
            </w:pPr>
          </w:p>
        </w:tc>
      </w:tr>
      <w:tr w:rsidR="009E38CB" w:rsidRPr="00D87CF0" w14:paraId="27BDC518" w14:textId="77777777" w:rsidTr="00B35DAB">
        <w:trPr>
          <w:trHeight w:val="417"/>
        </w:trPr>
        <w:tc>
          <w:tcPr>
            <w:tcW w:w="1068" w:type="pct"/>
          </w:tcPr>
          <w:p w14:paraId="4AB4B6F8" w14:textId="77777777" w:rsidR="009E38CB" w:rsidRPr="00702049" w:rsidRDefault="009E38CB" w:rsidP="00B35DAB">
            <w:pPr>
              <w:rPr>
                <w:rFonts w:ascii="Arial" w:hAnsi="Arial" w:cs="Arial"/>
              </w:rPr>
            </w:pPr>
          </w:p>
        </w:tc>
        <w:tc>
          <w:tcPr>
            <w:tcW w:w="843" w:type="pct"/>
          </w:tcPr>
          <w:p w14:paraId="11DC2708" w14:textId="77777777" w:rsidR="009E38CB" w:rsidRPr="00702049" w:rsidRDefault="009E38CB" w:rsidP="00B35DAB">
            <w:pPr>
              <w:rPr>
                <w:rFonts w:ascii="Arial" w:hAnsi="Arial" w:cs="Arial"/>
              </w:rPr>
            </w:pPr>
          </w:p>
        </w:tc>
        <w:tc>
          <w:tcPr>
            <w:tcW w:w="3089" w:type="pct"/>
          </w:tcPr>
          <w:p w14:paraId="45D216B4" w14:textId="77777777" w:rsidR="009E38CB" w:rsidRPr="00702049" w:rsidRDefault="009E38CB" w:rsidP="00B35DAB">
            <w:pPr>
              <w:rPr>
                <w:rFonts w:ascii="Arial" w:hAnsi="Arial" w:cs="Arial"/>
              </w:rPr>
            </w:pPr>
          </w:p>
        </w:tc>
      </w:tr>
    </w:tbl>
    <w:p w14:paraId="6410E21D" w14:textId="76BF5909" w:rsidR="009E38CB" w:rsidRDefault="009E38CB" w:rsidP="00950490"/>
    <w:p w14:paraId="25C7B1B2" w14:textId="77777777" w:rsidR="009E38CB" w:rsidRPr="00950490" w:rsidRDefault="009E38CB"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1" w:name="_In-sequence_SDU_delivery"/>
      <w:bookmarkEnd w:id="1"/>
      <w:r w:rsidRPr="00CE0424">
        <w:t>References</w:t>
      </w:r>
    </w:p>
    <w:p w14:paraId="768912DB" w14:textId="77777777" w:rsidR="003A7EF3" w:rsidRPr="00CE0424" w:rsidRDefault="003A7EF3" w:rsidP="00CE0424">
      <w:pPr>
        <w:pStyle w:val="BodyText"/>
      </w:pP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1BDC9" w14:textId="77777777" w:rsidR="00191211" w:rsidRDefault="00191211">
      <w:r>
        <w:separator/>
      </w:r>
    </w:p>
  </w:endnote>
  <w:endnote w:type="continuationSeparator" w:id="0">
    <w:p w14:paraId="724833E9" w14:textId="77777777" w:rsidR="00191211" w:rsidRDefault="0019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5A054" w14:textId="77777777" w:rsidR="00191211" w:rsidRDefault="00191211">
      <w:r>
        <w:separator/>
      </w:r>
    </w:p>
  </w:footnote>
  <w:footnote w:type="continuationSeparator" w:id="0">
    <w:p w14:paraId="791BB535" w14:textId="77777777" w:rsidR="00191211" w:rsidRDefault="0019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2800E7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9C60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8"/>
  </w:num>
  <w:num w:numId="17">
    <w:abstractNumId w:val="10"/>
  </w:num>
  <w:num w:numId="18">
    <w:abstractNumId w:val="11"/>
  </w:num>
  <w:num w:numId="19">
    <w:abstractNumId w:val="6"/>
  </w:num>
  <w:num w:numId="20">
    <w:abstractNumId w:val="32"/>
  </w:num>
  <w:num w:numId="21">
    <w:abstractNumId w:val="15"/>
  </w:num>
  <w:num w:numId="22">
    <w:abstractNumId w:val="30"/>
  </w:num>
  <w:num w:numId="23">
    <w:abstractNumId w:val="34"/>
  </w:num>
  <w:num w:numId="24">
    <w:abstractNumId w:val="29"/>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6"/>
  </w:num>
  <w:num w:numId="32">
    <w:abstractNumId w:val="19"/>
  </w:num>
  <w:num w:numId="33">
    <w:abstractNumId w:val="31"/>
  </w:num>
  <w:num w:numId="34">
    <w:abstractNumId w:val="23"/>
  </w:num>
  <w:num w:numId="35">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51E23"/>
    <w:rsid w:val="001526E0"/>
    <w:rsid w:val="001551B5"/>
    <w:rsid w:val="001659C1"/>
    <w:rsid w:val="00165EFB"/>
    <w:rsid w:val="00173A8E"/>
    <w:rsid w:val="0017502C"/>
    <w:rsid w:val="0018143F"/>
    <w:rsid w:val="00181FF8"/>
    <w:rsid w:val="00190AC1"/>
    <w:rsid w:val="00191211"/>
    <w:rsid w:val="0019341A"/>
    <w:rsid w:val="00197DF9"/>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DB5"/>
    <w:rsid w:val="003477B1"/>
    <w:rsid w:val="00357380"/>
    <w:rsid w:val="003602D9"/>
    <w:rsid w:val="003604CE"/>
    <w:rsid w:val="00370E47"/>
    <w:rsid w:val="003740AE"/>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D4E"/>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05A"/>
    <w:rsid w:val="00DC2D36"/>
    <w:rsid w:val="00DC53EF"/>
    <w:rsid w:val="00DE5608"/>
    <w:rsid w:val="00DE58D0"/>
    <w:rsid w:val="00DE654F"/>
    <w:rsid w:val="00DF0B6E"/>
    <w:rsid w:val="00DF15E0"/>
    <w:rsid w:val="00DF37A0"/>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bis-e/Docs/R2-2103582.zip" TargetMode="External"/><Relationship Id="rId18" Type="http://schemas.openxmlformats.org/officeDocument/2006/relationships/hyperlink" Target="http://www.3gpp.org/ftp/tsg_ran/WG2_RL2/TSGR2_113bis-e/Docs/R2-2103936.zip" TargetMode="External"/><Relationship Id="rId26" Type="http://schemas.openxmlformats.org/officeDocument/2006/relationships/hyperlink" Target="http://www.3gpp.org/ftp/tsg_ran/WG2_RL2/TSGR2_113bis-e/Docs/R2-2103645.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4205.zip" TargetMode="External"/><Relationship Id="rId7" Type="http://schemas.openxmlformats.org/officeDocument/2006/relationships/settings" Target="settings.xml"/><Relationship Id="rId12" Type="http://schemas.openxmlformats.org/officeDocument/2006/relationships/hyperlink" Target="http://www.3gpp.org/ftp/tsg_ran/WG2_RL2/TSGR2_113bis-e/Docs/R2-2102714.zip" TargetMode="External"/><Relationship Id="rId17" Type="http://schemas.openxmlformats.org/officeDocument/2006/relationships/hyperlink" Target="http://www.3gpp.org/ftp/tsg_ran/WG2_RL2/TSGR2_113bis-e/Docs/R2-2103929.zip" TargetMode="External"/><Relationship Id="rId25" Type="http://schemas.openxmlformats.org/officeDocument/2006/relationships/hyperlink" Target="http://www.3gpp.org/ftp/tsg_ran/WG2_RL2/TSGR2_113bis-e/Docs/R2-2103645.zip" TargetMode="External"/><Relationship Id="rId2" Type="http://schemas.openxmlformats.org/officeDocument/2006/relationships/customXml" Target="../customXml/item2.xml"/><Relationship Id="rId16" Type="http://schemas.openxmlformats.org/officeDocument/2006/relationships/hyperlink" Target="http://www.3gpp.org/ftp/tsg_ran/WG2_RL2/TSGR2_113bis-e/Docs/R2-2103929.zip" TargetMode="External"/><Relationship Id="rId20" Type="http://schemas.openxmlformats.org/officeDocument/2006/relationships/hyperlink" Target="http://www.3gpp.org/ftp/tsg_ran/WG2_RL2/TSGR2_113bis-e/Docs/R2-210420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bis-e/Docs/R2-2102714.zip" TargetMode="External"/><Relationship Id="rId24" Type="http://schemas.openxmlformats.org/officeDocument/2006/relationships/hyperlink" Target="http://www.3gpp.org/ftp/tsg_ran/WG2_RL2/TSGR2_113bis-e/Docs/R2-2103851.zip" TargetMode="External"/><Relationship Id="rId5" Type="http://schemas.openxmlformats.org/officeDocument/2006/relationships/numbering" Target="numbering.xml"/><Relationship Id="rId15" Type="http://schemas.openxmlformats.org/officeDocument/2006/relationships/hyperlink" Target="http://www.3gpp.org/ftp/tsg_ran/WG2_RL2/TSGR2_113bis-e/Docs/R2-2104506.zip" TargetMode="External"/><Relationship Id="rId23" Type="http://schemas.openxmlformats.org/officeDocument/2006/relationships/hyperlink" Target="http://www.3gpp.org/ftp/tsg_ran/WG2_RL2/TSGR2_113-e/Docs/R2-2102046.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3bis-e/Docs/R2-21039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4506.zip" TargetMode="External"/><Relationship Id="rId22" Type="http://schemas.openxmlformats.org/officeDocument/2006/relationships/hyperlink" Target="http://www.3gpp.org/ftp/tsg_ran/WG2_RL2/TSGR2_113bis-e/Docs/R2-2103851.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14509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Google (Frank Wu)</cp:lastModifiedBy>
  <cp:revision>36</cp:revision>
  <cp:lastPrinted>2008-01-31T07:09:00Z</cp:lastPrinted>
  <dcterms:created xsi:type="dcterms:W3CDTF">2021-01-25T14:57:00Z</dcterms:created>
  <dcterms:modified xsi:type="dcterms:W3CDTF">2021-04-12T15:18:00Z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