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1122C21A"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7E6CBF">
        <w:rPr>
          <w:rFonts w:cs="Arial"/>
          <w:lang w:eastAsia="ja-JP"/>
        </w:rPr>
        <w:t>2</w:t>
      </w:r>
      <w:r w:rsidR="002C4324">
        <w:rPr>
          <w:rFonts w:cs="Arial" w:hint="eastAsia"/>
          <w:lang w:eastAsia="ja-JP"/>
        </w:rPr>
        <w:t xml:space="preserve"> </w:t>
      </w:r>
      <w:r w:rsidR="00A95D20" w:rsidRPr="00863065">
        <w:rPr>
          <w:rFonts w:cs="Arial"/>
          <w:lang w:eastAsia="ja-JP"/>
        </w:rPr>
        <w:t>#</w:t>
      </w:r>
      <w:r w:rsidR="007E6CBF">
        <w:rPr>
          <w:rFonts w:cs="Arial" w:hint="eastAsia"/>
          <w:lang w:eastAsia="ja-JP"/>
        </w:rPr>
        <w:t>113bis-e</w:t>
      </w:r>
      <w:r w:rsidRPr="00863065">
        <w:rPr>
          <w:rFonts w:cs="Arial"/>
        </w:rPr>
        <w:tab/>
        <w:t>R</w:t>
      </w:r>
      <w:r w:rsidR="004811C2">
        <w:rPr>
          <w:rFonts w:cs="Arial" w:hint="eastAsia"/>
          <w:lang w:eastAsia="ja-JP"/>
        </w:rPr>
        <w:t>2</w:t>
      </w:r>
      <w:bookmarkStart w:id="0" w:name="_GoBack"/>
      <w:bookmarkEnd w:id="0"/>
      <w:r w:rsidRPr="00863065">
        <w:rPr>
          <w:rFonts w:cs="Arial"/>
          <w:lang w:eastAsia="ja-JP"/>
        </w:rPr>
        <w:t>-</w:t>
      </w:r>
      <w:r w:rsidR="006A3D76">
        <w:rPr>
          <w:rFonts w:cs="Arial" w:hint="eastAsia"/>
          <w:lang w:eastAsia="ja-JP"/>
        </w:rPr>
        <w:t>21</w:t>
      </w:r>
      <w:r w:rsidR="00B3540F">
        <w:rPr>
          <w:rFonts w:cs="Arial"/>
          <w:lang w:eastAsia="ja-JP"/>
        </w:rPr>
        <w:t>02947</w:t>
      </w:r>
    </w:p>
    <w:p w14:paraId="508496E9" w14:textId="1F2404E4" w:rsidR="00DB7D65" w:rsidRPr="00863065" w:rsidRDefault="007E6CBF" w:rsidP="00156F86">
      <w:pPr>
        <w:pStyle w:val="af6"/>
        <w:tabs>
          <w:tab w:val="left" w:pos="709"/>
          <w:tab w:val="right" w:pos="9639"/>
        </w:tabs>
        <w:spacing w:after="0"/>
        <w:jc w:val="left"/>
        <w:rPr>
          <w:rFonts w:cs="Arial"/>
          <w:lang w:val="en-US" w:eastAsia="ja-JP"/>
        </w:rPr>
      </w:pPr>
      <w:r>
        <w:rPr>
          <w:rFonts w:cs="Arial"/>
          <w:lang w:val="en-US" w:eastAsia="ja-JP"/>
        </w:rPr>
        <w:t>12</w:t>
      </w:r>
      <w:r w:rsidR="006C777E">
        <w:rPr>
          <w:rFonts w:cs="Arial" w:hint="eastAsia"/>
          <w:vertAlign w:val="superscript"/>
          <w:lang w:val="en-US" w:eastAsia="ja-JP"/>
        </w:rPr>
        <w:t>th</w:t>
      </w:r>
      <w:r w:rsidR="006C777E" w:rsidRPr="00802E96">
        <w:rPr>
          <w:rFonts w:cs="Arial" w:hint="eastAsia"/>
          <w:lang w:val="en-US" w:eastAsia="ja-JP"/>
        </w:rPr>
        <w:t xml:space="preserve"> </w:t>
      </w:r>
      <w:r w:rsidR="006C777E">
        <w:rPr>
          <w:rFonts w:cs="Arial"/>
          <w:lang w:val="en-US" w:eastAsia="ja-JP"/>
        </w:rPr>
        <w:t>–</w:t>
      </w:r>
      <w:r>
        <w:rPr>
          <w:rFonts w:cs="Arial" w:hint="eastAsia"/>
          <w:lang w:val="en-US" w:eastAsia="ja-JP"/>
        </w:rPr>
        <w:t xml:space="preserve"> </w:t>
      </w:r>
      <w:r>
        <w:rPr>
          <w:rFonts w:cs="Arial"/>
          <w:lang w:val="en-US" w:eastAsia="ja-JP"/>
        </w:rPr>
        <w:t>20</w:t>
      </w:r>
      <w:r w:rsidR="006C777E">
        <w:rPr>
          <w:rFonts w:cs="Arial" w:hint="eastAsia"/>
          <w:vertAlign w:val="superscript"/>
          <w:lang w:val="en-US" w:eastAsia="ja-JP"/>
        </w:rPr>
        <w:t>th</w:t>
      </w:r>
      <w:r w:rsidR="006C777E" w:rsidRPr="00802E96">
        <w:rPr>
          <w:rFonts w:cs="Arial"/>
          <w:lang w:val="en-US" w:eastAsia="ja-JP"/>
        </w:rPr>
        <w:t xml:space="preserve"> </w:t>
      </w:r>
      <w:r>
        <w:rPr>
          <w:rFonts w:cs="Arial"/>
          <w:lang w:val="en-US" w:eastAsia="ja-JP"/>
        </w:rPr>
        <w:t>April</w:t>
      </w:r>
      <w:r w:rsidR="006C777E" w:rsidRPr="00802E96">
        <w:rPr>
          <w:rFonts w:cs="Arial"/>
          <w:lang w:val="en-US" w:eastAsia="ja-JP"/>
        </w:rPr>
        <w:t xml:space="preserve"> 20</w:t>
      </w:r>
      <w:r w:rsidR="00F15DC7">
        <w:rPr>
          <w:rFonts w:cs="Arial" w:hint="eastAsia"/>
          <w:lang w:val="en-US" w:eastAsia="ja-JP"/>
        </w:rPr>
        <w:t>21</w:t>
      </w:r>
    </w:p>
    <w:p w14:paraId="099E59F1" w14:textId="2B5CDA12" w:rsidR="00DB7D65" w:rsidRPr="00863065" w:rsidRDefault="004246C7" w:rsidP="00DB7D65">
      <w:pPr>
        <w:pStyle w:val="af6"/>
        <w:pBdr>
          <w:bottom w:val="single" w:sz="4" w:space="1" w:color="auto"/>
        </w:pBdr>
        <w:tabs>
          <w:tab w:val="left" w:pos="709"/>
        </w:tabs>
        <w:spacing w:after="0"/>
        <w:jc w:val="left"/>
        <w:rPr>
          <w:rFonts w:cs="Arial"/>
          <w:lang w:val="en-US" w:eastAsia="ja-JP"/>
        </w:rPr>
      </w:pPr>
      <w:r>
        <w:rPr>
          <w:rFonts w:cs="Arial"/>
          <w:lang w:val="en-US" w:eastAsia="ja-JP"/>
        </w:rPr>
        <w:t>Online</w:t>
      </w:r>
    </w:p>
    <w:p w14:paraId="1AED183E"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36E9A86F"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29222B">
        <w:rPr>
          <w:rFonts w:ascii="Arial" w:hAnsi="Arial" w:cs="Arial"/>
          <w:b/>
          <w:sz w:val="24"/>
        </w:rPr>
        <w:t>Camping restriction and cell selection criterion</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3B97036F"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AA2F7A">
        <w:rPr>
          <w:rFonts w:ascii="Arial" w:hAnsi="Arial" w:cs="Arial"/>
          <w:b/>
          <w:sz w:val="24"/>
          <w:lang w:eastAsia="ja-JP"/>
        </w:rPr>
        <w:t>8.12.2.2</w:t>
      </w:r>
      <w:r w:rsidR="00AA2F7A">
        <w:rPr>
          <w:rFonts w:ascii="Arial" w:hAnsi="Arial" w:cs="Arial"/>
          <w:b/>
          <w:sz w:val="24"/>
          <w:lang w:eastAsia="ja-JP"/>
        </w:rPr>
        <w:tab/>
      </w:r>
      <w:r w:rsidR="00AA2F7A" w:rsidRPr="00AA2F7A">
        <w:rPr>
          <w:rFonts w:ascii="Arial" w:hAnsi="Arial" w:cs="Arial"/>
          <w:b/>
          <w:sz w:val="24"/>
          <w:lang w:eastAsia="ja-JP"/>
        </w:rPr>
        <w:t>Identification, access and camping restrictions</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5A9D3261" w14:textId="492A1E83" w:rsidR="00137660" w:rsidRDefault="007933AE" w:rsidP="00137660">
      <w:pPr>
        <w:rPr>
          <w:lang w:eastAsia="ja-JP"/>
        </w:rPr>
      </w:pPr>
      <w:r>
        <w:rPr>
          <w:rFonts w:hint="eastAsia"/>
          <w:lang w:eastAsia="ja-JP"/>
        </w:rPr>
        <w:t xml:space="preserve">At </w:t>
      </w:r>
      <w:r>
        <w:rPr>
          <w:lang w:eastAsia="ja-JP"/>
        </w:rPr>
        <w:t>RAN #91-e, TSG-RAN extensively discussed the objective of reduced minimum number of Rx branches and approved the revised WID in which the corresponding update</w:t>
      </w:r>
      <w:r w:rsidR="00F27CFB">
        <w:rPr>
          <w:lang w:eastAsia="ja-JP"/>
        </w:rPr>
        <w:t>s were</w:t>
      </w:r>
      <w:r>
        <w:rPr>
          <w:lang w:eastAsia="ja-JP"/>
        </w:rPr>
        <w:t xml:space="preserve"> made as shown below [1].</w:t>
      </w:r>
    </w:p>
    <w:tbl>
      <w:tblPr>
        <w:tblStyle w:val="af4"/>
        <w:tblW w:w="0" w:type="auto"/>
        <w:tblLook w:val="04A0" w:firstRow="1" w:lastRow="0" w:firstColumn="1" w:lastColumn="0" w:noHBand="0" w:noVBand="1"/>
      </w:tblPr>
      <w:tblGrid>
        <w:gridCol w:w="9629"/>
      </w:tblGrid>
      <w:tr w:rsidR="007933AE" w14:paraId="6760DE1D" w14:textId="77777777" w:rsidTr="007933AE">
        <w:tc>
          <w:tcPr>
            <w:tcW w:w="9629" w:type="dxa"/>
          </w:tcPr>
          <w:p w14:paraId="7B597A35" w14:textId="255DD0F7" w:rsidR="000C0D1A" w:rsidRDefault="000C0D1A" w:rsidP="00137660">
            <w:pPr>
              <w:rPr>
                <w:lang w:eastAsia="ja-JP"/>
              </w:rPr>
            </w:pPr>
            <w:r>
              <w:rPr>
                <w:rFonts w:hint="eastAsia"/>
                <w:lang w:eastAsia="ja-JP"/>
              </w:rPr>
              <w:t>-</w:t>
            </w:r>
            <w:r>
              <w:rPr>
                <w:lang w:eastAsia="ja-JP"/>
              </w:rPr>
              <w:tab/>
            </w:r>
            <w:r w:rsidRPr="000C0D1A">
              <w:rPr>
                <w:lang w:eastAsia="ja-JP"/>
              </w:rPr>
              <w:t>Specify support for the following UE complexity reduction features [RAN1, RAN2, RAN4]:</w:t>
            </w:r>
          </w:p>
          <w:p w14:paraId="69CDE681" w14:textId="230171A5" w:rsidR="007933AE" w:rsidRDefault="000C0D1A" w:rsidP="000C0D1A">
            <w:pPr>
              <w:pStyle w:val="B1"/>
            </w:pPr>
            <w:r>
              <w:t>-</w:t>
            </w:r>
            <w:r>
              <w:tab/>
            </w:r>
            <w:r w:rsidR="007933AE">
              <w:rPr>
                <w:rFonts w:hint="eastAsia"/>
              </w:rPr>
              <w:t>Reduced minimum number of Rx branches:</w:t>
            </w:r>
          </w:p>
          <w:p w14:paraId="53789184" w14:textId="48CDDFFE" w:rsidR="007933AE" w:rsidRPr="00AC5CC1" w:rsidRDefault="000C0D1A" w:rsidP="000C0D1A">
            <w:pPr>
              <w:pStyle w:val="B2"/>
            </w:pPr>
            <w:r>
              <w:rPr>
                <w:rFonts w:hint="eastAsia"/>
              </w:rPr>
              <w:t>-</w:t>
            </w:r>
            <w:r>
              <w:tab/>
            </w:r>
            <w:r w:rsidR="007933AE" w:rsidRPr="007933AE">
              <w:t xml:space="preserve">For frequency bands where a legacy NR UE (other than 2-Rx vehicular UE) is required to be equipped with a minimum of 4 Rx antenna ports, </w:t>
            </w:r>
            <w:r w:rsidR="007933AE" w:rsidRPr="00AC5CC1">
              <w:t>the minimum number of Rx branches supported by specification for a RedCap UE is 1. The specification also supports 2 Rx branches for a RedCap UE in these bands.</w:t>
            </w:r>
          </w:p>
          <w:p w14:paraId="35E9B1CA" w14:textId="6B5E3595" w:rsidR="007933AE" w:rsidRDefault="000C0D1A" w:rsidP="000C0D1A">
            <w:pPr>
              <w:pStyle w:val="B2"/>
            </w:pPr>
            <w:r>
              <w:t>-</w:t>
            </w:r>
            <w:r>
              <w:tab/>
            </w:r>
            <w:r w:rsidR="007933AE" w:rsidRPr="007933AE">
              <w:t xml:space="preserve">A means shall be specified by which the </w:t>
            </w:r>
            <w:proofErr w:type="spellStart"/>
            <w:r w:rsidR="007933AE" w:rsidRPr="007933AE">
              <w:t>gNB</w:t>
            </w:r>
            <w:proofErr w:type="spellEnd"/>
            <w:r w:rsidR="007933AE" w:rsidRPr="007933AE">
              <w:t xml:space="preserve"> can know the number of Rx branches of the UE.</w:t>
            </w:r>
          </w:p>
          <w:p w14:paraId="386DCD11" w14:textId="41AE6919" w:rsidR="00F61303" w:rsidRPr="000C0D1A" w:rsidRDefault="000C0D1A" w:rsidP="000C0D1A">
            <w:pPr>
              <w:rPr>
                <w:lang w:eastAsia="ja-JP"/>
              </w:rPr>
            </w:pPr>
            <w:r w:rsidRPr="00BF09C2">
              <w:rPr>
                <w:rFonts w:hint="eastAsia"/>
                <w:highlight w:val="yellow"/>
                <w:lang w:eastAsia="ja-JP"/>
              </w:rPr>
              <w:t>-</w:t>
            </w:r>
            <w:r w:rsidRPr="00BF09C2">
              <w:rPr>
                <w:highlight w:val="yellow"/>
                <w:lang w:eastAsia="ja-JP"/>
              </w:rPr>
              <w:tab/>
              <w:t xml:space="preserve">Specify a system information indication to indicate whether a RedCap UE can camp on the cell/frequency or not; </w:t>
            </w:r>
            <w:r w:rsidRPr="00BF09C2">
              <w:rPr>
                <w:highlight w:val="yellow"/>
                <w:lang w:eastAsia="ja-JP"/>
              </w:rPr>
              <w:tab/>
              <w:t>it shall be possible for the indication to be specific to the number of Rx branches of the UE. [RAN2, RAN1]</w:t>
            </w:r>
          </w:p>
        </w:tc>
      </w:tr>
    </w:tbl>
    <w:p w14:paraId="4909D86E" w14:textId="76D99A33" w:rsidR="007933AE" w:rsidRDefault="007933AE" w:rsidP="00137660">
      <w:pPr>
        <w:rPr>
          <w:lang w:eastAsia="ja-JP"/>
        </w:rPr>
      </w:pPr>
    </w:p>
    <w:p w14:paraId="50BDEEB0" w14:textId="241E4129" w:rsidR="00BF09C2" w:rsidRPr="00E8106D" w:rsidRDefault="00BF09C2" w:rsidP="00137660">
      <w:pPr>
        <w:rPr>
          <w:lang w:eastAsia="ja-JP"/>
        </w:rPr>
      </w:pPr>
      <w:r>
        <w:rPr>
          <w:rFonts w:hint="eastAsia"/>
          <w:lang w:eastAsia="ja-JP"/>
        </w:rPr>
        <w:t xml:space="preserve">An LS was sent to SA1/CT1 to </w:t>
      </w:r>
      <w:r>
        <w:rPr>
          <w:lang w:eastAsia="ja-JP"/>
        </w:rPr>
        <w:t xml:space="preserve">seek their feedback on potential extension of UAC in relation to RedCap devices [2]. Thus, this paper focuses on discussing the camping restriction described in the WID (marked with yellow). Related to this, a potential impact on the cell selection criterion </w:t>
      </w:r>
      <w:r w:rsidR="00E8106D">
        <w:rPr>
          <w:lang w:eastAsia="ja-JP"/>
        </w:rPr>
        <w:t xml:space="preserve">is </w:t>
      </w:r>
      <w:r>
        <w:rPr>
          <w:lang w:eastAsia="ja-JP"/>
        </w:rPr>
        <w:t>discussed</w:t>
      </w:r>
      <w:r w:rsidR="00E8106D">
        <w:rPr>
          <w:lang w:eastAsia="ja-JP"/>
        </w:rPr>
        <w:t>, as well</w:t>
      </w:r>
      <w:r>
        <w:rPr>
          <w:lang w:eastAsia="ja-JP"/>
        </w:rPr>
        <w:t>.</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19B0EDFD" w14:textId="5DA77831" w:rsidR="00743D97" w:rsidRDefault="00ED7DA0" w:rsidP="00ED7DA0">
      <w:pPr>
        <w:pStyle w:val="2"/>
        <w:numPr>
          <w:ilvl w:val="1"/>
          <w:numId w:val="2"/>
        </w:numPr>
        <w:rPr>
          <w:rFonts w:cs="Arial"/>
          <w:lang w:eastAsia="ja-JP"/>
        </w:rPr>
      </w:pPr>
      <w:r>
        <w:rPr>
          <w:rFonts w:cs="Arial" w:hint="eastAsia"/>
          <w:lang w:eastAsia="ja-JP"/>
        </w:rPr>
        <w:t>SI</w:t>
      </w:r>
      <w:r>
        <w:rPr>
          <w:rFonts w:cs="Arial"/>
          <w:lang w:eastAsia="ja-JP"/>
        </w:rPr>
        <w:t xml:space="preserve"> indication on camping restriction</w:t>
      </w:r>
    </w:p>
    <w:p w14:paraId="2577F1A8" w14:textId="5E6CBC7B" w:rsidR="00F119BA" w:rsidRDefault="0023540F" w:rsidP="00F119BA">
      <w:pPr>
        <w:rPr>
          <w:lang w:eastAsia="ja-JP"/>
        </w:rPr>
      </w:pPr>
      <w:r>
        <w:rPr>
          <w:rFonts w:hint="eastAsia"/>
          <w:lang w:eastAsia="ja-JP"/>
        </w:rPr>
        <w:t xml:space="preserve">In accordance with </w:t>
      </w:r>
      <w:r>
        <w:rPr>
          <w:lang w:eastAsia="ja-JP"/>
        </w:rPr>
        <w:t>the</w:t>
      </w:r>
      <w:r>
        <w:rPr>
          <w:rFonts w:hint="eastAsia"/>
          <w:lang w:eastAsia="ja-JP"/>
        </w:rPr>
        <w:t xml:space="preserve"> </w:t>
      </w:r>
      <w:r>
        <w:rPr>
          <w:lang w:eastAsia="ja-JP"/>
        </w:rPr>
        <w:t xml:space="preserve">outcome during the SI phase, how to define the indication on restricting an access from RedCap UEs is described in [3], as shown below. </w:t>
      </w:r>
      <w:r>
        <w:rPr>
          <w:rFonts w:hint="eastAsia"/>
          <w:lang w:eastAsia="ja-JP"/>
        </w:rPr>
        <w:t>It was FFS whether the indication is explicit or implicit and postponed to the WI phase.</w:t>
      </w:r>
    </w:p>
    <w:p w14:paraId="3A1B3629" w14:textId="65D02459" w:rsidR="0023540F" w:rsidRPr="0023540F" w:rsidRDefault="0023540F" w:rsidP="0023540F">
      <w:pPr>
        <w:pBdr>
          <w:top w:val="single" w:sz="4" w:space="1" w:color="auto"/>
          <w:left w:val="single" w:sz="4" w:space="4" w:color="auto"/>
          <w:bottom w:val="single" w:sz="4" w:space="1" w:color="auto"/>
          <w:right w:val="single" w:sz="4" w:space="4" w:color="auto"/>
        </w:pBdr>
        <w:rPr>
          <w:i/>
          <w:lang w:eastAsia="ja-JP"/>
        </w:rPr>
      </w:pPr>
      <w:r w:rsidRPr="0023540F">
        <w:rPr>
          <w:i/>
          <w:lang w:eastAsia="ja-JP"/>
        </w:rPr>
        <w:t xml:space="preserve">For RedCap UEs, </w:t>
      </w:r>
      <w:r w:rsidRPr="0023540F">
        <w:rPr>
          <w:i/>
          <w:u w:val="single"/>
          <w:lang w:eastAsia="ja-JP"/>
        </w:rPr>
        <w:t>an explicit or implicit indication</w:t>
      </w:r>
      <w:r w:rsidRPr="0023540F">
        <w:rPr>
          <w:i/>
          <w:lang w:eastAsia="ja-JP"/>
        </w:rPr>
        <w:t xml:space="preserve"> in broadcast system information can be used to indicate whether a RedCap UE can camp on the cell or not.</w:t>
      </w:r>
    </w:p>
    <w:p w14:paraId="347718B7" w14:textId="4E393C3E" w:rsidR="0023540F" w:rsidRPr="0023540F" w:rsidRDefault="00185FC0" w:rsidP="00F119BA">
      <w:pPr>
        <w:rPr>
          <w:lang w:eastAsia="ja-JP"/>
        </w:rPr>
      </w:pPr>
      <w:r>
        <w:rPr>
          <w:rFonts w:hint="eastAsia"/>
          <w:lang w:eastAsia="ja-JP"/>
        </w:rPr>
        <w:t>In case of NB-</w:t>
      </w:r>
      <w:proofErr w:type="spellStart"/>
      <w:r>
        <w:rPr>
          <w:rFonts w:hint="eastAsia"/>
          <w:lang w:eastAsia="ja-JP"/>
        </w:rPr>
        <w:t>IoT</w:t>
      </w:r>
      <w:proofErr w:type="spellEnd"/>
      <w:r>
        <w:rPr>
          <w:rFonts w:hint="eastAsia"/>
          <w:lang w:eastAsia="ja-JP"/>
        </w:rPr>
        <w:t xml:space="preserve">, </w:t>
      </w:r>
      <w:r>
        <w:rPr>
          <w:lang w:eastAsia="ja-JP"/>
        </w:rPr>
        <w:t>the NB-</w:t>
      </w:r>
      <w:proofErr w:type="spellStart"/>
      <w:r>
        <w:rPr>
          <w:lang w:eastAsia="ja-JP"/>
        </w:rPr>
        <w:t>IoT</w:t>
      </w:r>
      <w:proofErr w:type="spellEnd"/>
      <w:r>
        <w:rPr>
          <w:lang w:eastAsia="ja-JP"/>
        </w:rPr>
        <w:t xml:space="preserve"> UE considers a cell barred, if the UE is unable to </w:t>
      </w:r>
      <w:proofErr w:type="spellStart"/>
      <w:r>
        <w:rPr>
          <w:lang w:eastAsia="ja-JP"/>
        </w:rPr>
        <w:t>aquire</w:t>
      </w:r>
      <w:proofErr w:type="spellEnd"/>
      <w:r>
        <w:rPr>
          <w:lang w:eastAsia="ja-JP"/>
        </w:rPr>
        <w:t xml:space="preserve"> MIB or SIB1, due to the fact that system information for NB-</w:t>
      </w:r>
      <w:proofErr w:type="spellStart"/>
      <w:r>
        <w:rPr>
          <w:lang w:eastAsia="ja-JP"/>
        </w:rPr>
        <w:t>IoT</w:t>
      </w:r>
      <w:proofErr w:type="spellEnd"/>
      <w:r>
        <w:rPr>
          <w:lang w:eastAsia="ja-JP"/>
        </w:rPr>
        <w:t xml:space="preserve"> is different from the one for the other UEs. In case of </w:t>
      </w:r>
      <w:proofErr w:type="spellStart"/>
      <w:r>
        <w:rPr>
          <w:lang w:eastAsia="ja-JP"/>
        </w:rPr>
        <w:t>eMTC</w:t>
      </w:r>
      <w:proofErr w:type="spellEnd"/>
      <w:r>
        <w:rPr>
          <w:lang w:eastAsia="ja-JP"/>
        </w:rPr>
        <w:t xml:space="preserve">, the BL UE considers a cell barred, if SIB1-BR is not scheduled, in addition to the condition of failing to acquire MIB or SIB1-BR. This is also due to the fact that SIB1 (and onwards) for the BL UE is different from the other UEs, whilst MIB is common to BL UE and non-BL UE. As such, an implicit indication was introduced for </w:t>
      </w:r>
      <w:proofErr w:type="spellStart"/>
      <w:r>
        <w:rPr>
          <w:lang w:eastAsia="ja-JP"/>
        </w:rPr>
        <w:t>eMTC</w:t>
      </w:r>
      <w:proofErr w:type="spellEnd"/>
      <w:r>
        <w:rPr>
          <w:lang w:eastAsia="ja-JP"/>
        </w:rPr>
        <w:t xml:space="preserve"> and NB-</w:t>
      </w:r>
      <w:proofErr w:type="spellStart"/>
      <w:r>
        <w:rPr>
          <w:lang w:eastAsia="ja-JP"/>
        </w:rPr>
        <w:t>IoT</w:t>
      </w:r>
      <w:proofErr w:type="spellEnd"/>
      <w:r>
        <w:rPr>
          <w:lang w:eastAsia="ja-JP"/>
        </w:rPr>
        <w:t>.</w:t>
      </w:r>
    </w:p>
    <w:p w14:paraId="48483D60" w14:textId="3D17F1F1" w:rsidR="00ED7DA0" w:rsidRDefault="00BC2D8A" w:rsidP="00F119BA">
      <w:pPr>
        <w:rPr>
          <w:lang w:eastAsia="ja-JP"/>
        </w:rPr>
      </w:pPr>
      <w:r>
        <w:rPr>
          <w:rFonts w:hint="eastAsia"/>
          <w:lang w:eastAsia="ja-JP"/>
        </w:rPr>
        <w:t xml:space="preserve">In contrast, </w:t>
      </w:r>
      <w:r>
        <w:rPr>
          <w:lang w:eastAsia="ja-JP"/>
        </w:rPr>
        <w:t xml:space="preserve">the necessity of separate </w:t>
      </w:r>
      <w:r w:rsidR="00C748F5">
        <w:rPr>
          <w:lang w:eastAsia="ja-JP"/>
        </w:rPr>
        <w:t>SI</w:t>
      </w:r>
      <w:r>
        <w:rPr>
          <w:lang w:eastAsia="ja-JP"/>
        </w:rPr>
        <w:t xml:space="preserve"> for RedCap UEs has not been discussed yet in both RAN1 and RAN2. </w:t>
      </w:r>
      <w:r w:rsidR="00C748F5">
        <w:rPr>
          <w:lang w:eastAsia="ja-JP"/>
        </w:rPr>
        <w:t xml:space="preserve">Given that the maximum bandwidth for RedCap UEs (20 MHz for FR1 and 100 MHz for FR2) is decently large to schedule </w:t>
      </w:r>
      <w:r w:rsidR="00445D19">
        <w:rPr>
          <w:lang w:eastAsia="ja-JP"/>
        </w:rPr>
        <w:t>SI,</w:t>
      </w:r>
      <w:r w:rsidR="00C748F5">
        <w:rPr>
          <w:lang w:eastAsia="ja-JP"/>
        </w:rPr>
        <w:t xml:space="preserve"> </w:t>
      </w:r>
      <w:r w:rsidR="00C104AE">
        <w:rPr>
          <w:lang w:eastAsia="ja-JP"/>
        </w:rPr>
        <w:t xml:space="preserve">MIB and SIBs can be common to RedCap UEs and the others, in terms of the supported bandwidth. </w:t>
      </w:r>
      <w:r w:rsidR="00445D19">
        <w:rPr>
          <w:lang w:eastAsia="ja-JP"/>
        </w:rPr>
        <w:t xml:space="preserve">From the viewpoint of the number of Rx branches reduced for RedCap UEs, coverage recovery may be needed for SIBs. Nevertheless, </w:t>
      </w:r>
      <w:r w:rsidR="00FB48B0">
        <w:rPr>
          <w:lang w:eastAsia="ja-JP"/>
        </w:rPr>
        <w:t>the network can set the appropriate number of repetitions for SIBs</w:t>
      </w:r>
      <w:r w:rsidR="00CD6014">
        <w:rPr>
          <w:lang w:eastAsia="ja-JP"/>
        </w:rPr>
        <w:t xml:space="preserve"> or apply lower MCS</w:t>
      </w:r>
      <w:r w:rsidR="00FB48B0">
        <w:rPr>
          <w:lang w:eastAsia="ja-JP"/>
        </w:rPr>
        <w:t xml:space="preserve">, so that all UEs including RedCap UEs can receive and acquire SIBs. </w:t>
      </w:r>
      <w:r w:rsidR="003306EE">
        <w:rPr>
          <w:lang w:eastAsia="ja-JP"/>
        </w:rPr>
        <w:t xml:space="preserve">Thus, if MIB and SIBs are common to all UEs including RedCap </w:t>
      </w:r>
      <w:r w:rsidR="003306EE">
        <w:rPr>
          <w:lang w:eastAsia="ja-JP"/>
        </w:rPr>
        <w:lastRenderedPageBreak/>
        <w:t xml:space="preserve">UEs, the same approach as introduced for </w:t>
      </w:r>
      <w:proofErr w:type="spellStart"/>
      <w:r w:rsidR="003306EE">
        <w:rPr>
          <w:lang w:eastAsia="ja-JP"/>
        </w:rPr>
        <w:t>eMTC</w:t>
      </w:r>
      <w:proofErr w:type="spellEnd"/>
      <w:r w:rsidR="003306EE">
        <w:rPr>
          <w:lang w:eastAsia="ja-JP"/>
        </w:rPr>
        <w:t xml:space="preserve"> and NB-</w:t>
      </w:r>
      <w:proofErr w:type="spellStart"/>
      <w:r w:rsidR="003306EE">
        <w:rPr>
          <w:lang w:eastAsia="ja-JP"/>
        </w:rPr>
        <w:t>IoT</w:t>
      </w:r>
      <w:proofErr w:type="spellEnd"/>
      <w:r w:rsidR="003306EE">
        <w:rPr>
          <w:lang w:eastAsia="ja-JP"/>
        </w:rPr>
        <w:t xml:space="preserve"> cannot be used for RedCap UEs. </w:t>
      </w:r>
      <w:r w:rsidR="005A796E">
        <w:rPr>
          <w:lang w:eastAsia="ja-JP"/>
        </w:rPr>
        <w:t>In that sense, an explicit indication is a proper approach to take.</w:t>
      </w:r>
      <w:r w:rsidR="00C56B85">
        <w:rPr>
          <w:lang w:eastAsia="ja-JP"/>
        </w:rPr>
        <w:t xml:space="preserve"> The following can be observed:</w:t>
      </w:r>
    </w:p>
    <w:p w14:paraId="5AA983A4" w14:textId="442236D9" w:rsidR="00C56B85" w:rsidRPr="000207F7" w:rsidRDefault="00B33C54" w:rsidP="00B33C54">
      <w:pPr>
        <w:pStyle w:val="B1"/>
      </w:pPr>
      <w:r w:rsidRPr="000207F7">
        <w:rPr>
          <w:rFonts w:hint="eastAsia"/>
          <w:b/>
        </w:rPr>
        <w:t>Observation 1:</w:t>
      </w:r>
      <w:r>
        <w:rPr>
          <w:rFonts w:hint="eastAsia"/>
        </w:rPr>
        <w:tab/>
      </w:r>
      <w:r w:rsidR="000B0E1E">
        <w:t xml:space="preserve">If </w:t>
      </w:r>
      <w:r w:rsidR="00DB60BB">
        <w:t xml:space="preserve">the specification allows that </w:t>
      </w:r>
      <w:r w:rsidR="000B0E1E">
        <w:t>system information (MIB and SIBs) is common</w:t>
      </w:r>
      <w:r w:rsidR="000207F7">
        <w:t xml:space="preserve"> to all UEs </w:t>
      </w:r>
      <w:r w:rsidR="00DB60BB">
        <w:tab/>
      </w:r>
      <w:r w:rsidR="00DB60BB">
        <w:tab/>
      </w:r>
      <w:r w:rsidR="00DB60BB">
        <w:tab/>
      </w:r>
      <w:r w:rsidR="00DB60BB">
        <w:tab/>
      </w:r>
      <w:r w:rsidR="00DB60BB">
        <w:tab/>
      </w:r>
      <w:r w:rsidR="00DB60BB">
        <w:tab/>
      </w:r>
      <w:r w:rsidR="000207F7">
        <w:t xml:space="preserve">(including RedCap UEs), the implicit indication as defined for </w:t>
      </w:r>
      <w:proofErr w:type="spellStart"/>
      <w:r w:rsidR="000207F7">
        <w:t>eMTC</w:t>
      </w:r>
      <w:proofErr w:type="spellEnd"/>
      <w:r w:rsidR="000207F7">
        <w:t>/NB-</w:t>
      </w:r>
      <w:proofErr w:type="spellStart"/>
      <w:r w:rsidR="000207F7">
        <w:t>IoT</w:t>
      </w:r>
      <w:proofErr w:type="spellEnd"/>
      <w:r w:rsidR="000207F7">
        <w:t xml:space="preserve"> cannot be used for </w:t>
      </w:r>
      <w:r w:rsidR="00DB60BB">
        <w:tab/>
      </w:r>
      <w:r w:rsidR="00DB60BB">
        <w:tab/>
      </w:r>
      <w:r w:rsidR="00DB60BB">
        <w:tab/>
      </w:r>
      <w:r w:rsidR="00DB60BB">
        <w:tab/>
      </w:r>
      <w:r w:rsidR="000207F7">
        <w:t>RedCap UEs.</w:t>
      </w:r>
    </w:p>
    <w:p w14:paraId="2C46DA0B" w14:textId="2FAEE866" w:rsidR="00F83C6A" w:rsidRDefault="009C54AC" w:rsidP="00F119BA">
      <w:pPr>
        <w:rPr>
          <w:lang w:eastAsia="ja-JP"/>
        </w:rPr>
      </w:pPr>
      <w:r>
        <w:rPr>
          <w:rFonts w:hint="eastAsia"/>
          <w:lang w:eastAsia="ja-JP"/>
        </w:rPr>
        <w:t xml:space="preserve">On the explicit indication related to </w:t>
      </w:r>
      <w:r>
        <w:rPr>
          <w:lang w:eastAsia="ja-JP"/>
        </w:rPr>
        <w:t>the camping restriction, there is the existing field so called “</w:t>
      </w:r>
      <w:proofErr w:type="spellStart"/>
      <w:r w:rsidRPr="009C54AC">
        <w:rPr>
          <w:i/>
          <w:lang w:eastAsia="ja-JP"/>
        </w:rPr>
        <w:t>cellReservedForFutureUse</w:t>
      </w:r>
      <w:proofErr w:type="spellEnd"/>
      <w:r>
        <w:rPr>
          <w:lang w:eastAsia="ja-JP"/>
        </w:rPr>
        <w:t>”.</w:t>
      </w:r>
      <w:r w:rsidR="00E64A92">
        <w:rPr>
          <w:lang w:eastAsia="ja-JP"/>
        </w:rPr>
        <w:t xml:space="preserve"> The us</w:t>
      </w:r>
      <w:r w:rsidR="0045135C">
        <w:rPr>
          <w:lang w:eastAsia="ja-JP"/>
        </w:rPr>
        <w:t xml:space="preserve">age of this field it to bar </w:t>
      </w:r>
      <w:r w:rsidR="00E64A92">
        <w:rPr>
          <w:lang w:eastAsia="ja-JP"/>
        </w:rPr>
        <w:t xml:space="preserve">access from legacy UEs and allow access from the UE supporting future use cases. </w:t>
      </w:r>
      <w:r w:rsidR="0043390B">
        <w:rPr>
          <w:lang w:eastAsia="ja-JP"/>
        </w:rPr>
        <w:t xml:space="preserve">For the RedCap scenario, intended behaviour is </w:t>
      </w:r>
      <w:r w:rsidR="00BB55E4">
        <w:rPr>
          <w:lang w:eastAsia="ja-JP"/>
        </w:rPr>
        <w:t xml:space="preserve">to </w:t>
      </w:r>
      <w:r w:rsidR="0043390B">
        <w:rPr>
          <w:lang w:eastAsia="ja-JP"/>
        </w:rPr>
        <w:t>allow or</w:t>
      </w:r>
      <w:r w:rsidR="0045135C">
        <w:rPr>
          <w:lang w:eastAsia="ja-JP"/>
        </w:rPr>
        <w:t xml:space="preserve"> bar </w:t>
      </w:r>
      <w:r w:rsidR="0043390B">
        <w:rPr>
          <w:lang w:eastAsia="ja-JP"/>
        </w:rPr>
        <w:t>access from RedCap UEs,</w:t>
      </w:r>
      <w:r w:rsidR="0045135C">
        <w:rPr>
          <w:lang w:eastAsia="ja-JP"/>
        </w:rPr>
        <w:t xml:space="preserve"> which does not affect </w:t>
      </w:r>
      <w:r w:rsidR="0043390B">
        <w:rPr>
          <w:lang w:eastAsia="ja-JP"/>
        </w:rPr>
        <w:t xml:space="preserve">access from legacy UEs. </w:t>
      </w:r>
      <w:r w:rsidR="00DB60BB">
        <w:rPr>
          <w:lang w:eastAsia="ja-JP"/>
        </w:rPr>
        <w:t xml:space="preserve">Therefore, the </w:t>
      </w:r>
      <w:proofErr w:type="spellStart"/>
      <w:r w:rsidR="00DB60BB" w:rsidRPr="00DB60BB">
        <w:rPr>
          <w:i/>
          <w:lang w:eastAsia="ja-JP"/>
        </w:rPr>
        <w:t>cellReservedForFutureUse</w:t>
      </w:r>
      <w:proofErr w:type="spellEnd"/>
      <w:r w:rsidR="00DB60BB">
        <w:rPr>
          <w:lang w:eastAsia="ja-JP"/>
        </w:rPr>
        <w:t xml:space="preserve"> cannot be used for the RedCap use case. In that case, a new explicit indication is defined to allow the access from RedCap UEs. Due to the fact that spare bits in P-BCH/MIB are quite limited, a proper place to define the new indication is SIB1.</w:t>
      </w:r>
      <w:r w:rsidR="004520BC">
        <w:rPr>
          <w:lang w:eastAsia="ja-JP"/>
        </w:rPr>
        <w:t xml:space="preserve"> Therefore, the following</w:t>
      </w:r>
      <w:r w:rsidR="006260EB">
        <w:rPr>
          <w:lang w:eastAsia="ja-JP"/>
        </w:rPr>
        <w:t>s are</w:t>
      </w:r>
      <w:r w:rsidR="004520BC">
        <w:rPr>
          <w:lang w:eastAsia="ja-JP"/>
        </w:rPr>
        <w:t xml:space="preserve"> proposed:</w:t>
      </w:r>
    </w:p>
    <w:p w14:paraId="380FBD34" w14:textId="09D0E020" w:rsidR="004520BC" w:rsidRPr="00356688" w:rsidRDefault="0045135C" w:rsidP="0045135C">
      <w:pPr>
        <w:pStyle w:val="B1"/>
        <w:rPr>
          <w:b/>
        </w:rPr>
      </w:pPr>
      <w:r w:rsidRPr="00356688">
        <w:rPr>
          <w:rFonts w:hint="eastAsia"/>
          <w:b/>
        </w:rPr>
        <w:t>Proposal 1:</w:t>
      </w:r>
      <w:r w:rsidRPr="00356688">
        <w:rPr>
          <w:rFonts w:hint="eastAsia"/>
          <w:b/>
        </w:rPr>
        <w:tab/>
      </w:r>
      <w:r w:rsidRPr="00356688">
        <w:rPr>
          <w:b/>
        </w:rPr>
        <w:tab/>
        <w:t>Introduce a new explicit indication in SIB1 to allow access from RedCap UEs.</w:t>
      </w:r>
    </w:p>
    <w:p w14:paraId="5D21485A" w14:textId="134502BE" w:rsidR="0045135C" w:rsidRPr="00356688" w:rsidRDefault="0045135C" w:rsidP="0045135C">
      <w:pPr>
        <w:pStyle w:val="B1"/>
        <w:rPr>
          <w:b/>
        </w:rPr>
      </w:pPr>
      <w:r w:rsidRPr="00356688">
        <w:rPr>
          <w:b/>
        </w:rPr>
        <w:t>Proposal 1a:</w:t>
      </w:r>
      <w:r w:rsidRPr="00356688">
        <w:rPr>
          <w:b/>
        </w:rPr>
        <w:tab/>
      </w:r>
      <w:r w:rsidRPr="00356688">
        <w:rPr>
          <w:b/>
        </w:rPr>
        <w:tab/>
        <w:t>If the new indication is not broadcast in SIB1, a Redcap UE considers a cell barred.</w:t>
      </w:r>
    </w:p>
    <w:p w14:paraId="39EC85B2" w14:textId="546BA312" w:rsidR="000207F7" w:rsidRDefault="0045135C" w:rsidP="00F119BA">
      <w:pPr>
        <w:rPr>
          <w:lang w:eastAsia="ja-JP"/>
        </w:rPr>
      </w:pPr>
      <w:r>
        <w:rPr>
          <w:lang w:eastAsia="ja-JP"/>
        </w:rPr>
        <w:t xml:space="preserve">Needless to say, </w:t>
      </w:r>
      <w:r>
        <w:rPr>
          <w:rFonts w:hint="eastAsia"/>
          <w:lang w:eastAsia="ja-JP"/>
        </w:rPr>
        <w:t xml:space="preserve">the existing fields of </w:t>
      </w:r>
      <w:proofErr w:type="spellStart"/>
      <w:r w:rsidRPr="0045135C">
        <w:rPr>
          <w:rFonts w:hint="eastAsia"/>
          <w:i/>
          <w:lang w:eastAsia="ja-JP"/>
        </w:rPr>
        <w:t>cellBarred</w:t>
      </w:r>
      <w:proofErr w:type="spellEnd"/>
      <w:r>
        <w:rPr>
          <w:rFonts w:hint="eastAsia"/>
          <w:lang w:eastAsia="ja-JP"/>
        </w:rPr>
        <w:t xml:space="preserve"> and </w:t>
      </w:r>
      <w:proofErr w:type="spellStart"/>
      <w:r w:rsidRPr="0045135C">
        <w:rPr>
          <w:rFonts w:hint="eastAsia"/>
          <w:i/>
          <w:lang w:eastAsia="ja-JP"/>
        </w:rPr>
        <w:t>cellReservedForOperatorUse</w:t>
      </w:r>
      <w:proofErr w:type="spellEnd"/>
      <w:r>
        <w:rPr>
          <w:rFonts w:hint="eastAsia"/>
          <w:lang w:eastAsia="ja-JP"/>
        </w:rPr>
        <w:t xml:space="preserve"> are </w:t>
      </w:r>
      <w:r>
        <w:rPr>
          <w:lang w:eastAsia="ja-JP"/>
        </w:rPr>
        <w:t>applicable to RedCap UEs, as in the legacy, if set to true.</w:t>
      </w:r>
    </w:p>
    <w:p w14:paraId="19B5DCB8" w14:textId="2CE179EA" w:rsidR="0045135C" w:rsidRDefault="00F2501A" w:rsidP="00F119BA">
      <w:pPr>
        <w:rPr>
          <w:lang w:eastAsia="ja-JP"/>
        </w:rPr>
      </w:pPr>
      <w:r>
        <w:rPr>
          <w:rFonts w:hint="eastAsia"/>
          <w:lang w:eastAsia="ja-JP"/>
        </w:rPr>
        <w:t xml:space="preserve">The next point in question is how to address the </w:t>
      </w:r>
      <w:r>
        <w:rPr>
          <w:lang w:eastAsia="ja-JP"/>
        </w:rPr>
        <w:t>following objective which was stemmed from the extensive argument on the reduces Rx branches.</w:t>
      </w:r>
    </w:p>
    <w:p w14:paraId="610ED787" w14:textId="7FAA93D7" w:rsidR="00F2501A" w:rsidRDefault="00F2501A" w:rsidP="00F2501A">
      <w:pPr>
        <w:pStyle w:val="B1"/>
      </w:pPr>
      <w:r>
        <w:rPr>
          <w:rFonts w:hint="eastAsia"/>
        </w:rPr>
        <w:t>-</w:t>
      </w:r>
      <w:r>
        <w:tab/>
      </w:r>
      <w:r w:rsidRPr="00F2501A">
        <w:rPr>
          <w:i/>
        </w:rPr>
        <w:t>It shall be possible for the indication to be specific to the number of Rx branches of the UE.</w:t>
      </w:r>
    </w:p>
    <w:p w14:paraId="512D8E84" w14:textId="24B4EAD0" w:rsidR="00F2501A" w:rsidRDefault="006260EB" w:rsidP="00F119BA">
      <w:pPr>
        <w:rPr>
          <w:lang w:eastAsia="ja-JP"/>
        </w:rPr>
      </w:pPr>
      <w:r>
        <w:rPr>
          <w:rFonts w:hint="eastAsia"/>
          <w:lang w:eastAsia="ja-JP"/>
        </w:rPr>
        <w:t xml:space="preserve">The main concern expressed in the recent TSG-RAN meetings was the case where the RedCap UE supports 1 Rx for the supported band, whilst the legacy UE supports 2 or 4 Rx for that band. </w:t>
      </w:r>
      <w:r>
        <w:rPr>
          <w:lang w:eastAsia="ja-JP"/>
        </w:rPr>
        <w:t>To address the single Rx case, it is sufficient to define another indication specific to 1 Rx. Together with the new indication for all RedCap UEs (Proposal 1/1a), if the additional indication on 1 Rx is broadcast in SIB1, RedCap UEs with 1 Rx can access the cell. Otherwise, the RedCap UE with 1 Rx is barred from the cell. The followings are proposed:</w:t>
      </w:r>
    </w:p>
    <w:p w14:paraId="4BA0F7BE" w14:textId="2BDDFEE3" w:rsidR="006260EB" w:rsidRPr="00E9093B" w:rsidRDefault="00E9093B" w:rsidP="00E9093B">
      <w:pPr>
        <w:pStyle w:val="B1"/>
        <w:rPr>
          <w:b/>
        </w:rPr>
      </w:pPr>
      <w:r w:rsidRPr="00E9093B">
        <w:rPr>
          <w:rFonts w:hint="eastAsia"/>
          <w:b/>
        </w:rPr>
        <w:t>Proposal 2:</w:t>
      </w:r>
      <w:r w:rsidRPr="00E9093B">
        <w:rPr>
          <w:rFonts w:hint="eastAsia"/>
          <w:b/>
        </w:rPr>
        <w:tab/>
      </w:r>
      <w:r>
        <w:rPr>
          <w:b/>
        </w:rPr>
        <w:tab/>
      </w:r>
      <w:r w:rsidRPr="00E9093B">
        <w:rPr>
          <w:b/>
        </w:rPr>
        <w:t>Introduce another explicit indication in SIB1 to allow access from RedCap UEs with 1 Rx.</w:t>
      </w:r>
    </w:p>
    <w:p w14:paraId="5EA7A57C" w14:textId="692A7DC0" w:rsidR="00E9093B" w:rsidRPr="00E9093B" w:rsidRDefault="00E9093B" w:rsidP="00E9093B">
      <w:pPr>
        <w:pStyle w:val="B1"/>
        <w:rPr>
          <w:b/>
        </w:rPr>
      </w:pPr>
      <w:r w:rsidRPr="00E9093B">
        <w:rPr>
          <w:b/>
        </w:rPr>
        <w:t>Proposal 2a:</w:t>
      </w:r>
      <w:r w:rsidRPr="00E9093B">
        <w:rPr>
          <w:b/>
        </w:rPr>
        <w:tab/>
      </w:r>
      <w:r>
        <w:rPr>
          <w:b/>
        </w:rPr>
        <w:tab/>
      </w:r>
      <w:r w:rsidRPr="00E9093B">
        <w:rPr>
          <w:b/>
        </w:rPr>
        <w:t xml:space="preserve">If the indication to allow access from RedCap UEs is broadcast, but the indication for 1Rx is </w:t>
      </w:r>
      <w:r>
        <w:rPr>
          <w:b/>
        </w:rPr>
        <w:tab/>
      </w:r>
      <w:r>
        <w:rPr>
          <w:b/>
        </w:rPr>
        <w:tab/>
      </w:r>
      <w:r>
        <w:rPr>
          <w:b/>
        </w:rPr>
        <w:tab/>
      </w:r>
      <w:r>
        <w:rPr>
          <w:b/>
        </w:rPr>
        <w:tab/>
      </w:r>
      <w:r w:rsidRPr="00E9093B">
        <w:rPr>
          <w:b/>
        </w:rPr>
        <w:t>not broadcast, the RedCap UE with 1</w:t>
      </w:r>
      <w:r w:rsidR="000615E7">
        <w:rPr>
          <w:b/>
        </w:rPr>
        <w:t xml:space="preserve"> </w:t>
      </w:r>
      <w:r w:rsidRPr="00E9093B">
        <w:rPr>
          <w:b/>
        </w:rPr>
        <w:t>Rx considers a cell barred.</w:t>
      </w:r>
    </w:p>
    <w:p w14:paraId="55229106" w14:textId="3F9C3A6D" w:rsidR="006260EB" w:rsidRDefault="00767AF3" w:rsidP="00F119BA">
      <w:pPr>
        <w:rPr>
          <w:lang w:eastAsia="ja-JP"/>
        </w:rPr>
      </w:pPr>
      <w:r>
        <w:rPr>
          <w:rFonts w:hint="eastAsia"/>
          <w:lang w:eastAsia="ja-JP"/>
        </w:rPr>
        <w:t xml:space="preserve">One more open issue on the camping restriction is whether the existing </w:t>
      </w:r>
      <w:proofErr w:type="spellStart"/>
      <w:r w:rsidRPr="00767AF3">
        <w:rPr>
          <w:i/>
          <w:lang w:eastAsia="ja-JP"/>
        </w:rPr>
        <w:t>intraFreqReselection</w:t>
      </w:r>
      <w:proofErr w:type="spellEnd"/>
      <w:r>
        <w:rPr>
          <w:lang w:eastAsia="ja-JP"/>
        </w:rPr>
        <w:t xml:space="preserve"> field is reused or a new separate field is introduced for RedCap UEs.</w:t>
      </w:r>
      <w:r w:rsidR="00E25847">
        <w:rPr>
          <w:lang w:eastAsia="ja-JP"/>
        </w:rPr>
        <w:t xml:space="preserve"> The policy of setting the value of </w:t>
      </w:r>
      <w:proofErr w:type="spellStart"/>
      <w:r w:rsidR="00E25847" w:rsidRPr="00E25847">
        <w:rPr>
          <w:i/>
          <w:lang w:eastAsia="ja-JP"/>
        </w:rPr>
        <w:t>intraFreqReselection</w:t>
      </w:r>
      <w:proofErr w:type="spellEnd"/>
      <w:r w:rsidR="00E25847">
        <w:rPr>
          <w:lang w:eastAsia="ja-JP"/>
        </w:rPr>
        <w:t xml:space="preserve"> could be different between RedCap UEs and the others. For instance, even though the network allow</w:t>
      </w:r>
      <w:r w:rsidR="00171674">
        <w:rPr>
          <w:lang w:eastAsia="ja-JP"/>
        </w:rPr>
        <w:t>s</w:t>
      </w:r>
      <w:r w:rsidR="00E25847">
        <w:rPr>
          <w:lang w:eastAsia="ja-JP"/>
        </w:rPr>
        <w:t xml:space="preserve"> the legacy UEs to reselect the other cells on the same frequency, the network may want to bar the RedCap UEs from accessing any other cells on the same frequency. In that case, a separate field needs to be introduced for RedCap UEs. Hence, the following is proposed:</w:t>
      </w:r>
    </w:p>
    <w:p w14:paraId="6A902329" w14:textId="48574A38" w:rsidR="00767AF3" w:rsidRPr="00E25847" w:rsidRDefault="00E25847" w:rsidP="00E25847">
      <w:pPr>
        <w:pStyle w:val="B1"/>
        <w:rPr>
          <w:b/>
        </w:rPr>
      </w:pPr>
      <w:r w:rsidRPr="00E25847">
        <w:rPr>
          <w:rFonts w:hint="eastAsia"/>
          <w:b/>
        </w:rPr>
        <w:t>Proposal 3:</w:t>
      </w:r>
      <w:r w:rsidRPr="00E25847">
        <w:rPr>
          <w:rFonts w:hint="eastAsia"/>
          <w:b/>
        </w:rPr>
        <w:tab/>
      </w:r>
      <w:r w:rsidRPr="00E25847">
        <w:rPr>
          <w:b/>
        </w:rPr>
        <w:tab/>
        <w:t xml:space="preserve">Introduce a new field of </w:t>
      </w:r>
      <w:proofErr w:type="spellStart"/>
      <w:r w:rsidRPr="00E25847">
        <w:rPr>
          <w:b/>
          <w:i/>
        </w:rPr>
        <w:t>intraFreqReselection</w:t>
      </w:r>
      <w:proofErr w:type="spellEnd"/>
      <w:r w:rsidRPr="00E25847">
        <w:rPr>
          <w:b/>
        </w:rPr>
        <w:t xml:space="preserve"> in SIB1 for RedCap UEs.</w:t>
      </w:r>
    </w:p>
    <w:p w14:paraId="057E724E" w14:textId="6BB82DB5" w:rsidR="00F119BA" w:rsidRDefault="001F4B3B" w:rsidP="0007695D">
      <w:pPr>
        <w:pStyle w:val="2"/>
        <w:numPr>
          <w:ilvl w:val="1"/>
          <w:numId w:val="2"/>
        </w:numPr>
        <w:rPr>
          <w:rFonts w:cs="Arial"/>
          <w:lang w:eastAsia="ja-JP"/>
        </w:rPr>
      </w:pPr>
      <w:r>
        <w:rPr>
          <w:rFonts w:cs="Arial"/>
          <w:lang w:eastAsia="ja-JP"/>
        </w:rPr>
        <w:t>Cell selection criterion</w:t>
      </w:r>
    </w:p>
    <w:p w14:paraId="3CC16027" w14:textId="510D36B4" w:rsidR="00ED7DA0" w:rsidRDefault="000615E7" w:rsidP="00ED7DA0">
      <w:pPr>
        <w:rPr>
          <w:lang w:eastAsia="ja-JP"/>
        </w:rPr>
      </w:pPr>
      <w:r>
        <w:rPr>
          <w:rFonts w:hint="eastAsia"/>
          <w:lang w:eastAsia="ja-JP"/>
        </w:rPr>
        <w:t xml:space="preserve">For the scenario where the network accommodates RedCap UEs </w:t>
      </w:r>
      <w:r>
        <w:rPr>
          <w:lang w:eastAsia="ja-JP"/>
        </w:rPr>
        <w:t xml:space="preserve">with 1 Rx, it is worthwhile discussing whether the existing cell selection criterion can work for that UE. More often than not, </w:t>
      </w:r>
      <w:proofErr w:type="spellStart"/>
      <w:r>
        <w:rPr>
          <w:lang w:eastAsia="ja-JP"/>
        </w:rPr>
        <w:t>Qrxlevmin</w:t>
      </w:r>
      <w:proofErr w:type="spellEnd"/>
      <w:r>
        <w:rPr>
          <w:lang w:eastAsia="ja-JP"/>
        </w:rPr>
        <w:t xml:space="preserve"> and </w:t>
      </w:r>
      <w:proofErr w:type="spellStart"/>
      <w:r>
        <w:rPr>
          <w:lang w:eastAsia="ja-JP"/>
        </w:rPr>
        <w:t>Qqualmin</w:t>
      </w:r>
      <w:proofErr w:type="spellEnd"/>
      <w:r>
        <w:rPr>
          <w:lang w:eastAsia="ja-JP"/>
        </w:rPr>
        <w:t xml:space="preserve"> are set to the value at the cell boundary aimed for </w:t>
      </w:r>
      <w:r w:rsidR="00A86597">
        <w:rPr>
          <w:lang w:eastAsia="ja-JP"/>
        </w:rPr>
        <w:t xml:space="preserve">the legacy UEs which support the default number of Rx branches in the standard. For 1 Rx UEs, if </w:t>
      </w:r>
      <w:proofErr w:type="spellStart"/>
      <w:r w:rsidR="00A86597">
        <w:rPr>
          <w:lang w:eastAsia="ja-JP"/>
        </w:rPr>
        <w:t>Qrxlevmin</w:t>
      </w:r>
      <w:proofErr w:type="spellEnd"/>
      <w:r w:rsidR="00A86597">
        <w:rPr>
          <w:lang w:eastAsia="ja-JP"/>
        </w:rPr>
        <w:t xml:space="preserve"> and </w:t>
      </w:r>
      <w:proofErr w:type="spellStart"/>
      <w:r w:rsidR="00A86597">
        <w:rPr>
          <w:lang w:eastAsia="ja-JP"/>
        </w:rPr>
        <w:t>Qqualmin</w:t>
      </w:r>
      <w:proofErr w:type="spellEnd"/>
      <w:r w:rsidR="00A86597">
        <w:rPr>
          <w:lang w:eastAsia="ja-JP"/>
        </w:rPr>
        <w:t xml:space="preserve"> are the same as for the legacy UEs, 1 Rx UE experiences </w:t>
      </w:r>
      <w:r w:rsidR="00071720">
        <w:rPr>
          <w:lang w:eastAsia="ja-JP"/>
        </w:rPr>
        <w:t>that coverage is shrunk, as illustrated in Fig.2.2-1, for instance.</w:t>
      </w:r>
      <w:r w:rsidR="00244432">
        <w:rPr>
          <w:lang w:eastAsia="ja-JP"/>
        </w:rPr>
        <w:t xml:space="preserve"> Such a scenario is similar to </w:t>
      </w:r>
      <w:proofErr w:type="spellStart"/>
      <w:r w:rsidR="00244432">
        <w:rPr>
          <w:lang w:eastAsia="ja-JP"/>
        </w:rPr>
        <w:t>eMTC</w:t>
      </w:r>
      <w:proofErr w:type="spellEnd"/>
      <w:r w:rsidR="00244432">
        <w:rPr>
          <w:lang w:eastAsia="ja-JP"/>
        </w:rPr>
        <w:t>/NB-</w:t>
      </w:r>
      <w:proofErr w:type="spellStart"/>
      <w:r w:rsidR="00244432">
        <w:rPr>
          <w:lang w:eastAsia="ja-JP"/>
        </w:rPr>
        <w:t>IoT</w:t>
      </w:r>
      <w:proofErr w:type="spellEnd"/>
      <w:r w:rsidR="00244432">
        <w:rPr>
          <w:lang w:eastAsia="ja-JP"/>
        </w:rPr>
        <w:t xml:space="preserve"> to which the Coverage Extension mode (CE mode) </w:t>
      </w:r>
      <w:r w:rsidR="00294AF9">
        <w:rPr>
          <w:lang w:eastAsia="ja-JP"/>
        </w:rPr>
        <w:t>is supported. H</w:t>
      </w:r>
      <w:r w:rsidR="00315178">
        <w:rPr>
          <w:lang w:eastAsia="ja-JP"/>
        </w:rPr>
        <w:t>owever, it is questionable</w:t>
      </w:r>
      <w:r w:rsidR="00294AF9">
        <w:rPr>
          <w:lang w:eastAsia="ja-JP"/>
        </w:rPr>
        <w:t xml:space="preserve"> if the CE mode like solution is needed for RedCap UEs, since NR has already supported lower MCS and repetitions. Once the network obtains the UE capability on the number of Rx branches, the network can apply a proper configuration to the UE. It is to be specified under the RedCap WI how the network can learn the UE capability on the number of Rx branches [1].</w:t>
      </w:r>
      <w:r w:rsidR="006956BA">
        <w:rPr>
          <w:lang w:eastAsia="ja-JP"/>
        </w:rPr>
        <w:t xml:space="preserve"> Instead of the CE mode like solution, it would be sufficient to </w:t>
      </w:r>
      <w:r w:rsidR="001411BF">
        <w:rPr>
          <w:lang w:eastAsia="ja-JP"/>
        </w:rPr>
        <w:t>extend</w:t>
      </w:r>
      <w:r w:rsidR="006956BA">
        <w:rPr>
          <w:lang w:eastAsia="ja-JP"/>
        </w:rPr>
        <w:t xml:space="preserve"> the cell selection criteria</w:t>
      </w:r>
      <w:r w:rsidR="001411BF">
        <w:rPr>
          <w:lang w:eastAsia="ja-JP"/>
        </w:rPr>
        <w:t xml:space="preserve"> at a minimum</w:t>
      </w:r>
      <w:r w:rsidR="006956BA">
        <w:rPr>
          <w:lang w:eastAsia="ja-JP"/>
        </w:rPr>
        <w:t xml:space="preserve">, so that 1 Rx UEs can experience the same coverage as for the legacy UEs. To enable this, separate </w:t>
      </w:r>
      <w:proofErr w:type="spellStart"/>
      <w:r w:rsidR="006956BA">
        <w:rPr>
          <w:lang w:eastAsia="ja-JP"/>
        </w:rPr>
        <w:t>Qrxlevmin</w:t>
      </w:r>
      <w:proofErr w:type="spellEnd"/>
      <w:r w:rsidR="006956BA">
        <w:rPr>
          <w:lang w:eastAsia="ja-JP"/>
        </w:rPr>
        <w:t xml:space="preserve"> and </w:t>
      </w:r>
      <w:proofErr w:type="spellStart"/>
      <w:r w:rsidR="006956BA">
        <w:rPr>
          <w:lang w:eastAsia="ja-JP"/>
        </w:rPr>
        <w:t>Qqualmin</w:t>
      </w:r>
      <w:proofErr w:type="spellEnd"/>
      <w:r w:rsidR="006956BA">
        <w:rPr>
          <w:lang w:eastAsia="ja-JP"/>
        </w:rPr>
        <w:t xml:space="preserve"> can be considered to introduce, which is specific to 1 Rx UEs. Alternatively, an offset value applied to </w:t>
      </w:r>
      <w:proofErr w:type="spellStart"/>
      <w:r w:rsidR="006956BA">
        <w:rPr>
          <w:lang w:eastAsia="ja-JP"/>
        </w:rPr>
        <w:t>Qrxlevmin</w:t>
      </w:r>
      <w:proofErr w:type="spellEnd"/>
      <w:r w:rsidR="006956BA">
        <w:rPr>
          <w:lang w:eastAsia="ja-JP"/>
        </w:rPr>
        <w:t xml:space="preserve"> and </w:t>
      </w:r>
      <w:proofErr w:type="spellStart"/>
      <w:r w:rsidR="006956BA">
        <w:rPr>
          <w:lang w:eastAsia="ja-JP"/>
        </w:rPr>
        <w:t>Qqualmin</w:t>
      </w:r>
      <w:proofErr w:type="spellEnd"/>
      <w:r w:rsidR="006956BA">
        <w:rPr>
          <w:lang w:eastAsia="ja-JP"/>
        </w:rPr>
        <w:t xml:space="preserve"> is introduced, in case of 1 Rx UEs. Therefore, the following is proposed:</w:t>
      </w:r>
    </w:p>
    <w:p w14:paraId="16E89819" w14:textId="653AB463" w:rsidR="006956BA" w:rsidRPr="001411BF" w:rsidRDefault="006956BA" w:rsidP="006956BA">
      <w:pPr>
        <w:pStyle w:val="B1"/>
        <w:rPr>
          <w:b/>
        </w:rPr>
      </w:pPr>
      <w:r w:rsidRPr="001411BF">
        <w:rPr>
          <w:rFonts w:hint="eastAsia"/>
          <w:b/>
        </w:rPr>
        <w:t>Proposal 4:</w:t>
      </w:r>
      <w:r w:rsidRPr="001411BF">
        <w:rPr>
          <w:rFonts w:hint="eastAsia"/>
          <w:b/>
        </w:rPr>
        <w:tab/>
      </w:r>
      <w:r w:rsidRPr="001411BF">
        <w:rPr>
          <w:b/>
        </w:rPr>
        <w:tab/>
      </w:r>
      <w:r w:rsidR="001411BF" w:rsidRPr="001411BF">
        <w:rPr>
          <w:b/>
        </w:rPr>
        <w:t xml:space="preserve">The cell selection criteria is extended so that RedCap UEs with 1 Rx can experience the same </w:t>
      </w:r>
      <w:r w:rsidR="001411BF">
        <w:rPr>
          <w:b/>
        </w:rPr>
        <w:tab/>
      </w:r>
      <w:r w:rsidR="001411BF">
        <w:rPr>
          <w:b/>
        </w:rPr>
        <w:tab/>
      </w:r>
      <w:r w:rsidR="001411BF">
        <w:rPr>
          <w:b/>
        </w:rPr>
        <w:tab/>
      </w:r>
      <w:r w:rsidR="001411BF">
        <w:rPr>
          <w:b/>
        </w:rPr>
        <w:tab/>
      </w:r>
      <w:r w:rsidR="001411BF" w:rsidRPr="001411BF">
        <w:rPr>
          <w:b/>
        </w:rPr>
        <w:t>coverage as for the legacy UEs.</w:t>
      </w:r>
    </w:p>
    <w:p w14:paraId="12554460" w14:textId="12298DD5" w:rsidR="00171674" w:rsidRDefault="00B27CDD" w:rsidP="00B27CDD">
      <w:pPr>
        <w:pStyle w:val="TH"/>
        <w:rPr>
          <w:lang w:eastAsia="ja-JP"/>
        </w:rPr>
      </w:pPr>
      <w:r w:rsidRPr="00B27CDD">
        <w:rPr>
          <w:noProof/>
          <w:lang w:val="en-US" w:eastAsia="ja-JP"/>
        </w:rPr>
        <w:lastRenderedPageBreak/>
        <w:drawing>
          <wp:inline distT="0" distB="0" distL="0" distR="0" wp14:anchorId="2FBED938" wp14:editId="3AA2E03E">
            <wp:extent cx="4577040" cy="25718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7040" cy="2571840"/>
                    </a:xfrm>
                    <a:prstGeom prst="rect">
                      <a:avLst/>
                    </a:prstGeom>
                    <a:noFill/>
                    <a:ln>
                      <a:noFill/>
                    </a:ln>
                  </pic:spPr>
                </pic:pic>
              </a:graphicData>
            </a:graphic>
          </wp:inline>
        </w:drawing>
      </w:r>
    </w:p>
    <w:p w14:paraId="27498344" w14:textId="591AC754" w:rsidR="00171674" w:rsidRDefault="00B27CDD" w:rsidP="00B27CDD">
      <w:pPr>
        <w:pStyle w:val="TF"/>
        <w:rPr>
          <w:lang w:eastAsia="ja-JP"/>
        </w:rPr>
      </w:pPr>
      <w:r>
        <w:rPr>
          <w:rFonts w:hint="eastAsia"/>
          <w:lang w:eastAsia="ja-JP"/>
        </w:rPr>
        <w:t xml:space="preserve">Figure </w:t>
      </w:r>
      <w:r>
        <w:rPr>
          <w:lang w:eastAsia="ja-JP"/>
        </w:rPr>
        <w:t>2.2-1:</w:t>
      </w:r>
      <w:r>
        <w:rPr>
          <w:lang w:eastAsia="ja-JP"/>
        </w:rPr>
        <w:tab/>
      </w:r>
      <w:r w:rsidR="00071720">
        <w:rPr>
          <w:lang w:eastAsia="ja-JP"/>
        </w:rPr>
        <w:t xml:space="preserve">Example of </w:t>
      </w:r>
      <w:r>
        <w:rPr>
          <w:lang w:eastAsia="ja-JP"/>
        </w:rPr>
        <w:t>Coverage visible to 1 Rx UEs</w:t>
      </w:r>
    </w:p>
    <w:p w14:paraId="21E5B524" w14:textId="77777777" w:rsidR="00E57063" w:rsidRDefault="00863065" w:rsidP="00C30470">
      <w:pPr>
        <w:pStyle w:val="2"/>
        <w:numPr>
          <w:ilvl w:val="0"/>
          <w:numId w:val="2"/>
        </w:numPr>
        <w:rPr>
          <w:lang w:eastAsia="ja-JP"/>
        </w:rPr>
      </w:pPr>
      <w:r>
        <w:rPr>
          <w:rFonts w:hint="eastAsia"/>
          <w:lang w:eastAsia="ja-JP"/>
        </w:rPr>
        <w:t>Summary and proposal</w:t>
      </w:r>
    </w:p>
    <w:p w14:paraId="0462F49B" w14:textId="3CF0152D" w:rsidR="00137660" w:rsidRDefault="00E901B2" w:rsidP="00137660">
      <w:pPr>
        <w:rPr>
          <w:lang w:eastAsia="ja-JP"/>
        </w:rPr>
      </w:pPr>
      <w:r>
        <w:rPr>
          <w:rFonts w:hint="eastAsia"/>
          <w:lang w:eastAsia="ja-JP"/>
        </w:rPr>
        <w:t xml:space="preserve">This paper </w:t>
      </w:r>
      <w:r w:rsidR="00FE758A">
        <w:rPr>
          <w:lang w:eastAsia="ja-JP"/>
        </w:rPr>
        <w:t xml:space="preserve">discussed the camping restriction and cell selection criterion for RedCap UEs with 1 Rx branch. In summary, the followings were </w:t>
      </w:r>
      <w:r w:rsidR="00797812">
        <w:rPr>
          <w:lang w:eastAsia="ja-JP"/>
        </w:rPr>
        <w:t xml:space="preserve">observed and </w:t>
      </w:r>
      <w:r w:rsidR="00FE758A">
        <w:rPr>
          <w:lang w:eastAsia="ja-JP"/>
        </w:rPr>
        <w:t>proposed:</w:t>
      </w:r>
    </w:p>
    <w:p w14:paraId="279F568A" w14:textId="77777777" w:rsidR="00374CCE" w:rsidRPr="000207F7" w:rsidRDefault="00374CCE" w:rsidP="00374CCE">
      <w:pPr>
        <w:pStyle w:val="B1"/>
      </w:pPr>
      <w:r w:rsidRPr="000207F7">
        <w:rPr>
          <w:rFonts w:hint="eastAsia"/>
          <w:b/>
        </w:rPr>
        <w:t>Observation 1:</w:t>
      </w:r>
      <w:r>
        <w:rPr>
          <w:rFonts w:hint="eastAsia"/>
        </w:rPr>
        <w:tab/>
      </w:r>
      <w:r>
        <w:t xml:space="preserve">If the specification allows that system information (MIB and SIBs) is common to all UEs </w:t>
      </w:r>
      <w:r>
        <w:tab/>
      </w:r>
      <w:r>
        <w:tab/>
      </w:r>
      <w:r>
        <w:tab/>
      </w:r>
      <w:r>
        <w:tab/>
      </w:r>
      <w:r>
        <w:tab/>
      </w:r>
      <w:r>
        <w:tab/>
        <w:t xml:space="preserve">(including RedCap UEs), the implicit indication as defined for </w:t>
      </w:r>
      <w:proofErr w:type="spellStart"/>
      <w:r>
        <w:t>eMTC</w:t>
      </w:r>
      <w:proofErr w:type="spellEnd"/>
      <w:r>
        <w:t>/NB-</w:t>
      </w:r>
      <w:proofErr w:type="spellStart"/>
      <w:r>
        <w:t>IoT</w:t>
      </w:r>
      <w:proofErr w:type="spellEnd"/>
      <w:r>
        <w:t xml:space="preserve"> cannot be used for </w:t>
      </w:r>
      <w:r>
        <w:tab/>
      </w:r>
      <w:r>
        <w:tab/>
      </w:r>
      <w:r>
        <w:tab/>
      </w:r>
      <w:r>
        <w:tab/>
        <w:t>RedCap UEs.</w:t>
      </w:r>
    </w:p>
    <w:p w14:paraId="3B9C86B8" w14:textId="77777777" w:rsidR="00374CCE" w:rsidRPr="00356688" w:rsidRDefault="00374CCE" w:rsidP="00374CCE">
      <w:pPr>
        <w:pStyle w:val="B1"/>
        <w:rPr>
          <w:b/>
        </w:rPr>
      </w:pPr>
      <w:r w:rsidRPr="00356688">
        <w:rPr>
          <w:rFonts w:hint="eastAsia"/>
          <w:b/>
        </w:rPr>
        <w:t>Proposal 1:</w:t>
      </w:r>
      <w:r w:rsidRPr="00356688">
        <w:rPr>
          <w:rFonts w:hint="eastAsia"/>
          <w:b/>
        </w:rPr>
        <w:tab/>
      </w:r>
      <w:r w:rsidRPr="00356688">
        <w:rPr>
          <w:b/>
        </w:rPr>
        <w:tab/>
        <w:t>Introduce a new explicit indication in SIB1 to allow access from RedCap UEs.</w:t>
      </w:r>
    </w:p>
    <w:p w14:paraId="7EE91C67" w14:textId="77777777" w:rsidR="00374CCE" w:rsidRPr="00356688" w:rsidRDefault="00374CCE" w:rsidP="00374CCE">
      <w:pPr>
        <w:pStyle w:val="B1"/>
        <w:rPr>
          <w:b/>
        </w:rPr>
      </w:pPr>
      <w:r w:rsidRPr="00356688">
        <w:rPr>
          <w:b/>
        </w:rPr>
        <w:t>Proposal 1a:</w:t>
      </w:r>
      <w:r w:rsidRPr="00356688">
        <w:rPr>
          <w:b/>
        </w:rPr>
        <w:tab/>
      </w:r>
      <w:r w:rsidRPr="00356688">
        <w:rPr>
          <w:b/>
        </w:rPr>
        <w:tab/>
        <w:t>If the new indication is not broadcast in SIB1, a Redcap UE considers a cell barred.</w:t>
      </w:r>
    </w:p>
    <w:p w14:paraId="7BE3A903" w14:textId="77777777" w:rsidR="00E5312D" w:rsidRPr="00E9093B" w:rsidRDefault="00E5312D" w:rsidP="00E5312D">
      <w:pPr>
        <w:pStyle w:val="B1"/>
        <w:rPr>
          <w:b/>
        </w:rPr>
      </w:pPr>
      <w:r w:rsidRPr="00E9093B">
        <w:rPr>
          <w:rFonts w:hint="eastAsia"/>
          <w:b/>
        </w:rPr>
        <w:t>Proposal 2:</w:t>
      </w:r>
      <w:r w:rsidRPr="00E9093B">
        <w:rPr>
          <w:rFonts w:hint="eastAsia"/>
          <w:b/>
        </w:rPr>
        <w:tab/>
      </w:r>
      <w:r>
        <w:rPr>
          <w:b/>
        </w:rPr>
        <w:tab/>
      </w:r>
      <w:r w:rsidRPr="00E9093B">
        <w:rPr>
          <w:b/>
        </w:rPr>
        <w:t>Introduce another explicit indication in SIB1 to allow access from RedCap UEs with 1 Rx.</w:t>
      </w:r>
    </w:p>
    <w:p w14:paraId="67D7E494" w14:textId="77777777" w:rsidR="00E5312D" w:rsidRPr="00E9093B" w:rsidRDefault="00E5312D" w:rsidP="00E5312D">
      <w:pPr>
        <w:pStyle w:val="B1"/>
        <w:rPr>
          <w:b/>
        </w:rPr>
      </w:pPr>
      <w:r w:rsidRPr="00E9093B">
        <w:rPr>
          <w:b/>
        </w:rPr>
        <w:t>Proposal 2a:</w:t>
      </w:r>
      <w:r w:rsidRPr="00E9093B">
        <w:rPr>
          <w:b/>
        </w:rPr>
        <w:tab/>
      </w:r>
      <w:r>
        <w:rPr>
          <w:b/>
        </w:rPr>
        <w:tab/>
      </w:r>
      <w:r w:rsidRPr="00E9093B">
        <w:rPr>
          <w:b/>
        </w:rPr>
        <w:t xml:space="preserve">If the indication to allow access from RedCap UEs is broadcast, but the indication for 1Rx is </w:t>
      </w:r>
      <w:r>
        <w:rPr>
          <w:b/>
        </w:rPr>
        <w:tab/>
      </w:r>
      <w:r>
        <w:rPr>
          <w:b/>
        </w:rPr>
        <w:tab/>
      </w:r>
      <w:r>
        <w:rPr>
          <w:b/>
        </w:rPr>
        <w:tab/>
      </w:r>
      <w:r>
        <w:rPr>
          <w:b/>
        </w:rPr>
        <w:tab/>
      </w:r>
      <w:r w:rsidRPr="00E9093B">
        <w:rPr>
          <w:b/>
        </w:rPr>
        <w:t>not broadcast, the RedCap UE with 1</w:t>
      </w:r>
      <w:r>
        <w:rPr>
          <w:b/>
        </w:rPr>
        <w:t xml:space="preserve"> </w:t>
      </w:r>
      <w:r w:rsidRPr="00E9093B">
        <w:rPr>
          <w:b/>
        </w:rPr>
        <w:t>Rx considers a cell barred.</w:t>
      </w:r>
    </w:p>
    <w:p w14:paraId="2B77BFEB" w14:textId="77777777" w:rsidR="00E5312D" w:rsidRPr="00E25847" w:rsidRDefault="00E5312D" w:rsidP="00E5312D">
      <w:pPr>
        <w:pStyle w:val="B1"/>
        <w:rPr>
          <w:b/>
        </w:rPr>
      </w:pPr>
      <w:r w:rsidRPr="00E25847">
        <w:rPr>
          <w:rFonts w:hint="eastAsia"/>
          <w:b/>
        </w:rPr>
        <w:t>Proposal 3:</w:t>
      </w:r>
      <w:r w:rsidRPr="00E25847">
        <w:rPr>
          <w:rFonts w:hint="eastAsia"/>
          <w:b/>
        </w:rPr>
        <w:tab/>
      </w:r>
      <w:r w:rsidRPr="00E25847">
        <w:rPr>
          <w:b/>
        </w:rPr>
        <w:tab/>
        <w:t xml:space="preserve">Introduce a new field of </w:t>
      </w:r>
      <w:proofErr w:type="spellStart"/>
      <w:r w:rsidRPr="00E25847">
        <w:rPr>
          <w:b/>
          <w:i/>
        </w:rPr>
        <w:t>intraFreqReselection</w:t>
      </w:r>
      <w:proofErr w:type="spellEnd"/>
      <w:r w:rsidRPr="00E25847">
        <w:rPr>
          <w:b/>
        </w:rPr>
        <w:t xml:space="preserve"> in SIB1 for RedCap UEs.</w:t>
      </w:r>
    </w:p>
    <w:p w14:paraId="5CF5090A" w14:textId="2027431C" w:rsidR="00FE758A" w:rsidRPr="00E5312D" w:rsidRDefault="00E5312D" w:rsidP="00797812">
      <w:pPr>
        <w:pStyle w:val="B1"/>
      </w:pPr>
      <w:r w:rsidRPr="001411BF">
        <w:rPr>
          <w:rFonts w:hint="eastAsia"/>
          <w:b/>
        </w:rPr>
        <w:t>Proposal 4:</w:t>
      </w:r>
      <w:r w:rsidRPr="001411BF">
        <w:rPr>
          <w:rFonts w:hint="eastAsia"/>
          <w:b/>
        </w:rPr>
        <w:tab/>
      </w:r>
      <w:r w:rsidRPr="001411BF">
        <w:rPr>
          <w:b/>
        </w:rPr>
        <w:tab/>
        <w:t xml:space="preserve">The cell selection criteria is extended so that RedCap UEs with 1 Rx can experience the same </w:t>
      </w:r>
      <w:r>
        <w:rPr>
          <w:b/>
        </w:rPr>
        <w:tab/>
      </w:r>
      <w:r>
        <w:rPr>
          <w:b/>
        </w:rPr>
        <w:tab/>
      </w:r>
      <w:r>
        <w:rPr>
          <w:b/>
        </w:rPr>
        <w:tab/>
      </w:r>
      <w:r>
        <w:rPr>
          <w:b/>
        </w:rPr>
        <w:tab/>
      </w:r>
      <w:r w:rsidRPr="001411BF">
        <w:rPr>
          <w:b/>
        </w:rPr>
        <w:t>coverage as for the legacy UEs.</w:t>
      </w:r>
    </w:p>
    <w:p w14:paraId="634E9F92"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5A4C85E5" w14:textId="05437259" w:rsidR="00137660" w:rsidRDefault="007933AE" w:rsidP="00137660">
      <w:pPr>
        <w:rPr>
          <w:lang w:eastAsia="ja-JP"/>
        </w:rPr>
      </w:pPr>
      <w:r>
        <w:rPr>
          <w:rFonts w:hint="eastAsia"/>
          <w:lang w:eastAsia="ja-JP"/>
        </w:rPr>
        <w:t xml:space="preserve">[1] </w:t>
      </w:r>
      <w:r>
        <w:rPr>
          <w:lang w:eastAsia="ja-JP"/>
        </w:rPr>
        <w:t>RP-210918, “</w:t>
      </w:r>
      <w:r w:rsidRPr="007933AE">
        <w:rPr>
          <w:lang w:eastAsia="ja-JP"/>
        </w:rPr>
        <w:t>Revised WID on support of reduced capability NR devices</w:t>
      </w:r>
      <w:r>
        <w:rPr>
          <w:lang w:eastAsia="ja-JP"/>
        </w:rPr>
        <w:t>,” Nokia, Ericsson.</w:t>
      </w:r>
    </w:p>
    <w:p w14:paraId="07866234" w14:textId="4FE34919" w:rsidR="007933AE" w:rsidRDefault="0038760C" w:rsidP="00137660">
      <w:pPr>
        <w:rPr>
          <w:lang w:eastAsia="ja-JP"/>
        </w:rPr>
      </w:pPr>
      <w:r>
        <w:rPr>
          <w:rFonts w:hint="eastAsia"/>
          <w:lang w:eastAsia="ja-JP"/>
        </w:rPr>
        <w:t xml:space="preserve">[2] RP-210919, </w:t>
      </w:r>
      <w:r>
        <w:rPr>
          <w:lang w:eastAsia="ja-JP"/>
        </w:rPr>
        <w:t>“</w:t>
      </w:r>
      <w:r w:rsidRPr="0038760C">
        <w:rPr>
          <w:lang w:eastAsia="ja-JP"/>
        </w:rPr>
        <w:t>LS on Unified Access Control (UAC) for RedCap</w:t>
      </w:r>
      <w:r>
        <w:rPr>
          <w:lang w:eastAsia="ja-JP"/>
        </w:rPr>
        <w:t>,” TSG-RAN.</w:t>
      </w:r>
    </w:p>
    <w:p w14:paraId="5D7816F4" w14:textId="254429F7" w:rsidR="0023540F" w:rsidRDefault="0023540F" w:rsidP="00137660">
      <w:pPr>
        <w:rPr>
          <w:lang w:eastAsia="ja-JP"/>
        </w:rPr>
      </w:pPr>
      <w:r>
        <w:rPr>
          <w:lang w:eastAsia="ja-JP"/>
        </w:rPr>
        <w:t xml:space="preserve">[3] </w:t>
      </w:r>
      <w:r w:rsidRPr="0023540F">
        <w:rPr>
          <w:lang w:eastAsia="ja-JP"/>
        </w:rPr>
        <w:t>TR 38.875 v2.0.0: Study on support of reduced capability NR devices</w:t>
      </w:r>
    </w:p>
    <w:p w14:paraId="430ABBAD" w14:textId="0DB4C1B6" w:rsidR="00E901B2" w:rsidRPr="00137660" w:rsidRDefault="00E901B2" w:rsidP="00137660">
      <w:pPr>
        <w:rPr>
          <w:lang w:eastAsia="ja-JP"/>
        </w:rPr>
      </w:pPr>
      <w:r>
        <w:rPr>
          <w:lang w:eastAsia="ja-JP"/>
        </w:rPr>
        <w:t xml:space="preserve">[4] </w:t>
      </w:r>
      <w:r w:rsidRPr="00E901B2">
        <w:rPr>
          <w:lang w:eastAsia="ja-JP"/>
        </w:rPr>
        <w:t>R2-2100311</w:t>
      </w:r>
      <w:r>
        <w:rPr>
          <w:lang w:eastAsia="ja-JP"/>
        </w:rPr>
        <w:t>, “</w:t>
      </w:r>
      <w:r w:rsidRPr="00E901B2">
        <w:rPr>
          <w:lang w:eastAsia="ja-JP"/>
        </w:rPr>
        <w:t>Impact of reduced capabilities on upper-layer procedures</w:t>
      </w:r>
      <w:r>
        <w:rPr>
          <w:lang w:eastAsia="ja-JP"/>
        </w:rPr>
        <w:t>,” Qualcomm Incorporated.</w:t>
      </w:r>
    </w:p>
    <w:sectPr w:rsidR="00E901B2" w:rsidRPr="00137660">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5466E" w14:textId="77777777" w:rsidR="00403BB3" w:rsidRDefault="00403BB3">
      <w:r>
        <w:separator/>
      </w:r>
    </w:p>
  </w:endnote>
  <w:endnote w:type="continuationSeparator" w:id="0">
    <w:p w14:paraId="26022813" w14:textId="77777777" w:rsidR="00403BB3" w:rsidRDefault="00403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0E495F90"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4811C2">
      <w:rPr>
        <w:rStyle w:val="af7"/>
      </w:rPr>
      <w:t>3</w:t>
    </w:r>
    <w:r>
      <w:rPr>
        <w:rStyle w:val="af7"/>
      </w:rPr>
      <w:fldChar w:fldCharType="end"/>
    </w:r>
  </w:p>
  <w:p w14:paraId="7321CB8C" w14:textId="77777777"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DE476" w14:textId="77777777" w:rsidR="00403BB3" w:rsidRDefault="00403BB3">
      <w:r>
        <w:separator/>
      </w:r>
    </w:p>
  </w:footnote>
  <w:footnote w:type="continuationSeparator" w:id="0">
    <w:p w14:paraId="5ADBEEAF" w14:textId="77777777" w:rsidR="00403BB3" w:rsidRDefault="00403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15:restartNumberingAfterBreak="0">
    <w:nsid w:val="648A4E2E"/>
    <w:multiLevelType w:val="hybridMultilevel"/>
    <w:tmpl w:val="8C783E30"/>
    <w:lvl w:ilvl="0" w:tplc="04090005">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1"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2"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3"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1"/>
  </w:num>
  <w:num w:numId="2">
    <w:abstractNumId w:val="10"/>
  </w:num>
  <w:num w:numId="3">
    <w:abstractNumId w:val="7"/>
  </w:num>
  <w:num w:numId="4">
    <w:abstractNumId w:val="3"/>
  </w:num>
  <w:num w:numId="5">
    <w:abstractNumId w:val="1"/>
  </w:num>
  <w:num w:numId="6">
    <w:abstractNumId w:val="5"/>
  </w:num>
  <w:num w:numId="7">
    <w:abstractNumId w:val="12"/>
  </w:num>
  <w:num w:numId="8">
    <w:abstractNumId w:val="8"/>
  </w:num>
  <w:num w:numId="9">
    <w:abstractNumId w:val="4"/>
  </w:num>
  <w:num w:numId="10">
    <w:abstractNumId w:val="13"/>
  </w:num>
  <w:num w:numId="11">
    <w:abstractNumId w:val="0"/>
  </w:num>
  <w:num w:numId="12">
    <w:abstractNumId w:val="2"/>
  </w:num>
  <w:num w:numId="13">
    <w:abstractNumId w:val="6"/>
  </w:num>
  <w:num w:numId="1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7F7"/>
    <w:rsid w:val="00020A67"/>
    <w:rsid w:val="00021B75"/>
    <w:rsid w:val="0002248D"/>
    <w:rsid w:val="0002295B"/>
    <w:rsid w:val="000233EB"/>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3A5A"/>
    <w:rsid w:val="000555B2"/>
    <w:rsid w:val="00056CBF"/>
    <w:rsid w:val="000615E7"/>
    <w:rsid w:val="00061D2B"/>
    <w:rsid w:val="00063B2C"/>
    <w:rsid w:val="000648E4"/>
    <w:rsid w:val="00065827"/>
    <w:rsid w:val="00066137"/>
    <w:rsid w:val="000704F5"/>
    <w:rsid w:val="000706D0"/>
    <w:rsid w:val="00070FEF"/>
    <w:rsid w:val="000711D0"/>
    <w:rsid w:val="00071720"/>
    <w:rsid w:val="00071866"/>
    <w:rsid w:val="0007695D"/>
    <w:rsid w:val="00076C4C"/>
    <w:rsid w:val="00077440"/>
    <w:rsid w:val="0008050D"/>
    <w:rsid w:val="00080516"/>
    <w:rsid w:val="00080E86"/>
    <w:rsid w:val="00081AFC"/>
    <w:rsid w:val="0008208A"/>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0E1E"/>
    <w:rsid w:val="000B21A5"/>
    <w:rsid w:val="000B54AF"/>
    <w:rsid w:val="000B5CFA"/>
    <w:rsid w:val="000B5E78"/>
    <w:rsid w:val="000B735A"/>
    <w:rsid w:val="000B7540"/>
    <w:rsid w:val="000B7767"/>
    <w:rsid w:val="000B7828"/>
    <w:rsid w:val="000C02B1"/>
    <w:rsid w:val="000C0D1A"/>
    <w:rsid w:val="000C1A48"/>
    <w:rsid w:val="000C4057"/>
    <w:rsid w:val="000C5131"/>
    <w:rsid w:val="000C513F"/>
    <w:rsid w:val="000C61AB"/>
    <w:rsid w:val="000C6B94"/>
    <w:rsid w:val="000C737B"/>
    <w:rsid w:val="000C7574"/>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6A6C"/>
    <w:rsid w:val="00137660"/>
    <w:rsid w:val="00137A2D"/>
    <w:rsid w:val="001401A0"/>
    <w:rsid w:val="00140338"/>
    <w:rsid w:val="001411BF"/>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F86"/>
    <w:rsid w:val="001629A3"/>
    <w:rsid w:val="00163293"/>
    <w:rsid w:val="00164253"/>
    <w:rsid w:val="0016554C"/>
    <w:rsid w:val="00166484"/>
    <w:rsid w:val="001667D0"/>
    <w:rsid w:val="00167B14"/>
    <w:rsid w:val="00167C34"/>
    <w:rsid w:val="00167D08"/>
    <w:rsid w:val="00171674"/>
    <w:rsid w:val="00171AE5"/>
    <w:rsid w:val="001736D1"/>
    <w:rsid w:val="00174C61"/>
    <w:rsid w:val="001755B2"/>
    <w:rsid w:val="00181806"/>
    <w:rsid w:val="001821BC"/>
    <w:rsid w:val="00182D24"/>
    <w:rsid w:val="00183D2C"/>
    <w:rsid w:val="00184730"/>
    <w:rsid w:val="00184B73"/>
    <w:rsid w:val="00185FC0"/>
    <w:rsid w:val="00187C58"/>
    <w:rsid w:val="00187D7B"/>
    <w:rsid w:val="00190D82"/>
    <w:rsid w:val="001923AB"/>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B3B"/>
    <w:rsid w:val="001F4FD5"/>
    <w:rsid w:val="001F6DD2"/>
    <w:rsid w:val="00202106"/>
    <w:rsid w:val="00202226"/>
    <w:rsid w:val="00203216"/>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540F"/>
    <w:rsid w:val="0023664F"/>
    <w:rsid w:val="00236838"/>
    <w:rsid w:val="00236F3D"/>
    <w:rsid w:val="00237240"/>
    <w:rsid w:val="00237CAF"/>
    <w:rsid w:val="00237E46"/>
    <w:rsid w:val="00240B84"/>
    <w:rsid w:val="00240CE1"/>
    <w:rsid w:val="00241098"/>
    <w:rsid w:val="00241C12"/>
    <w:rsid w:val="00241C4F"/>
    <w:rsid w:val="00242974"/>
    <w:rsid w:val="00244432"/>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1F3E"/>
    <w:rsid w:val="0029222B"/>
    <w:rsid w:val="00294AF9"/>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C5245"/>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178"/>
    <w:rsid w:val="00315510"/>
    <w:rsid w:val="00320783"/>
    <w:rsid w:val="00320EFA"/>
    <w:rsid w:val="00321DB8"/>
    <w:rsid w:val="003243C8"/>
    <w:rsid w:val="003268A1"/>
    <w:rsid w:val="00326D62"/>
    <w:rsid w:val="00327ADA"/>
    <w:rsid w:val="00327F13"/>
    <w:rsid w:val="003306EE"/>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56688"/>
    <w:rsid w:val="00360644"/>
    <w:rsid w:val="00360A98"/>
    <w:rsid w:val="00361803"/>
    <w:rsid w:val="00361FE9"/>
    <w:rsid w:val="003633AD"/>
    <w:rsid w:val="00363CDE"/>
    <w:rsid w:val="0036472C"/>
    <w:rsid w:val="00366AB7"/>
    <w:rsid w:val="003708C7"/>
    <w:rsid w:val="00372A13"/>
    <w:rsid w:val="00372C01"/>
    <w:rsid w:val="00373D3E"/>
    <w:rsid w:val="00373DB8"/>
    <w:rsid w:val="00374CCE"/>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8760C"/>
    <w:rsid w:val="00390EB1"/>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908"/>
    <w:rsid w:val="00402B8A"/>
    <w:rsid w:val="0040304B"/>
    <w:rsid w:val="00403996"/>
    <w:rsid w:val="00403BB3"/>
    <w:rsid w:val="00403FA5"/>
    <w:rsid w:val="004051BB"/>
    <w:rsid w:val="004072DB"/>
    <w:rsid w:val="004105F8"/>
    <w:rsid w:val="00410B6E"/>
    <w:rsid w:val="00410E5A"/>
    <w:rsid w:val="00413D1F"/>
    <w:rsid w:val="00414EDC"/>
    <w:rsid w:val="00416DBF"/>
    <w:rsid w:val="00420C86"/>
    <w:rsid w:val="004224CF"/>
    <w:rsid w:val="0042270A"/>
    <w:rsid w:val="00422CBD"/>
    <w:rsid w:val="004246C7"/>
    <w:rsid w:val="00424DB1"/>
    <w:rsid w:val="0042674B"/>
    <w:rsid w:val="00426906"/>
    <w:rsid w:val="004318EB"/>
    <w:rsid w:val="00433259"/>
    <w:rsid w:val="0043390B"/>
    <w:rsid w:val="0043487D"/>
    <w:rsid w:val="004349F2"/>
    <w:rsid w:val="00435176"/>
    <w:rsid w:val="004405A8"/>
    <w:rsid w:val="00440AE7"/>
    <w:rsid w:val="004430BF"/>
    <w:rsid w:val="00445D19"/>
    <w:rsid w:val="004503DF"/>
    <w:rsid w:val="0045099B"/>
    <w:rsid w:val="0045135C"/>
    <w:rsid w:val="004520BC"/>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1D9A"/>
    <w:rsid w:val="00472027"/>
    <w:rsid w:val="004737C3"/>
    <w:rsid w:val="004750A0"/>
    <w:rsid w:val="00475E97"/>
    <w:rsid w:val="00477748"/>
    <w:rsid w:val="004811C2"/>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3C1B"/>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A796E"/>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0E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56BA"/>
    <w:rsid w:val="006963D6"/>
    <w:rsid w:val="006963F5"/>
    <w:rsid w:val="006974A0"/>
    <w:rsid w:val="00697B41"/>
    <w:rsid w:val="006A00CA"/>
    <w:rsid w:val="006A098C"/>
    <w:rsid w:val="006A26F8"/>
    <w:rsid w:val="006A3D76"/>
    <w:rsid w:val="006A4D02"/>
    <w:rsid w:val="006B0717"/>
    <w:rsid w:val="006B0737"/>
    <w:rsid w:val="006B0B2B"/>
    <w:rsid w:val="006B2DBE"/>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264E"/>
    <w:rsid w:val="006E42E7"/>
    <w:rsid w:val="006E50F8"/>
    <w:rsid w:val="006E5D1C"/>
    <w:rsid w:val="006E61C2"/>
    <w:rsid w:val="006E6B6C"/>
    <w:rsid w:val="006E70B5"/>
    <w:rsid w:val="006F2AFB"/>
    <w:rsid w:val="006F30E0"/>
    <w:rsid w:val="006F781C"/>
    <w:rsid w:val="006F79ED"/>
    <w:rsid w:val="00700D94"/>
    <w:rsid w:val="007037A6"/>
    <w:rsid w:val="00704805"/>
    <w:rsid w:val="00704EE7"/>
    <w:rsid w:val="00706009"/>
    <w:rsid w:val="007072E5"/>
    <w:rsid w:val="00711B24"/>
    <w:rsid w:val="00712D93"/>
    <w:rsid w:val="007143E6"/>
    <w:rsid w:val="00715511"/>
    <w:rsid w:val="0071628B"/>
    <w:rsid w:val="00717D35"/>
    <w:rsid w:val="00721E15"/>
    <w:rsid w:val="00724138"/>
    <w:rsid w:val="00724321"/>
    <w:rsid w:val="00724965"/>
    <w:rsid w:val="00724EE9"/>
    <w:rsid w:val="0072530D"/>
    <w:rsid w:val="0072752A"/>
    <w:rsid w:val="00727613"/>
    <w:rsid w:val="007276E1"/>
    <w:rsid w:val="007277FF"/>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67AF3"/>
    <w:rsid w:val="0077344F"/>
    <w:rsid w:val="0077433D"/>
    <w:rsid w:val="0077770C"/>
    <w:rsid w:val="00777B45"/>
    <w:rsid w:val="00781EB9"/>
    <w:rsid w:val="007821E5"/>
    <w:rsid w:val="00783B42"/>
    <w:rsid w:val="00783C90"/>
    <w:rsid w:val="00785315"/>
    <w:rsid w:val="007915EE"/>
    <w:rsid w:val="007926BB"/>
    <w:rsid w:val="00792E35"/>
    <w:rsid w:val="007933AE"/>
    <w:rsid w:val="00794CDA"/>
    <w:rsid w:val="00794F2E"/>
    <w:rsid w:val="00794FAF"/>
    <w:rsid w:val="00796479"/>
    <w:rsid w:val="007964BD"/>
    <w:rsid w:val="0079668C"/>
    <w:rsid w:val="00796D2A"/>
    <w:rsid w:val="007970D4"/>
    <w:rsid w:val="00797812"/>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E6CBF"/>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B0487"/>
    <w:rsid w:val="008B04B7"/>
    <w:rsid w:val="008B1003"/>
    <w:rsid w:val="008B5579"/>
    <w:rsid w:val="008B6355"/>
    <w:rsid w:val="008C0FB0"/>
    <w:rsid w:val="008C18E9"/>
    <w:rsid w:val="008C2A6A"/>
    <w:rsid w:val="008C3A95"/>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2E9"/>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5A9"/>
    <w:rsid w:val="009C54AC"/>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116E"/>
    <w:rsid w:val="00A73AC8"/>
    <w:rsid w:val="00A754AB"/>
    <w:rsid w:val="00A766FF"/>
    <w:rsid w:val="00A77F20"/>
    <w:rsid w:val="00A81866"/>
    <w:rsid w:val="00A81B2B"/>
    <w:rsid w:val="00A81C90"/>
    <w:rsid w:val="00A860E8"/>
    <w:rsid w:val="00A86597"/>
    <w:rsid w:val="00A86C05"/>
    <w:rsid w:val="00A87F81"/>
    <w:rsid w:val="00A902A0"/>
    <w:rsid w:val="00A9094C"/>
    <w:rsid w:val="00A91149"/>
    <w:rsid w:val="00A91B9B"/>
    <w:rsid w:val="00A92BF4"/>
    <w:rsid w:val="00A94443"/>
    <w:rsid w:val="00A94E39"/>
    <w:rsid w:val="00A95D20"/>
    <w:rsid w:val="00A97FD2"/>
    <w:rsid w:val="00AA2F7A"/>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B54"/>
    <w:rsid w:val="00AC33CC"/>
    <w:rsid w:val="00AC3B8A"/>
    <w:rsid w:val="00AC43D7"/>
    <w:rsid w:val="00AC594D"/>
    <w:rsid w:val="00AC5CC1"/>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3B36"/>
    <w:rsid w:val="00AF424F"/>
    <w:rsid w:val="00AF465D"/>
    <w:rsid w:val="00AF4D1B"/>
    <w:rsid w:val="00AF7022"/>
    <w:rsid w:val="00B003EE"/>
    <w:rsid w:val="00B02A87"/>
    <w:rsid w:val="00B033A1"/>
    <w:rsid w:val="00B076FE"/>
    <w:rsid w:val="00B079B1"/>
    <w:rsid w:val="00B10B4A"/>
    <w:rsid w:val="00B10F80"/>
    <w:rsid w:val="00B1107B"/>
    <w:rsid w:val="00B14552"/>
    <w:rsid w:val="00B14877"/>
    <w:rsid w:val="00B15D8F"/>
    <w:rsid w:val="00B16099"/>
    <w:rsid w:val="00B17DFB"/>
    <w:rsid w:val="00B21B7D"/>
    <w:rsid w:val="00B26A0B"/>
    <w:rsid w:val="00B26D2C"/>
    <w:rsid w:val="00B27CDD"/>
    <w:rsid w:val="00B300CD"/>
    <w:rsid w:val="00B30665"/>
    <w:rsid w:val="00B3082F"/>
    <w:rsid w:val="00B309EA"/>
    <w:rsid w:val="00B318B1"/>
    <w:rsid w:val="00B330D8"/>
    <w:rsid w:val="00B33C54"/>
    <w:rsid w:val="00B34D53"/>
    <w:rsid w:val="00B3540F"/>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4B73"/>
    <w:rsid w:val="00B776F7"/>
    <w:rsid w:val="00B80AB7"/>
    <w:rsid w:val="00B81BAE"/>
    <w:rsid w:val="00B826D3"/>
    <w:rsid w:val="00B82C8F"/>
    <w:rsid w:val="00B82D54"/>
    <w:rsid w:val="00B83B34"/>
    <w:rsid w:val="00B8446D"/>
    <w:rsid w:val="00B855DB"/>
    <w:rsid w:val="00B85BC0"/>
    <w:rsid w:val="00B869BE"/>
    <w:rsid w:val="00B86C54"/>
    <w:rsid w:val="00B86CD1"/>
    <w:rsid w:val="00B874A8"/>
    <w:rsid w:val="00B87F92"/>
    <w:rsid w:val="00B9078B"/>
    <w:rsid w:val="00B90BA7"/>
    <w:rsid w:val="00B92411"/>
    <w:rsid w:val="00B93111"/>
    <w:rsid w:val="00B93909"/>
    <w:rsid w:val="00B97052"/>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5E4"/>
    <w:rsid w:val="00BB5AC3"/>
    <w:rsid w:val="00BB6677"/>
    <w:rsid w:val="00BB7295"/>
    <w:rsid w:val="00BC057D"/>
    <w:rsid w:val="00BC0D17"/>
    <w:rsid w:val="00BC1DE0"/>
    <w:rsid w:val="00BC2D8A"/>
    <w:rsid w:val="00BC3119"/>
    <w:rsid w:val="00BC3137"/>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9C2"/>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04AE"/>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30470"/>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6B85"/>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48F5"/>
    <w:rsid w:val="00C7566A"/>
    <w:rsid w:val="00C758CE"/>
    <w:rsid w:val="00C76CA9"/>
    <w:rsid w:val="00C76D87"/>
    <w:rsid w:val="00C76EA7"/>
    <w:rsid w:val="00C77452"/>
    <w:rsid w:val="00C80EF0"/>
    <w:rsid w:val="00C82BB3"/>
    <w:rsid w:val="00C834BE"/>
    <w:rsid w:val="00C84749"/>
    <w:rsid w:val="00C848BB"/>
    <w:rsid w:val="00C85807"/>
    <w:rsid w:val="00C87E97"/>
    <w:rsid w:val="00C87EC8"/>
    <w:rsid w:val="00C91CB1"/>
    <w:rsid w:val="00C92854"/>
    <w:rsid w:val="00C93FA1"/>
    <w:rsid w:val="00C958AD"/>
    <w:rsid w:val="00C95C44"/>
    <w:rsid w:val="00C96643"/>
    <w:rsid w:val="00CA14F1"/>
    <w:rsid w:val="00CA2060"/>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5E0C"/>
    <w:rsid w:val="00CC6624"/>
    <w:rsid w:val="00CC6716"/>
    <w:rsid w:val="00CD01A0"/>
    <w:rsid w:val="00CD1D14"/>
    <w:rsid w:val="00CD317C"/>
    <w:rsid w:val="00CD3433"/>
    <w:rsid w:val="00CD41B7"/>
    <w:rsid w:val="00CD4D85"/>
    <w:rsid w:val="00CD57FB"/>
    <w:rsid w:val="00CD6014"/>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808DF"/>
    <w:rsid w:val="00D809E1"/>
    <w:rsid w:val="00D81A15"/>
    <w:rsid w:val="00D81A35"/>
    <w:rsid w:val="00D83417"/>
    <w:rsid w:val="00D83736"/>
    <w:rsid w:val="00D9164D"/>
    <w:rsid w:val="00D9229F"/>
    <w:rsid w:val="00D937C4"/>
    <w:rsid w:val="00D9693C"/>
    <w:rsid w:val="00D97AF6"/>
    <w:rsid w:val="00DA0F22"/>
    <w:rsid w:val="00DA43AC"/>
    <w:rsid w:val="00DA5341"/>
    <w:rsid w:val="00DA591D"/>
    <w:rsid w:val="00DA5DB0"/>
    <w:rsid w:val="00DB033A"/>
    <w:rsid w:val="00DB0664"/>
    <w:rsid w:val="00DB0758"/>
    <w:rsid w:val="00DB11D0"/>
    <w:rsid w:val="00DB30C4"/>
    <w:rsid w:val="00DB333B"/>
    <w:rsid w:val="00DB3E99"/>
    <w:rsid w:val="00DB48BF"/>
    <w:rsid w:val="00DB5291"/>
    <w:rsid w:val="00DB60BB"/>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14BF"/>
    <w:rsid w:val="00DF4684"/>
    <w:rsid w:val="00DF54A7"/>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31E4"/>
    <w:rsid w:val="00E25847"/>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12D"/>
    <w:rsid w:val="00E53B25"/>
    <w:rsid w:val="00E56086"/>
    <w:rsid w:val="00E57063"/>
    <w:rsid w:val="00E60FB7"/>
    <w:rsid w:val="00E6239E"/>
    <w:rsid w:val="00E62964"/>
    <w:rsid w:val="00E62B3D"/>
    <w:rsid w:val="00E63430"/>
    <w:rsid w:val="00E63742"/>
    <w:rsid w:val="00E63EBE"/>
    <w:rsid w:val="00E63F81"/>
    <w:rsid w:val="00E64816"/>
    <w:rsid w:val="00E64A92"/>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06D"/>
    <w:rsid w:val="00E818EC"/>
    <w:rsid w:val="00E82D14"/>
    <w:rsid w:val="00E859C9"/>
    <w:rsid w:val="00E86A05"/>
    <w:rsid w:val="00E87AE6"/>
    <w:rsid w:val="00E901B2"/>
    <w:rsid w:val="00E90785"/>
    <w:rsid w:val="00E9093B"/>
    <w:rsid w:val="00E914E1"/>
    <w:rsid w:val="00E91ACE"/>
    <w:rsid w:val="00E926F7"/>
    <w:rsid w:val="00E9314D"/>
    <w:rsid w:val="00E93AED"/>
    <w:rsid w:val="00E95AC2"/>
    <w:rsid w:val="00E95B5F"/>
    <w:rsid w:val="00EA02B5"/>
    <w:rsid w:val="00EA1231"/>
    <w:rsid w:val="00EA4C84"/>
    <w:rsid w:val="00EA530C"/>
    <w:rsid w:val="00EA7ED8"/>
    <w:rsid w:val="00EA7F7A"/>
    <w:rsid w:val="00EB05E2"/>
    <w:rsid w:val="00EB05FE"/>
    <w:rsid w:val="00EB20C7"/>
    <w:rsid w:val="00EB236A"/>
    <w:rsid w:val="00EB3E76"/>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4D80"/>
    <w:rsid w:val="00ED53E0"/>
    <w:rsid w:val="00ED7090"/>
    <w:rsid w:val="00ED7DA0"/>
    <w:rsid w:val="00EE00BA"/>
    <w:rsid w:val="00EE0DB8"/>
    <w:rsid w:val="00EE0E1C"/>
    <w:rsid w:val="00EE26DE"/>
    <w:rsid w:val="00EE351D"/>
    <w:rsid w:val="00EE582B"/>
    <w:rsid w:val="00EE5B59"/>
    <w:rsid w:val="00EE6CAC"/>
    <w:rsid w:val="00EE74DF"/>
    <w:rsid w:val="00EF185F"/>
    <w:rsid w:val="00EF678F"/>
    <w:rsid w:val="00EF6A71"/>
    <w:rsid w:val="00F0000C"/>
    <w:rsid w:val="00F03C74"/>
    <w:rsid w:val="00F05050"/>
    <w:rsid w:val="00F10684"/>
    <w:rsid w:val="00F114DC"/>
    <w:rsid w:val="00F115C8"/>
    <w:rsid w:val="00F11995"/>
    <w:rsid w:val="00F119BA"/>
    <w:rsid w:val="00F11E14"/>
    <w:rsid w:val="00F11FA1"/>
    <w:rsid w:val="00F12157"/>
    <w:rsid w:val="00F13414"/>
    <w:rsid w:val="00F135C2"/>
    <w:rsid w:val="00F144BD"/>
    <w:rsid w:val="00F15081"/>
    <w:rsid w:val="00F15DC7"/>
    <w:rsid w:val="00F17759"/>
    <w:rsid w:val="00F20A0F"/>
    <w:rsid w:val="00F20DA7"/>
    <w:rsid w:val="00F216FD"/>
    <w:rsid w:val="00F21A07"/>
    <w:rsid w:val="00F227FB"/>
    <w:rsid w:val="00F2413B"/>
    <w:rsid w:val="00F24763"/>
    <w:rsid w:val="00F2501A"/>
    <w:rsid w:val="00F27096"/>
    <w:rsid w:val="00F27361"/>
    <w:rsid w:val="00F27CFB"/>
    <w:rsid w:val="00F30DE3"/>
    <w:rsid w:val="00F32B46"/>
    <w:rsid w:val="00F33E7C"/>
    <w:rsid w:val="00F340FD"/>
    <w:rsid w:val="00F344A2"/>
    <w:rsid w:val="00F357C4"/>
    <w:rsid w:val="00F357CE"/>
    <w:rsid w:val="00F3646B"/>
    <w:rsid w:val="00F3767F"/>
    <w:rsid w:val="00F376EA"/>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1303"/>
    <w:rsid w:val="00F62C03"/>
    <w:rsid w:val="00F62F9E"/>
    <w:rsid w:val="00F63955"/>
    <w:rsid w:val="00F648DE"/>
    <w:rsid w:val="00F65EB3"/>
    <w:rsid w:val="00F66025"/>
    <w:rsid w:val="00F67F48"/>
    <w:rsid w:val="00F71EA1"/>
    <w:rsid w:val="00F74A60"/>
    <w:rsid w:val="00F75FBE"/>
    <w:rsid w:val="00F80D60"/>
    <w:rsid w:val="00F80F57"/>
    <w:rsid w:val="00F83C6A"/>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48B0"/>
    <w:rsid w:val="00FB5066"/>
    <w:rsid w:val="00FB6E5D"/>
    <w:rsid w:val="00FB7570"/>
    <w:rsid w:val="00FB7E2C"/>
    <w:rsid w:val="00FC0646"/>
    <w:rsid w:val="00FC07C4"/>
    <w:rsid w:val="00FC1DC7"/>
    <w:rsid w:val="00FC3630"/>
    <w:rsid w:val="00FC3DCF"/>
    <w:rsid w:val="00FC4213"/>
    <w:rsid w:val="00FD3981"/>
    <w:rsid w:val="00FD456C"/>
    <w:rsid w:val="00FD5E7D"/>
    <w:rsid w:val="00FD741B"/>
    <w:rsid w:val="00FE18C0"/>
    <w:rsid w:val="00FE29F0"/>
    <w:rsid w:val="00FE2AF2"/>
    <w:rsid w:val="00FE31C7"/>
    <w:rsid w:val="00FE4C2C"/>
    <w:rsid w:val="00FE575B"/>
    <w:rsid w:val="00FE71E2"/>
    <w:rsid w:val="00FE758A"/>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paragraph" w:styleId="af9">
    <w:name w:val="List Paragraph"/>
    <w:basedOn w:val="a"/>
    <w:uiPriority w:val="34"/>
    <w:qFormat/>
    <w:rsid w:val="007933AE"/>
    <w:pPr>
      <w:ind w:leftChars="400" w:left="840"/>
    </w:pPr>
  </w:style>
  <w:style w:type="character" w:customStyle="1" w:styleId="20">
    <w:name w:val="見出し 2 (文字)"/>
    <w:aliases w:val="Head2A (文字),2 (文字),H2 (文字),h2 (文字)"/>
    <w:basedOn w:val="a0"/>
    <w:link w:val="2"/>
    <w:rsid w:val="00F119B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ABE24E-0E33-4CDE-AD18-E466501BB3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428C47-5566-4F8B-84DD-DAE6521DA828}">
  <ds:schemaRefs>
    <ds:schemaRef ds:uri="http://schemas.microsoft.com/sharepoint/v3/contenttype/forms"/>
  </ds:schemaRefs>
</ds:datastoreItem>
</file>

<file path=customXml/itemProps3.xml><?xml version="1.0" encoding="utf-8"?>
<ds:datastoreItem xmlns:ds="http://schemas.openxmlformats.org/officeDocument/2006/customXml" ds:itemID="{85289149-A6A3-447C-99F7-F432A6249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3</Pages>
  <Words>1417</Words>
  <Characters>8081</Characters>
  <Application>Microsoft Office Word</Application>
  <DocSecurity>0</DocSecurity>
  <Lines>67</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Tatsuki Nagano (長野 樹)</cp:lastModifiedBy>
  <cp:revision>61</cp:revision>
  <cp:lastPrinted>2006-02-09T00:55:00Z</cp:lastPrinted>
  <dcterms:created xsi:type="dcterms:W3CDTF">2021-03-30T10:30:00Z</dcterms:created>
  <dcterms:modified xsi:type="dcterms:W3CDTF">2021-04-02T04:54:00Z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