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[AT113-e][250][Slicing]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r>
              <w:rPr>
                <w:rFonts w:hint="eastAsia"/>
                <w:lang w:val="en-US" w:eastAsia="zh-CN"/>
              </w:rPr>
              <w:t>Xiaofei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r>
              <w:rPr>
                <w:rFonts w:hint="eastAsia"/>
                <w:lang w:val="en-US" w:eastAsia="zh-CN"/>
              </w:rPr>
              <w:t>Chunlin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F29C3" w14:paraId="3B88D0BA" w14:textId="77777777">
        <w:trPr>
          <w:trHeight w:val="240"/>
          <w:jc w:val="center"/>
        </w:trPr>
        <w:tc>
          <w:tcPr>
            <w:tcW w:w="2245" w:type="dxa"/>
            <w:noWrap/>
            <w:vAlign w:val="bottom"/>
          </w:tcPr>
          <w:p w14:paraId="5D8572BF" w14:textId="7A58354F" w:rsidR="001F29C3" w:rsidRDefault="001F29C3" w:rsidP="001F29C3">
            <w:pPr>
              <w:pStyle w:val="TAC"/>
              <w:spacing w:before="20" w:after="20"/>
              <w:ind w:left="57" w:right="57"/>
            </w:pPr>
            <w:r>
              <w:t>Lenovo</w:t>
            </w:r>
          </w:p>
        </w:tc>
        <w:tc>
          <w:tcPr>
            <w:tcW w:w="3231" w:type="dxa"/>
            <w:vAlign w:val="bottom"/>
          </w:tcPr>
          <w:p w14:paraId="638FE253" w14:textId="2501FF41" w:rsidR="001F29C3" w:rsidRDefault="001F29C3" w:rsidP="001F29C3">
            <w:pPr>
              <w:pStyle w:val="TAC"/>
              <w:spacing w:before="20" w:after="20"/>
              <w:ind w:left="57" w:right="57"/>
            </w:pPr>
            <w:r>
              <w:t>Hyung-Nam Choi</w:t>
            </w:r>
          </w:p>
        </w:tc>
        <w:tc>
          <w:tcPr>
            <w:tcW w:w="3879" w:type="dxa"/>
            <w:noWrap/>
            <w:vAlign w:val="bottom"/>
          </w:tcPr>
          <w:p w14:paraId="21EA7B4C" w14:textId="58AA1549" w:rsidR="001F29C3" w:rsidRDefault="001F29C3" w:rsidP="001F29C3">
            <w:pPr>
              <w:pStyle w:val="TAC"/>
              <w:spacing w:before="20" w:after="20"/>
              <w:ind w:left="57" w:right="57"/>
              <w:rPr>
                <w:lang w:val="en-US"/>
              </w:rPr>
            </w:pPr>
            <w:r>
              <w:t>hchoi5@lenovo.com</w:t>
            </w:r>
          </w:p>
        </w:tc>
      </w:tr>
      <w:tr w:rsidR="00195846" w14:paraId="4DA85735" w14:textId="77777777">
        <w:trPr>
          <w:trHeight w:val="240"/>
          <w:jc w:val="center"/>
        </w:trPr>
        <w:tc>
          <w:tcPr>
            <w:tcW w:w="2245" w:type="dxa"/>
            <w:noWrap/>
            <w:vAlign w:val="bottom"/>
          </w:tcPr>
          <w:p w14:paraId="0ABC394E" w14:textId="481A9875" w:rsidR="00195846" w:rsidRDefault="002A6AAE">
            <w:pPr>
              <w:pStyle w:val="TAC"/>
              <w:spacing w:before="20" w:after="20"/>
              <w:ind w:left="57" w:right="57"/>
              <w:rPr>
                <w:lang w:eastAsia="zh-CN"/>
              </w:rPr>
            </w:pPr>
            <w:r>
              <w:rPr>
                <w:lang w:eastAsia="zh-CN"/>
              </w:rPr>
              <w:t>Google</w:t>
            </w:r>
          </w:p>
        </w:tc>
        <w:tc>
          <w:tcPr>
            <w:tcW w:w="3231" w:type="dxa"/>
            <w:vAlign w:val="bottom"/>
          </w:tcPr>
          <w:p w14:paraId="71EF0E9E" w14:textId="7B55AC01" w:rsidR="00195846" w:rsidRDefault="002A6AAE">
            <w:pPr>
              <w:pStyle w:val="TAC"/>
              <w:spacing w:before="20" w:after="20"/>
              <w:ind w:left="57" w:right="57"/>
              <w:rPr>
                <w:lang w:eastAsia="zh-CN"/>
              </w:rPr>
            </w:pPr>
            <w:r>
              <w:rPr>
                <w:lang w:eastAsia="zh-CN"/>
              </w:rPr>
              <w:t>Pavan Nuggehalli</w:t>
            </w:r>
          </w:p>
        </w:tc>
        <w:tc>
          <w:tcPr>
            <w:tcW w:w="3879" w:type="dxa"/>
            <w:noWrap/>
            <w:vAlign w:val="bottom"/>
          </w:tcPr>
          <w:p w14:paraId="7B10C6D2" w14:textId="44B1F16A" w:rsidR="00195846" w:rsidRDefault="002A6AAE">
            <w:pPr>
              <w:pStyle w:val="TAC"/>
              <w:spacing w:before="20" w:after="20"/>
              <w:ind w:left="57" w:right="57"/>
              <w:rPr>
                <w:lang w:eastAsia="zh-CN"/>
              </w:rPr>
            </w:pPr>
            <w:r>
              <w:rPr>
                <w:lang w:eastAsia="zh-CN"/>
              </w:rPr>
              <w:t>nuggehalli@google.com</w:t>
            </w:r>
          </w:p>
        </w:tc>
      </w:tr>
      <w:tr w:rsidR="00195846" w14:paraId="61ED5E7E" w14:textId="77777777">
        <w:trPr>
          <w:trHeight w:val="240"/>
          <w:jc w:val="center"/>
        </w:trPr>
        <w:tc>
          <w:tcPr>
            <w:tcW w:w="2245" w:type="dxa"/>
            <w:noWrap/>
            <w:vAlign w:val="bottom"/>
          </w:tcPr>
          <w:p w14:paraId="4E265BE7" w14:textId="161ADBB3" w:rsidR="00195846" w:rsidRDefault="00ED0624">
            <w:pPr>
              <w:pStyle w:val="TAC"/>
              <w:spacing w:before="20" w:after="20"/>
              <w:ind w:left="57" w:right="57"/>
            </w:pPr>
            <w:r>
              <w:t>Futurewei</w:t>
            </w:r>
          </w:p>
        </w:tc>
        <w:tc>
          <w:tcPr>
            <w:tcW w:w="3231" w:type="dxa"/>
            <w:vAlign w:val="bottom"/>
          </w:tcPr>
          <w:p w14:paraId="30A089FB" w14:textId="3469A54A" w:rsidR="00195846" w:rsidRDefault="00ED0624">
            <w:pPr>
              <w:pStyle w:val="TAC"/>
              <w:spacing w:before="20" w:after="20"/>
              <w:ind w:left="57" w:right="57"/>
            </w:pPr>
            <w:r>
              <w:t>Hao Bi</w:t>
            </w:r>
          </w:p>
        </w:tc>
        <w:tc>
          <w:tcPr>
            <w:tcW w:w="3879" w:type="dxa"/>
            <w:noWrap/>
            <w:vAlign w:val="bottom"/>
          </w:tcPr>
          <w:p w14:paraId="19DA2C97" w14:textId="4AFE633E" w:rsidR="00195846" w:rsidRDefault="00ED0624">
            <w:pPr>
              <w:pStyle w:val="TAC"/>
              <w:spacing w:before="20" w:after="20"/>
              <w:ind w:left="57" w:right="57"/>
            </w:pPr>
            <w:r>
              <w:t>Hao.bi@futurewei.com</w:t>
            </w:r>
          </w:p>
        </w:tc>
      </w:tr>
      <w:tr w:rsidR="00195846" w14:paraId="204417E9" w14:textId="77777777">
        <w:trPr>
          <w:trHeight w:val="240"/>
          <w:jc w:val="center"/>
        </w:trPr>
        <w:tc>
          <w:tcPr>
            <w:tcW w:w="2245" w:type="dxa"/>
            <w:noWrap/>
            <w:vAlign w:val="bottom"/>
          </w:tcPr>
          <w:p w14:paraId="6A4EE61B" w14:textId="6FF5A5FA" w:rsidR="00195846" w:rsidRDefault="00416DB7">
            <w:pPr>
              <w:pStyle w:val="TAC"/>
              <w:spacing w:before="20" w:after="20"/>
              <w:ind w:left="57" w:right="57"/>
            </w:pPr>
            <w:r>
              <w:t>Ericsson</w:t>
            </w:r>
          </w:p>
        </w:tc>
        <w:tc>
          <w:tcPr>
            <w:tcW w:w="3231" w:type="dxa"/>
            <w:vAlign w:val="bottom"/>
          </w:tcPr>
          <w:p w14:paraId="6FDE8DF2" w14:textId="51D7DD75" w:rsidR="00195846" w:rsidRDefault="00416DB7">
            <w:pPr>
              <w:pStyle w:val="TAC"/>
              <w:spacing w:before="20" w:after="20"/>
              <w:ind w:left="57" w:right="57"/>
            </w:pPr>
            <w:r>
              <w:t>Håkan Palm</w:t>
            </w:r>
          </w:p>
        </w:tc>
        <w:tc>
          <w:tcPr>
            <w:tcW w:w="3879" w:type="dxa"/>
            <w:noWrap/>
            <w:vAlign w:val="bottom"/>
          </w:tcPr>
          <w:p w14:paraId="47F86B95" w14:textId="1B63A311" w:rsidR="00195846" w:rsidRDefault="00416DB7">
            <w:pPr>
              <w:pStyle w:val="TAC"/>
              <w:spacing w:before="20" w:after="20"/>
              <w:ind w:left="57" w:right="57"/>
            </w:pPr>
            <w:r>
              <w:t>hakan.l.palm@ericsson.com</w:t>
            </w:r>
          </w:p>
        </w:tc>
      </w:tr>
      <w:tr w:rsidR="00195846" w14:paraId="7BD860E8" w14:textId="77777777">
        <w:trPr>
          <w:trHeight w:val="240"/>
          <w:jc w:val="center"/>
        </w:trPr>
        <w:tc>
          <w:tcPr>
            <w:tcW w:w="2245" w:type="dxa"/>
            <w:noWrap/>
            <w:vAlign w:val="bottom"/>
          </w:tcPr>
          <w:p w14:paraId="6F5604E2" w14:textId="097D9536" w:rsidR="00195846" w:rsidRPr="00FE0EAE" w:rsidRDefault="00FE0EAE">
            <w:pPr>
              <w:pStyle w:val="TAC"/>
              <w:spacing w:before="20" w:after="20"/>
              <w:ind w:left="57" w:right="57"/>
              <w:rPr>
                <w:lang w:val="en-US"/>
              </w:rPr>
            </w:pPr>
            <w:r>
              <w:rPr>
                <w:lang w:val="en-US"/>
              </w:rPr>
              <w:t>Qualcomm</w:t>
            </w:r>
          </w:p>
        </w:tc>
        <w:tc>
          <w:tcPr>
            <w:tcW w:w="3231" w:type="dxa"/>
            <w:vAlign w:val="bottom"/>
          </w:tcPr>
          <w:p w14:paraId="520637A1" w14:textId="6BB85BC9" w:rsidR="00195846" w:rsidRDefault="00FE0EAE">
            <w:pPr>
              <w:pStyle w:val="TAC"/>
              <w:spacing w:before="20" w:after="20"/>
              <w:ind w:left="57" w:right="57"/>
            </w:pPr>
            <w:r>
              <w:t>Peng Cheng</w:t>
            </w:r>
          </w:p>
        </w:tc>
        <w:tc>
          <w:tcPr>
            <w:tcW w:w="3879" w:type="dxa"/>
            <w:noWrap/>
            <w:vAlign w:val="bottom"/>
          </w:tcPr>
          <w:p w14:paraId="5390FA1F" w14:textId="3D3304A4" w:rsidR="00195846" w:rsidRDefault="00FE0EAE">
            <w:pPr>
              <w:pStyle w:val="TAC"/>
              <w:spacing w:before="20" w:after="20"/>
              <w:ind w:left="57" w:right="57"/>
            </w:pPr>
            <w:r>
              <w:t>chengp@qti.qualcomm.com</w:t>
            </w:r>
          </w:p>
        </w:tc>
      </w:tr>
      <w:tr w:rsidR="00195846" w14:paraId="49A7E7AC" w14:textId="77777777">
        <w:trPr>
          <w:trHeight w:val="240"/>
          <w:jc w:val="center"/>
        </w:trPr>
        <w:tc>
          <w:tcPr>
            <w:tcW w:w="2245" w:type="dxa"/>
            <w:noWrap/>
            <w:vAlign w:val="bottom"/>
          </w:tcPr>
          <w:p w14:paraId="370AA8D5" w14:textId="1E8DEB8A" w:rsidR="00195846" w:rsidRPr="004D5B38" w:rsidRDefault="004D5B38">
            <w:pPr>
              <w:pStyle w:val="TAC"/>
              <w:spacing w:before="20" w:after="20"/>
              <w:ind w:left="57" w:right="57"/>
              <w:rPr>
                <w:rFonts w:eastAsia="Malgun Gothic"/>
                <w:lang w:eastAsia="ko-KR"/>
              </w:rPr>
            </w:pPr>
            <w:r>
              <w:rPr>
                <w:rFonts w:eastAsia="Malgun Gothic" w:hint="eastAsia"/>
                <w:lang w:eastAsia="ko-KR"/>
              </w:rPr>
              <w:t>Samsung</w:t>
            </w:r>
          </w:p>
        </w:tc>
        <w:tc>
          <w:tcPr>
            <w:tcW w:w="3231" w:type="dxa"/>
            <w:vAlign w:val="bottom"/>
          </w:tcPr>
          <w:p w14:paraId="2EFBB34B" w14:textId="479FCAD6" w:rsidR="00195846" w:rsidRPr="004D5B38" w:rsidRDefault="004D5B38">
            <w:pPr>
              <w:pStyle w:val="TAC"/>
              <w:spacing w:before="20" w:after="20"/>
              <w:ind w:left="57" w:right="57"/>
              <w:rPr>
                <w:rFonts w:eastAsia="Malgun Gothic"/>
                <w:lang w:eastAsia="ko-KR"/>
              </w:rPr>
            </w:pPr>
            <w:r>
              <w:rPr>
                <w:rFonts w:eastAsia="Malgun Gothic" w:hint="eastAsia"/>
                <w:lang w:eastAsia="ko-KR"/>
              </w:rPr>
              <w:t>Hyunjeong Kang</w:t>
            </w:r>
          </w:p>
        </w:tc>
        <w:tc>
          <w:tcPr>
            <w:tcW w:w="3879" w:type="dxa"/>
            <w:noWrap/>
            <w:vAlign w:val="bottom"/>
          </w:tcPr>
          <w:p w14:paraId="091A1BC4" w14:textId="5FC78A50" w:rsidR="00195846" w:rsidRPr="004D5B38" w:rsidRDefault="004D5B38">
            <w:pPr>
              <w:pStyle w:val="TAC"/>
              <w:spacing w:before="20" w:after="20"/>
              <w:ind w:left="57" w:right="57"/>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195846" w14:paraId="3D33DD46" w14:textId="77777777">
        <w:trPr>
          <w:trHeight w:val="240"/>
          <w:jc w:val="center"/>
        </w:trPr>
        <w:tc>
          <w:tcPr>
            <w:tcW w:w="2245" w:type="dxa"/>
            <w:noWrap/>
            <w:vAlign w:val="bottom"/>
          </w:tcPr>
          <w:p w14:paraId="496F9789" w14:textId="44B139D6" w:rsidR="00195846" w:rsidRPr="00E94B7B" w:rsidRDefault="00E94B7B">
            <w:pPr>
              <w:pStyle w:val="TAC"/>
              <w:spacing w:before="20" w:after="20"/>
              <w:ind w:left="57" w:right="57"/>
              <w:rPr>
                <w:rFonts w:eastAsia="PMingLiU"/>
                <w:lang w:eastAsia="zh-TW"/>
              </w:rPr>
            </w:pPr>
            <w:r>
              <w:rPr>
                <w:rFonts w:eastAsia="PMingLiU"/>
                <w:lang w:eastAsia="zh-TW"/>
              </w:rPr>
              <w:t>APT</w:t>
            </w:r>
          </w:p>
        </w:tc>
        <w:tc>
          <w:tcPr>
            <w:tcW w:w="3231" w:type="dxa"/>
            <w:vAlign w:val="bottom"/>
          </w:tcPr>
          <w:p w14:paraId="59154BBE" w14:textId="22EDF954" w:rsidR="00195846" w:rsidRPr="00E94B7B" w:rsidRDefault="00E94B7B">
            <w:pPr>
              <w:pStyle w:val="TAC"/>
              <w:spacing w:before="20" w:after="20"/>
              <w:ind w:left="57" w:right="57"/>
              <w:rPr>
                <w:rFonts w:eastAsia="PMingLiU"/>
                <w:lang w:eastAsia="zh-TW"/>
              </w:rPr>
            </w:pPr>
            <w:r>
              <w:rPr>
                <w:rFonts w:eastAsia="PMingLiU" w:hint="eastAsia"/>
                <w:lang w:eastAsia="zh-TW"/>
              </w:rPr>
              <w:t>M</w:t>
            </w:r>
            <w:r>
              <w:rPr>
                <w:rFonts w:eastAsia="PMingLiU"/>
                <w:lang w:eastAsia="zh-TW"/>
              </w:rPr>
              <w:t>ei-Ju Shih</w:t>
            </w:r>
          </w:p>
        </w:tc>
        <w:tc>
          <w:tcPr>
            <w:tcW w:w="3879" w:type="dxa"/>
            <w:noWrap/>
            <w:vAlign w:val="bottom"/>
          </w:tcPr>
          <w:p w14:paraId="2107A439" w14:textId="31E8D2EB" w:rsidR="00195846" w:rsidRPr="00E94B7B" w:rsidRDefault="00E94B7B">
            <w:pPr>
              <w:pStyle w:val="TAC"/>
              <w:spacing w:before="20" w:after="20"/>
              <w:ind w:left="57" w:right="57"/>
              <w:rPr>
                <w:rFonts w:eastAsia="PMingLiU"/>
                <w:lang w:eastAsia="zh-TW"/>
              </w:rPr>
            </w:pPr>
            <w:r>
              <w:rPr>
                <w:rFonts w:eastAsia="PMingLiU"/>
                <w:lang w:eastAsia="zh-TW"/>
              </w:rPr>
              <w:t>mei-ju.shih@aptg.com.tw</w:t>
            </w:r>
          </w:p>
        </w:tc>
      </w:tr>
      <w:tr w:rsidR="00195846" w14:paraId="0B9052AF" w14:textId="77777777">
        <w:trPr>
          <w:trHeight w:val="240"/>
          <w:jc w:val="center"/>
        </w:trPr>
        <w:tc>
          <w:tcPr>
            <w:tcW w:w="2245" w:type="dxa"/>
            <w:noWrap/>
            <w:vAlign w:val="bottom"/>
          </w:tcPr>
          <w:p w14:paraId="09BC939C" w14:textId="39123C40" w:rsidR="00195846" w:rsidRDefault="00705C3D">
            <w:pPr>
              <w:pStyle w:val="TAC"/>
              <w:spacing w:before="20" w:after="20"/>
              <w:ind w:left="57" w:right="57"/>
              <w:rPr>
                <w:rFonts w:hint="eastAsia"/>
                <w:lang w:eastAsia="zh-CN"/>
              </w:rPr>
            </w:pPr>
            <w:r>
              <w:rPr>
                <w:rFonts w:hint="eastAsia"/>
                <w:lang w:eastAsia="zh-CN"/>
              </w:rPr>
              <w:t>C</w:t>
            </w:r>
            <w:r>
              <w:rPr>
                <w:lang w:eastAsia="zh-CN"/>
              </w:rPr>
              <w:t>MCC</w:t>
            </w:r>
          </w:p>
        </w:tc>
        <w:tc>
          <w:tcPr>
            <w:tcW w:w="3231" w:type="dxa"/>
            <w:vAlign w:val="bottom"/>
          </w:tcPr>
          <w:p w14:paraId="22777E99" w14:textId="366E20C3" w:rsidR="00195846" w:rsidRDefault="00705C3D">
            <w:pPr>
              <w:pStyle w:val="TAC"/>
              <w:spacing w:before="20" w:after="20"/>
              <w:ind w:left="57" w:right="57"/>
              <w:rPr>
                <w:rFonts w:hint="eastAsia"/>
                <w:lang w:eastAsia="zh-CN"/>
              </w:rPr>
            </w:pPr>
            <w:r>
              <w:rPr>
                <w:lang w:eastAsia="zh-CN"/>
              </w:rPr>
              <w:t>Ningyu Chen</w:t>
            </w:r>
          </w:p>
        </w:tc>
        <w:tc>
          <w:tcPr>
            <w:tcW w:w="3879" w:type="dxa"/>
            <w:noWrap/>
            <w:vAlign w:val="bottom"/>
          </w:tcPr>
          <w:p w14:paraId="5D406C87" w14:textId="7372F3A8" w:rsidR="00195846" w:rsidRDefault="00705C3D">
            <w:pPr>
              <w:pStyle w:val="TAC"/>
              <w:spacing w:before="20" w:after="20"/>
              <w:ind w:left="57" w:right="57"/>
              <w:rPr>
                <w:rFonts w:hint="eastAsia"/>
                <w:lang w:eastAsia="zh-CN"/>
              </w:rPr>
            </w:pPr>
            <w:r>
              <w:rPr>
                <w:rFonts w:hint="eastAsia"/>
                <w:lang w:eastAsia="zh-CN"/>
              </w:rPr>
              <w:t>c</w:t>
            </w:r>
            <w:r>
              <w:rPr>
                <w:lang w:eastAsia="zh-CN"/>
              </w:rPr>
              <w:t>henningyu@chinamobile.com</w:t>
            </w:r>
          </w:p>
        </w:tc>
      </w:tr>
      <w:tr w:rsidR="00195846" w14:paraId="7E05760F" w14:textId="77777777">
        <w:trPr>
          <w:trHeight w:val="240"/>
          <w:jc w:val="center"/>
        </w:trPr>
        <w:tc>
          <w:tcPr>
            <w:tcW w:w="2245" w:type="dxa"/>
            <w:noWrap/>
            <w:vAlign w:val="bottom"/>
          </w:tcPr>
          <w:p w14:paraId="3AC0BCAC" w14:textId="77777777" w:rsidR="00195846" w:rsidRDefault="00195846">
            <w:pPr>
              <w:pStyle w:val="TAC"/>
              <w:spacing w:before="20" w:after="20"/>
              <w:ind w:left="57" w:right="57"/>
            </w:pPr>
          </w:p>
        </w:tc>
        <w:tc>
          <w:tcPr>
            <w:tcW w:w="3231" w:type="dxa"/>
            <w:vAlign w:val="bottom"/>
          </w:tcPr>
          <w:p w14:paraId="0F12D5B3" w14:textId="77777777" w:rsidR="00195846" w:rsidRDefault="00195846">
            <w:pPr>
              <w:pStyle w:val="TAC"/>
              <w:spacing w:before="20" w:after="20"/>
              <w:ind w:left="57" w:right="57"/>
            </w:pPr>
          </w:p>
        </w:tc>
        <w:tc>
          <w:tcPr>
            <w:tcW w:w="3879" w:type="dxa"/>
            <w:noWrap/>
            <w:vAlign w:val="bottom"/>
          </w:tcPr>
          <w:p w14:paraId="609CE4E1" w14:textId="77777777" w:rsidR="00195846" w:rsidRDefault="00195846">
            <w:pPr>
              <w:pStyle w:val="TAC"/>
              <w:spacing w:before="20" w:after="20"/>
              <w:ind w:left="57" w:right="57"/>
            </w:pP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1"/>
      </w:pPr>
      <w:r>
        <w:t>2</w:t>
      </w:r>
      <w:r>
        <w:tab/>
        <w:t>Discussion</w:t>
      </w:r>
    </w:p>
    <w:p w14:paraId="09176822" w14:textId="77777777" w:rsidR="00195846" w:rsidRDefault="00511D61">
      <w:r>
        <w:t>The following document considered during this email discussion</w:t>
      </w:r>
    </w:p>
    <w:p w14:paraId="6202A2A9" w14:textId="77777777" w:rsidR="00195846" w:rsidRDefault="008E0999">
      <w:pPr>
        <w:pStyle w:val="Doc-title"/>
      </w:pPr>
      <w:hyperlink r:id="rId11" w:history="1">
        <w:r w:rsidR="00511D61">
          <w:rPr>
            <w:rStyle w:val="af4"/>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t>FS_NR_slice</w:t>
      </w:r>
    </w:p>
    <w:p w14:paraId="1A272415" w14:textId="77777777" w:rsidR="00195846" w:rsidRDefault="008E0999">
      <w:pPr>
        <w:pStyle w:val="Doc-title"/>
      </w:pPr>
      <w:hyperlink r:id="rId12" w:history="1">
        <w:r w:rsidR="00511D61">
          <w:rPr>
            <w:rStyle w:val="af4"/>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8E0999">
      <w:pPr>
        <w:pStyle w:val="Doc-title"/>
      </w:pPr>
      <w:hyperlink r:id="rId13" w:history="1">
        <w:r w:rsidR="00511D61">
          <w:rPr>
            <w:rStyle w:val="af4"/>
          </w:rPr>
          <w:t>R2-2100893</w:t>
        </w:r>
      </w:hyperlink>
      <w:r w:rsidR="00511D61">
        <w:tab/>
        <w:t>Discussion on SA2 LS</w:t>
      </w:r>
      <w:r w:rsidR="00511D61">
        <w:tab/>
        <w:t>OPPO</w:t>
      </w:r>
      <w:r w:rsidR="00511D61">
        <w:tab/>
        <w:t>discussion</w:t>
      </w:r>
      <w:r w:rsidR="00511D61">
        <w:tab/>
        <w:t>Rel-17</w:t>
      </w:r>
      <w:r w:rsidR="00511D61">
        <w:tab/>
        <w:t>FS_NR_slice</w:t>
      </w:r>
    </w:p>
    <w:p w14:paraId="1879C6E4" w14:textId="77777777" w:rsidR="00195846" w:rsidRDefault="008E0999">
      <w:pPr>
        <w:pStyle w:val="Doc-title"/>
      </w:pPr>
      <w:hyperlink r:id="rId14" w:history="1">
        <w:r w:rsidR="00511D61">
          <w:rPr>
            <w:rStyle w:val="af4"/>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t>FS_NR_slice</w:t>
      </w:r>
      <w:r w:rsidR="00511D61">
        <w:tab/>
        <w:t>R2-2009669</w:t>
      </w:r>
    </w:p>
    <w:p w14:paraId="12CFDDD7" w14:textId="77777777" w:rsidR="00195846" w:rsidRDefault="008E0999">
      <w:pPr>
        <w:pStyle w:val="Doc-title"/>
      </w:pPr>
      <w:hyperlink r:id="rId15" w:history="1">
        <w:r w:rsidR="00511D61">
          <w:rPr>
            <w:rStyle w:val="af4"/>
          </w:rPr>
          <w:t>R2-2101293</w:t>
        </w:r>
      </w:hyperlink>
      <w:r w:rsidR="00511D61">
        <w:tab/>
        <w:t>UE slice MBR enforcement in RAN</w:t>
      </w:r>
      <w:r w:rsidR="00511D61">
        <w:tab/>
        <w:t>Ericsson</w:t>
      </w:r>
      <w:r w:rsidR="00511D61">
        <w:tab/>
        <w:t>discussion</w:t>
      </w:r>
      <w:r w:rsidR="00511D61">
        <w:tab/>
        <w:t>Rel-17</w:t>
      </w:r>
      <w:r w:rsidR="00511D61">
        <w:tab/>
        <w:t>FS_NR_slice</w:t>
      </w:r>
    </w:p>
    <w:p w14:paraId="4B7E3FBF" w14:textId="77777777" w:rsidR="00195846" w:rsidRDefault="008E0999">
      <w:pPr>
        <w:pStyle w:val="Doc-title"/>
      </w:pPr>
      <w:hyperlink r:id="rId16" w:history="1">
        <w:r w:rsidR="00511D61">
          <w:rPr>
            <w:rStyle w:val="af4"/>
          </w:rPr>
          <w:t>R2-2101487</w:t>
        </w:r>
      </w:hyperlink>
      <w:r w:rsidR="00511D61">
        <w:tab/>
        <w:t>Rel-15/16 Status of Cell Configuration on Network Slicing</w:t>
      </w:r>
      <w:r w:rsidR="00511D61">
        <w:tab/>
        <w:t>Futurewei</w:t>
      </w:r>
      <w:r w:rsidR="00511D61">
        <w:tab/>
        <w:t>discussion</w:t>
      </w:r>
      <w:r w:rsidR="00511D61">
        <w:tab/>
        <w:t>Rel-17</w:t>
      </w:r>
      <w:r w:rsidR="00511D61">
        <w:tab/>
        <w:t>FS_NR_slice</w:t>
      </w:r>
    </w:p>
    <w:p w14:paraId="45605688" w14:textId="77777777" w:rsidR="00195846" w:rsidRDefault="008E0999">
      <w:pPr>
        <w:pStyle w:val="Doc-title"/>
      </w:pPr>
      <w:hyperlink r:id="rId17" w:history="1">
        <w:r w:rsidR="00511D61">
          <w:rPr>
            <w:rStyle w:val="af4"/>
          </w:rPr>
          <w:t>R2-2101488</w:t>
        </w:r>
      </w:hyperlink>
      <w:r w:rsidR="00511D61">
        <w:tab/>
        <w:t>DRAFT Reply LS on Cell Configuration within TA/RA to Support Allowed NSSAI</w:t>
      </w:r>
      <w:r w:rsidR="00511D61">
        <w:tab/>
        <w:t>Futurewei</w:t>
      </w:r>
      <w:r w:rsidR="00511D61">
        <w:tab/>
        <w:t>LS out</w:t>
      </w:r>
      <w:r w:rsidR="00511D61">
        <w:tab/>
        <w:t>Rel-17</w:t>
      </w:r>
      <w:r w:rsidR="00511D61">
        <w:tab/>
        <w:t>FS_NR_slice, FS_eNS_Ph2</w:t>
      </w:r>
      <w:r w:rsidR="00511D61">
        <w:tab/>
        <w:t>To:SA2, RAN3, CT1</w:t>
      </w:r>
    </w:p>
    <w:p w14:paraId="1BE47893" w14:textId="77777777" w:rsidR="00195846" w:rsidRDefault="008E0999">
      <w:pPr>
        <w:pStyle w:val="Doc-title"/>
      </w:pPr>
      <w:hyperlink r:id="rId18" w:history="1">
        <w:r w:rsidR="00511D61">
          <w:rPr>
            <w:rStyle w:val="af4"/>
          </w:rPr>
          <w:t>R2-2101933</w:t>
        </w:r>
      </w:hyperlink>
      <w:r w:rsidR="00511D61">
        <w:tab/>
        <w:t>Draft reply LS on Cell Configuration within TARA to Support Allowed NSSAI</w:t>
      </w:r>
      <w:r w:rsidR="00511D61">
        <w:tab/>
        <w:t>ZTE corporation, Sanechips</w:t>
      </w:r>
      <w:r w:rsidR="00511D61">
        <w:tab/>
        <w:t>LS out</w:t>
      </w:r>
      <w:r w:rsidR="00511D61">
        <w:tab/>
        <w:t>Rel-17</w:t>
      </w:r>
      <w:r w:rsidR="00511D61">
        <w:tab/>
        <w:t>FS_NR_slice</w:t>
      </w:r>
      <w:r w:rsidR="00511D61">
        <w:tab/>
        <w:t>To:SA2</w:t>
      </w:r>
      <w:r w:rsidR="00511D61">
        <w:tab/>
        <w:t>Cc:CT1, RAN3</w:t>
      </w:r>
    </w:p>
    <w:p w14:paraId="26F258B9" w14:textId="77777777" w:rsidR="00195846" w:rsidRDefault="008E0999">
      <w:pPr>
        <w:pStyle w:val="Doc-title"/>
      </w:pPr>
      <w:hyperlink r:id="rId19" w:history="1">
        <w:r w:rsidR="00511D61">
          <w:rPr>
            <w:rStyle w:val="af4"/>
          </w:rPr>
          <w:t>R2-2101700</w:t>
        </w:r>
      </w:hyperlink>
      <w:r w:rsidR="00511D61">
        <w:tab/>
        <w:t>Discussion on the SA2 incoming LS on Cell Configuration within TA/RA to Support Allowed NSSAI</w:t>
      </w:r>
      <w:r w:rsidR="00511D61">
        <w:tab/>
        <w:t>Huawei, HiSilicon</w:t>
      </w:r>
      <w:r w:rsidR="00511D61">
        <w:tab/>
        <w:t>discussion</w:t>
      </w:r>
      <w:r w:rsidR="00511D61">
        <w:tab/>
        <w:t>Rel-17</w:t>
      </w:r>
      <w:r w:rsidR="00511D61">
        <w:tab/>
        <w:t>FS_NR_slice</w:t>
      </w:r>
    </w:p>
    <w:p w14:paraId="3A428953" w14:textId="77777777" w:rsidR="00195846" w:rsidRDefault="00511D61">
      <w:pPr>
        <w:pStyle w:val="Doc-text2"/>
        <w:rPr>
          <w:i/>
          <w:iCs/>
        </w:rPr>
      </w:pPr>
      <w:r>
        <w:rPr>
          <w:i/>
          <w:iCs/>
        </w:rPr>
        <w:t>(moved from 8.8.2)</w:t>
      </w:r>
    </w:p>
    <w:p w14:paraId="259B0002" w14:textId="77777777" w:rsidR="00195846" w:rsidRDefault="008E0999">
      <w:pPr>
        <w:pStyle w:val="Doc-title"/>
      </w:pPr>
      <w:hyperlink r:id="rId20" w:history="1">
        <w:r w:rsidR="00511D61">
          <w:rPr>
            <w:rStyle w:val="af4"/>
          </w:rPr>
          <w:t>R2-2101294</w:t>
        </w:r>
      </w:hyperlink>
      <w:r w:rsidR="00511D61">
        <w:tab/>
        <w:t>Network slice support in cells</w:t>
      </w:r>
      <w:r w:rsidR="00511D61">
        <w:tab/>
        <w:t>Ericsson</w:t>
      </w:r>
      <w:r w:rsidR="00511D61">
        <w:tab/>
        <w:t>discussion</w:t>
      </w:r>
      <w:r w:rsidR="00511D61">
        <w:tab/>
        <w:t>Rel-17</w:t>
      </w:r>
      <w:r w:rsidR="00511D61">
        <w:tab/>
        <w:t>FS_NR_slice</w:t>
      </w:r>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2"/>
      </w:pPr>
      <w:r>
        <w:t>2.1</w:t>
      </w:r>
      <w:r>
        <w:tab/>
        <w:t xml:space="preserve">Reply LS for </w:t>
      </w:r>
      <w:hyperlink r:id="rId21" w:history="1">
        <w:r>
          <w:rPr>
            <w:rStyle w:val="af4"/>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af4"/>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af4"/>
          </w:rPr>
          <w:t>R3-207147.zip</w:t>
        </w:r>
      </w:hyperlink>
      <w:r>
        <w:rPr>
          <w:lang w:val="en-US"/>
        </w:rPr>
        <w:t xml:space="preserve">) it is assumed in RAN3. </w:t>
      </w:r>
    </w:p>
    <w:p w14:paraId="58EFFA99" w14:textId="77777777" w:rsidR="00195846" w:rsidRDefault="00511D61">
      <w:r>
        <w:t xml:space="preserve">The answer for this question was discussed in RAN2#112e within email discussion "[AT112-e][250][Slicing] LS replies to SA2 and RAN3". The outcome of the email discussion was that about the same number of companies supported a "YES" answer as a "NO" answer (see </w:t>
      </w:r>
      <w:hyperlink r:id="rId24" w:history="1">
        <w:r>
          <w:rPr>
            <w:rStyle w:val="af4"/>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af6"/>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af6"/>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af6"/>
        <w:numPr>
          <w:ilvl w:val="0"/>
          <w:numId w:val="5"/>
        </w:numPr>
        <w:rPr>
          <w:b/>
          <w:bCs/>
        </w:rPr>
      </w:pPr>
      <w:r>
        <w:rPr>
          <w:b/>
          <w:bCs/>
        </w:rPr>
        <w:t>The handling of TAs is not in the scope of RAN2.</w:t>
      </w:r>
    </w:p>
    <w:tbl>
      <w:tblPr>
        <w:tblStyle w:val="af1"/>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ko-KR"/>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To us, it already implicitly indicates in current spec that each cell in one registration area supporting the same S-NSSAI(s), otherwise the slice availability can not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r>
              <w:rPr>
                <w:rFonts w:hint="eastAsia"/>
                <w:lang w:val="en-US" w:eastAsia="zh-CN"/>
              </w:rPr>
              <w:t>So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As we can see from the discussion, the question is relevant to RAN and has impact on our specifications.  So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a),c)</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Spec </w:t>
            </w:r>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Malgun Gothic"/>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lastRenderedPageBreak/>
              <w:t>R2-2100546</w:t>
            </w:r>
            <w:r>
              <w:rPr>
                <w:lang w:val="en-US" w:eastAsia="zh-CN"/>
              </w:rPr>
              <w:t xml:space="preserve"> contains the following observation:</w:t>
            </w:r>
            <w:r>
              <w:rPr>
                <w:lang w:val="en-US" w:eastAsia="zh-CN"/>
              </w:rPr>
              <w:br/>
              <w:t>"</w:t>
            </w:r>
            <w:r w:rsidRPr="00827F31">
              <w:t>If not all cells in a TA supports the same S-NSSAI(s), then a UE in IDLE/INACTIVE mode may move to cell that does not support all allowed S-NSSAI(s) without noticing it."</w:t>
            </w:r>
          </w:p>
        </w:tc>
      </w:tr>
      <w:tr w:rsidR="000471B4" w14:paraId="7EF944B7" w14:textId="77777777">
        <w:tc>
          <w:tcPr>
            <w:tcW w:w="1345" w:type="dxa"/>
            <w:vAlign w:val="center"/>
          </w:tcPr>
          <w:p w14:paraId="1F8AE45A" w14:textId="75DAB3BD" w:rsidR="000471B4" w:rsidRDefault="000471B4" w:rsidP="000471B4">
            <w:pPr>
              <w:spacing w:after="0"/>
              <w:rPr>
                <w:lang w:val="en-US" w:eastAsia="zh-CN"/>
              </w:rPr>
            </w:pPr>
            <w:r>
              <w:rPr>
                <w:lang w:val="en-US" w:eastAsia="zh-CN"/>
              </w:rPr>
              <w:lastRenderedPageBreak/>
              <w:t>Lenovo</w:t>
            </w:r>
          </w:p>
        </w:tc>
        <w:tc>
          <w:tcPr>
            <w:tcW w:w="1170" w:type="dxa"/>
          </w:tcPr>
          <w:p w14:paraId="2E6705BF" w14:textId="622E464E" w:rsidR="000471B4" w:rsidRDefault="000471B4" w:rsidP="000471B4">
            <w:pPr>
              <w:rPr>
                <w:lang w:val="en-US" w:eastAsia="zh-CN"/>
              </w:rPr>
            </w:pPr>
            <w:r>
              <w:rPr>
                <w:lang w:val="en-US"/>
              </w:rPr>
              <w:t xml:space="preserve">a </w:t>
            </w:r>
            <w:r w:rsidRPr="008820AC">
              <w:rPr>
                <w:lang w:val="en-US"/>
              </w:rPr>
              <w:t>and c</w:t>
            </w:r>
          </w:p>
        </w:tc>
        <w:tc>
          <w:tcPr>
            <w:tcW w:w="1530" w:type="dxa"/>
          </w:tcPr>
          <w:p w14:paraId="41543AF1" w14:textId="244C06DD" w:rsidR="000471B4" w:rsidRDefault="000471B4" w:rsidP="000471B4">
            <w:pPr>
              <w:rPr>
                <w:lang w:val="en-US" w:eastAsia="zh-CN"/>
              </w:rPr>
            </w:pPr>
            <w:r>
              <w:rPr>
                <w:lang w:val="en-US"/>
              </w:rPr>
              <w:t>b</w:t>
            </w:r>
          </w:p>
        </w:tc>
        <w:tc>
          <w:tcPr>
            <w:tcW w:w="5850" w:type="dxa"/>
            <w:vAlign w:val="center"/>
          </w:tcPr>
          <w:p w14:paraId="13B00EAD" w14:textId="77777777" w:rsidR="000471B4" w:rsidRDefault="000471B4" w:rsidP="000471B4">
            <w:pPr>
              <w:rPr>
                <w:lang w:val="en-US"/>
              </w:rPr>
            </w:pPr>
            <w:r>
              <w:rPr>
                <w:lang w:val="en-US"/>
              </w:rPr>
              <w:t>First preference is a) as it is aligned with CT1 and RAN3 responses.</w:t>
            </w:r>
          </w:p>
          <w:p w14:paraId="642FB3C6" w14:textId="77777777" w:rsidR="000471B4" w:rsidRDefault="000471B4" w:rsidP="000471B4">
            <w:pPr>
              <w:rPr>
                <w:lang w:val="en-US"/>
              </w:rPr>
            </w:pPr>
            <w:r>
              <w:rPr>
                <w:lang w:val="en-US"/>
              </w:rPr>
              <w:t>Option c) is acceptable as compromise.</w:t>
            </w:r>
          </w:p>
          <w:p w14:paraId="5765FF20" w14:textId="1510A439" w:rsidR="000471B4" w:rsidRDefault="000471B4" w:rsidP="000471B4">
            <w:pPr>
              <w:rPr>
                <w:lang w:val="en-US" w:eastAsia="zh-CN"/>
              </w:rPr>
            </w:pPr>
            <w:r>
              <w:rPr>
                <w:lang w:val="en-US"/>
              </w:rPr>
              <w:t>On option b) we still wonder how it can be supported by the R15/16 specifications.</w:t>
            </w:r>
          </w:p>
        </w:tc>
      </w:tr>
      <w:tr w:rsidR="00511D61" w14:paraId="4F4A1D97" w14:textId="77777777">
        <w:tc>
          <w:tcPr>
            <w:tcW w:w="1345" w:type="dxa"/>
            <w:vAlign w:val="center"/>
          </w:tcPr>
          <w:p w14:paraId="3BCE155F" w14:textId="10D91AC1" w:rsidR="00511D61" w:rsidRDefault="002A6AAE" w:rsidP="00511D61">
            <w:pPr>
              <w:spacing w:after="0"/>
              <w:rPr>
                <w:lang w:val="en-US" w:eastAsia="zh-CN"/>
              </w:rPr>
            </w:pPr>
            <w:r>
              <w:rPr>
                <w:lang w:val="en-US" w:eastAsia="zh-CN"/>
              </w:rPr>
              <w:t>Google</w:t>
            </w:r>
          </w:p>
        </w:tc>
        <w:tc>
          <w:tcPr>
            <w:tcW w:w="1170" w:type="dxa"/>
          </w:tcPr>
          <w:p w14:paraId="6C169EC6" w14:textId="45287F17" w:rsidR="00511D61" w:rsidRDefault="002A6AAE" w:rsidP="00511D61">
            <w:pPr>
              <w:spacing w:after="0"/>
              <w:rPr>
                <w:lang w:val="en-US" w:eastAsia="zh-CN"/>
              </w:rPr>
            </w:pPr>
            <w:r>
              <w:rPr>
                <w:lang w:val="en-US" w:eastAsia="zh-CN"/>
              </w:rPr>
              <w:t>A</w:t>
            </w:r>
          </w:p>
        </w:tc>
        <w:tc>
          <w:tcPr>
            <w:tcW w:w="1530" w:type="dxa"/>
          </w:tcPr>
          <w:p w14:paraId="3AD5F3C9" w14:textId="50204D3F" w:rsidR="00511D61" w:rsidRDefault="002A6AAE" w:rsidP="00511D61">
            <w:pPr>
              <w:spacing w:after="0"/>
              <w:rPr>
                <w:lang w:val="en-US" w:eastAsia="zh-CN"/>
              </w:rPr>
            </w:pPr>
            <w:r>
              <w:rPr>
                <w:lang w:val="en-US" w:eastAsia="zh-CN"/>
              </w:rPr>
              <w:t>B</w:t>
            </w:r>
          </w:p>
        </w:tc>
        <w:tc>
          <w:tcPr>
            <w:tcW w:w="5850" w:type="dxa"/>
            <w:vAlign w:val="center"/>
          </w:tcPr>
          <w:p w14:paraId="6CBA460D" w14:textId="77777777" w:rsidR="00511D61" w:rsidRDefault="002A6AAE" w:rsidP="00511D61">
            <w:pPr>
              <w:spacing w:after="0"/>
              <w:rPr>
                <w:lang w:val="en-US" w:eastAsia="zh-CN"/>
              </w:rPr>
            </w:pPr>
            <w:r>
              <w:rPr>
                <w:lang w:val="en-US" w:eastAsia="zh-CN"/>
              </w:rPr>
              <w:t xml:space="preserve">We agree with others that Option A is consistent with current R2 specs as well as the responses received from RAN3 and CT1. </w:t>
            </w:r>
          </w:p>
          <w:p w14:paraId="6921530C" w14:textId="77777777" w:rsidR="002A6AAE" w:rsidRDefault="002A6AAE" w:rsidP="00511D61">
            <w:pPr>
              <w:spacing w:after="0"/>
              <w:rPr>
                <w:lang w:val="en-US" w:eastAsia="zh-CN"/>
              </w:rPr>
            </w:pPr>
          </w:p>
          <w:p w14:paraId="3CF6488D" w14:textId="453F85C8" w:rsidR="002A6AAE" w:rsidRDefault="002A6AAE" w:rsidP="00C7165C">
            <w:pPr>
              <w:spacing w:after="0"/>
              <w:rPr>
                <w:lang w:val="en-US" w:eastAsia="zh-CN"/>
              </w:rPr>
            </w:pPr>
            <w:r>
              <w:rPr>
                <w:lang w:val="en-US" w:eastAsia="zh-CN"/>
              </w:rPr>
              <w:t>We think that TA handling is</w:t>
            </w:r>
            <w:r w:rsidR="00C7165C">
              <w:rPr>
                <w:lang w:val="en-US" w:eastAsia="zh-CN"/>
              </w:rPr>
              <w:t xml:space="preserve"> primarily the responsibility of SA2 and CT1 groups, but it</w:t>
            </w:r>
            <w:r>
              <w:rPr>
                <w:lang w:val="en-US" w:eastAsia="zh-CN"/>
              </w:rPr>
              <w:t xml:space="preserve"> may have some impact on UE AS behavior so we do not think it is completely out of RAN2 scope. </w:t>
            </w:r>
            <w:r w:rsidR="00C7165C">
              <w:rPr>
                <w:lang w:val="en-US" w:eastAsia="zh-CN"/>
              </w:rPr>
              <w:t>So we are neutral on C.</w:t>
            </w:r>
            <w:r>
              <w:rPr>
                <w:lang w:val="en-US" w:eastAsia="zh-CN"/>
              </w:rPr>
              <w:t xml:space="preserve"> </w:t>
            </w:r>
          </w:p>
        </w:tc>
      </w:tr>
      <w:tr w:rsidR="00511D61" w14:paraId="767516A5" w14:textId="77777777">
        <w:tc>
          <w:tcPr>
            <w:tcW w:w="1345" w:type="dxa"/>
            <w:vAlign w:val="center"/>
          </w:tcPr>
          <w:p w14:paraId="695E17EC" w14:textId="0AE269AF" w:rsidR="00511D61" w:rsidRDefault="00ED0624" w:rsidP="00511D61">
            <w:pPr>
              <w:spacing w:after="0"/>
              <w:rPr>
                <w:lang w:val="en-US" w:eastAsia="zh-CN"/>
              </w:rPr>
            </w:pPr>
            <w:r>
              <w:rPr>
                <w:lang w:val="en-US" w:eastAsia="zh-CN"/>
              </w:rPr>
              <w:t>Futurewei</w:t>
            </w:r>
          </w:p>
        </w:tc>
        <w:tc>
          <w:tcPr>
            <w:tcW w:w="1170" w:type="dxa"/>
          </w:tcPr>
          <w:p w14:paraId="59C8B26B" w14:textId="4C8D0D28" w:rsidR="00511D61" w:rsidRDefault="00ED0624" w:rsidP="00511D61">
            <w:pPr>
              <w:spacing w:after="0"/>
              <w:rPr>
                <w:lang w:val="en-US"/>
              </w:rPr>
            </w:pPr>
            <w:r>
              <w:rPr>
                <w:lang w:val="en-US"/>
              </w:rPr>
              <w:t>b)</w:t>
            </w:r>
          </w:p>
        </w:tc>
        <w:tc>
          <w:tcPr>
            <w:tcW w:w="1530" w:type="dxa"/>
          </w:tcPr>
          <w:p w14:paraId="03718C1D" w14:textId="6F8144B5" w:rsidR="00511D61" w:rsidRDefault="00ED0624" w:rsidP="00511D61">
            <w:pPr>
              <w:spacing w:after="0"/>
              <w:rPr>
                <w:lang w:val="en-US"/>
              </w:rPr>
            </w:pPr>
            <w:r>
              <w:rPr>
                <w:lang w:val="en-US"/>
              </w:rPr>
              <w:t>a)</w:t>
            </w:r>
          </w:p>
        </w:tc>
        <w:tc>
          <w:tcPr>
            <w:tcW w:w="5850" w:type="dxa"/>
            <w:vAlign w:val="center"/>
          </w:tcPr>
          <w:p w14:paraId="3ECA5351" w14:textId="77777777" w:rsidR="00511D61" w:rsidRDefault="00ED0624" w:rsidP="00511D61">
            <w:pPr>
              <w:spacing w:after="0"/>
              <w:rPr>
                <w:lang w:val="en-US"/>
              </w:rPr>
            </w:pPr>
            <w:r>
              <w:rPr>
                <w:lang w:val="en-US"/>
              </w:rPr>
              <w:t>SA2 LS is asking RAN2 about cell configuration for network slicing, not about TA handling. It is in RAN2 domain, and RAN2 should have clear answer. Furthermore, SA2 note</w:t>
            </w:r>
            <w:r w:rsidR="008B757D">
              <w:rPr>
                <w:lang w:val="en-US"/>
              </w:rPr>
              <w:t>s that</w:t>
            </w:r>
            <w:r>
              <w:rPr>
                <w:lang w:val="en-US"/>
              </w:rPr>
              <w:t xml:space="preserve"> this is not just about R15/16, but also </w:t>
            </w:r>
            <w:r w:rsidR="008B757D">
              <w:rPr>
                <w:lang w:val="en-US"/>
              </w:rPr>
              <w:t>is related to R17 works -</w:t>
            </w:r>
            <w:r>
              <w:rPr>
                <w:lang w:val="en-US"/>
              </w:rPr>
              <w:t xml:space="preserve"> “</w:t>
            </w:r>
            <w:r w:rsidRPr="00ED0624">
              <w:rPr>
                <w:rFonts w:eastAsia="等线"/>
              </w:rPr>
              <w:t xml:space="preserve">Note: </w:t>
            </w:r>
            <w:r w:rsidRPr="008B757D">
              <w:rPr>
                <w:rFonts w:eastAsia="等线"/>
                <w:highlight w:val="yellow"/>
              </w:rPr>
              <w:t>SA2 is not considering changing any of the Rel-15 and Rel16 assumption</w:t>
            </w:r>
            <w:r w:rsidRPr="00ED0624">
              <w:rPr>
                <w:rFonts w:eastAsia="等线"/>
              </w:rPr>
              <w:t xml:space="preserve"> on support of the S-NSSAI in the TA that would create deployments incompatible with Rel-15/16 UEs in the field.</w:t>
            </w:r>
            <w:r>
              <w:rPr>
                <w:lang w:val="en-US"/>
              </w:rPr>
              <w:t>”</w:t>
            </w:r>
          </w:p>
          <w:p w14:paraId="3618F4D3" w14:textId="0FFB3FA8" w:rsidR="008B757D" w:rsidRDefault="008B757D" w:rsidP="00511D61">
            <w:pPr>
              <w:spacing w:after="0"/>
              <w:rPr>
                <w:lang w:val="en-US"/>
              </w:rPr>
            </w:pPr>
            <w:r>
              <w:rPr>
                <w:lang w:val="en-US"/>
              </w:rPr>
              <w:t>As analyzed in R2-2101487, the principles of RAN specs from R15 is to allow configuration of different slices on the cells</w:t>
            </w:r>
            <w:r w:rsidRPr="008B757D">
              <w:rPr>
                <w:lang w:val="en-US"/>
              </w:rPr>
              <w:t xml:space="preserve"> advertising the same TAC</w:t>
            </w:r>
            <w:r>
              <w:rPr>
                <w:lang w:val="en-US"/>
              </w:rPr>
              <w:t>.</w:t>
            </w:r>
          </w:p>
        </w:tc>
      </w:tr>
      <w:tr w:rsidR="00416DB7" w14:paraId="4035C11C" w14:textId="77777777" w:rsidTr="00BD347E">
        <w:tc>
          <w:tcPr>
            <w:tcW w:w="1345" w:type="dxa"/>
            <w:vAlign w:val="center"/>
          </w:tcPr>
          <w:p w14:paraId="3761997D" w14:textId="77777777" w:rsidR="00416DB7" w:rsidRDefault="00416DB7" w:rsidP="00BD347E">
            <w:pPr>
              <w:spacing w:after="0"/>
              <w:rPr>
                <w:lang w:val="en-US" w:eastAsia="zh-CN"/>
              </w:rPr>
            </w:pPr>
            <w:r>
              <w:rPr>
                <w:lang w:val="en-US" w:eastAsia="zh-CN"/>
              </w:rPr>
              <w:t>Ericsson</w:t>
            </w:r>
          </w:p>
        </w:tc>
        <w:tc>
          <w:tcPr>
            <w:tcW w:w="1170" w:type="dxa"/>
          </w:tcPr>
          <w:p w14:paraId="364A218F" w14:textId="77777777" w:rsidR="00416DB7" w:rsidRDefault="00416DB7" w:rsidP="00BD347E">
            <w:pPr>
              <w:spacing w:after="0"/>
              <w:rPr>
                <w:lang w:val="en-US"/>
              </w:rPr>
            </w:pPr>
            <w:r>
              <w:rPr>
                <w:lang w:val="en-US"/>
              </w:rPr>
              <w:t>a)</w:t>
            </w:r>
          </w:p>
        </w:tc>
        <w:tc>
          <w:tcPr>
            <w:tcW w:w="1530" w:type="dxa"/>
          </w:tcPr>
          <w:p w14:paraId="54F639EC" w14:textId="77777777" w:rsidR="00416DB7" w:rsidRDefault="00416DB7" w:rsidP="00BD347E">
            <w:pPr>
              <w:spacing w:after="0"/>
              <w:rPr>
                <w:lang w:val="en-US"/>
              </w:rPr>
            </w:pPr>
            <w:r>
              <w:rPr>
                <w:lang w:val="en-US"/>
              </w:rPr>
              <w:t xml:space="preserve">b), c) (to avoid confusion in other groups) </w:t>
            </w:r>
          </w:p>
        </w:tc>
        <w:tc>
          <w:tcPr>
            <w:tcW w:w="5850" w:type="dxa"/>
            <w:vAlign w:val="center"/>
          </w:tcPr>
          <w:p w14:paraId="0518FDD0" w14:textId="77777777" w:rsidR="00416DB7" w:rsidRDefault="00416DB7" w:rsidP="00BD347E">
            <w:r>
              <w:rPr>
                <w:lang w:val="en-US"/>
              </w:rPr>
              <w:t>One motivation for a) is:</w:t>
            </w:r>
            <w:r>
              <w:rPr>
                <w:lang w:val="en-US"/>
              </w:rPr>
              <w:br/>
              <w:t xml:space="preserve">In case a cell does not accept establishment of UP connections (indicated from RAN to CN) for a network slice, this is by CN considered as a </w:t>
            </w:r>
            <w:r>
              <w:t>“temporary resource shortage”, not expected to be used as normal handling when the cell does not support the network slice (at all).  In rel-15/16, there are no other standardized mechanisms (e.g. under RAN2 control) to handle this case than to ensure that all cells of a TA support the network slices of the Allowed NSSAI.</w:t>
            </w:r>
          </w:p>
          <w:p w14:paraId="30FEF625" w14:textId="19E50A60" w:rsidR="00416DB7" w:rsidRDefault="00416DB7" w:rsidP="00416DB7">
            <w:pPr>
              <w:rPr>
                <w:lang w:val="en-US"/>
              </w:rPr>
            </w:pPr>
            <w:r>
              <w:rPr>
                <w:lang w:val="en-US"/>
              </w:rPr>
              <w:t>T</w:t>
            </w:r>
            <w:r w:rsidRPr="00C55F4C">
              <w:rPr>
                <w:lang w:val="en-US"/>
              </w:rPr>
              <w:t xml:space="preserve">his does not mean that the service support is homogenous in the cells of the </w:t>
            </w:r>
            <w:r>
              <w:rPr>
                <w:lang w:val="en-US"/>
              </w:rPr>
              <w:t>T</w:t>
            </w:r>
            <w:r w:rsidRPr="00C55F4C">
              <w:rPr>
                <w:lang w:val="en-US"/>
              </w:rPr>
              <w:t>A.</w:t>
            </w:r>
            <w:r>
              <w:rPr>
                <w:lang w:val="en-US" w:eastAsia="zh-CN"/>
              </w:rPr>
              <w:t xml:space="preserve"> Depending on network policy, network load and UE coverage situation, the network may select to serve the UE with required QoS, with lower QoS, or steer the UE to cell/frequency that offers full QoS.</w:t>
            </w:r>
          </w:p>
        </w:tc>
      </w:tr>
      <w:tr w:rsidR="001D3A06" w14:paraId="58C8FD7E" w14:textId="77777777" w:rsidTr="00BD347E">
        <w:tc>
          <w:tcPr>
            <w:tcW w:w="1345" w:type="dxa"/>
            <w:vAlign w:val="center"/>
          </w:tcPr>
          <w:p w14:paraId="4075B760" w14:textId="701ABC67" w:rsidR="001D3A06" w:rsidRDefault="001D3A06" w:rsidP="00BD347E">
            <w:pPr>
              <w:spacing w:after="0"/>
              <w:rPr>
                <w:lang w:val="en-US" w:eastAsia="zh-CN"/>
              </w:rPr>
            </w:pPr>
            <w:r>
              <w:rPr>
                <w:lang w:val="en-US" w:eastAsia="zh-CN"/>
              </w:rPr>
              <w:t>Qualcomm</w:t>
            </w:r>
          </w:p>
        </w:tc>
        <w:tc>
          <w:tcPr>
            <w:tcW w:w="1170" w:type="dxa"/>
          </w:tcPr>
          <w:p w14:paraId="33D6C824" w14:textId="288D4078" w:rsidR="001D3A06" w:rsidRDefault="001D3A06" w:rsidP="001D3A06">
            <w:pPr>
              <w:spacing w:after="0"/>
              <w:rPr>
                <w:lang w:val="en-US"/>
              </w:rPr>
            </w:pPr>
            <w:r w:rsidRPr="001D3A06">
              <w:rPr>
                <w:lang w:val="en-US"/>
              </w:rPr>
              <w:t>a)</w:t>
            </w:r>
            <w:r>
              <w:rPr>
                <w:lang w:val="en-US"/>
              </w:rPr>
              <w:t xml:space="preserve"> + exceptional case</w:t>
            </w:r>
          </w:p>
          <w:p w14:paraId="7F08B8FC" w14:textId="15922CF5" w:rsidR="001D3A06" w:rsidRPr="001D3A06" w:rsidRDefault="001D3A06" w:rsidP="001D3A06">
            <w:pPr>
              <w:spacing w:after="0"/>
              <w:rPr>
                <w:lang w:val="en-US"/>
              </w:rPr>
            </w:pPr>
            <w:r>
              <w:rPr>
                <w:lang w:val="en-US"/>
              </w:rPr>
              <w:t>or c)</w:t>
            </w:r>
          </w:p>
        </w:tc>
        <w:tc>
          <w:tcPr>
            <w:tcW w:w="1530" w:type="dxa"/>
          </w:tcPr>
          <w:p w14:paraId="0CAD96F5" w14:textId="62A113D9" w:rsidR="001D3A06" w:rsidRDefault="001D3A06" w:rsidP="00BD347E">
            <w:pPr>
              <w:spacing w:after="0"/>
              <w:rPr>
                <w:lang w:val="en-US"/>
              </w:rPr>
            </w:pPr>
            <w:r>
              <w:rPr>
                <w:lang w:val="en-US"/>
              </w:rPr>
              <w:t>b)</w:t>
            </w:r>
          </w:p>
        </w:tc>
        <w:tc>
          <w:tcPr>
            <w:tcW w:w="5850" w:type="dxa"/>
            <w:vAlign w:val="center"/>
          </w:tcPr>
          <w:p w14:paraId="0DA845C3" w14:textId="405988C7" w:rsidR="001D3A06" w:rsidRDefault="001D3A06" w:rsidP="00BD347E">
            <w:pPr>
              <w:rPr>
                <w:lang w:val="en-US"/>
              </w:rPr>
            </w:pPr>
            <w:r>
              <w:rPr>
                <w:lang w:val="en-US"/>
              </w:rPr>
              <w:t>We prefer to reply a) + exceptional case as below:</w:t>
            </w:r>
          </w:p>
          <w:p w14:paraId="0B890855" w14:textId="77777777" w:rsidR="001D3A06" w:rsidRDefault="001D3A06" w:rsidP="001D3A06">
            <w:pPr>
              <w:pStyle w:val="af6"/>
              <w:numPr>
                <w:ilvl w:val="0"/>
                <w:numId w:val="7"/>
              </w:numPr>
              <w:spacing w:after="0"/>
              <w:rPr>
                <w:lang w:val="en-US" w:eastAsia="zh-CN"/>
              </w:rPr>
            </w:pPr>
            <w:r>
              <w:rPr>
                <w:lang w:val="en-US" w:eastAsia="zh-CN"/>
              </w:rPr>
              <w:t xml:space="preserve">RAN2 should follow the principle that slice uniform availability in TA (or RA) defined in Rel-15/Rel-16. </w:t>
            </w:r>
          </w:p>
          <w:p w14:paraId="6843DD35" w14:textId="349A6EEC" w:rsidR="001D3A06" w:rsidRPr="004E2EF5" w:rsidRDefault="001D3A06" w:rsidP="001D3A06">
            <w:pPr>
              <w:pStyle w:val="af6"/>
              <w:numPr>
                <w:ilvl w:val="0"/>
                <w:numId w:val="7"/>
              </w:numPr>
              <w:spacing w:after="0"/>
              <w:rPr>
                <w:lang w:val="en-US" w:eastAsia="zh-CN"/>
              </w:rPr>
            </w:pPr>
            <w:r>
              <w:rPr>
                <w:lang w:val="en-US" w:eastAsia="zh-CN"/>
              </w:rPr>
              <w:t xml:space="preserve">RAN2 also needs to indicate SA2 that </w:t>
            </w:r>
            <w:r w:rsidRPr="00963693">
              <w:rPr>
                <w:color w:val="000000"/>
                <w:lang w:eastAsia="ko-KR"/>
              </w:rPr>
              <w:t>it is possible that a slice may not be available in a cell</w:t>
            </w:r>
            <w:r>
              <w:rPr>
                <w:color w:val="000000"/>
                <w:lang w:eastAsia="ko-KR"/>
              </w:rPr>
              <w:t xml:space="preserve"> (e.g. due to resource shortage) in deployment, i.e. </w:t>
            </w:r>
            <w:r>
              <w:rPr>
                <w:lang w:eastAsia="ja-JP"/>
              </w:rPr>
              <w:t xml:space="preserve">an S-NSSAI in the Allowed NSSAI may not be always available in </w:t>
            </w:r>
            <w:r w:rsidRPr="00905707">
              <w:rPr>
                <w:u w:val="single"/>
                <w:lang w:eastAsia="ja-JP"/>
              </w:rPr>
              <w:t>every cell</w:t>
            </w:r>
            <w:r>
              <w:rPr>
                <w:lang w:eastAsia="ja-JP"/>
              </w:rPr>
              <w:t xml:space="preserve"> of the TA/RA.</w:t>
            </w:r>
          </w:p>
          <w:p w14:paraId="239E1FB7" w14:textId="77777777" w:rsidR="004E2EF5" w:rsidRPr="004E2EF5" w:rsidRDefault="004E2EF5" w:rsidP="004E2EF5">
            <w:pPr>
              <w:pStyle w:val="af6"/>
              <w:spacing w:after="0"/>
              <w:rPr>
                <w:lang w:val="en-US" w:eastAsia="zh-CN"/>
              </w:rPr>
            </w:pPr>
          </w:p>
          <w:p w14:paraId="0A4469E6" w14:textId="7D0AB30D" w:rsidR="004E2EF5" w:rsidRDefault="004E2EF5" w:rsidP="001D3A06">
            <w:pPr>
              <w:rPr>
                <w:lang w:val="en-US"/>
              </w:rPr>
            </w:pPr>
            <w:r>
              <w:rPr>
                <w:lang w:val="en-US"/>
              </w:rPr>
              <w:t>c) suggested by Rapporteur is also acceptable for us.</w:t>
            </w:r>
          </w:p>
          <w:p w14:paraId="7A84EEC5" w14:textId="65D3F50C" w:rsidR="001D3A06" w:rsidRDefault="004E2EF5" w:rsidP="001D3A06">
            <w:pPr>
              <w:rPr>
                <w:lang w:val="en-US"/>
              </w:rPr>
            </w:pPr>
            <w:r>
              <w:rPr>
                <w:lang w:val="en-US"/>
              </w:rPr>
              <w:lastRenderedPageBreak/>
              <w:t>Finally, we think if RAN2 still can’t converged even on c)</w:t>
            </w:r>
            <w:r w:rsidR="008C6BEB">
              <w:rPr>
                <w:lang w:val="en-US"/>
              </w:rPr>
              <w:t xml:space="preserve"> in this meeting</w:t>
            </w:r>
            <w:r>
              <w:rPr>
                <w:lang w:val="en-US"/>
              </w:rPr>
              <w:t>, maybe we can only reply to SA2: “RAN2 can’t achieve consensus”</w:t>
            </w:r>
            <w:r w:rsidR="003B5E1A">
              <w:rPr>
                <w:lang w:val="en-US"/>
              </w:rPr>
              <w:t>.</w:t>
            </w:r>
          </w:p>
        </w:tc>
      </w:tr>
      <w:tr w:rsidR="00511D61" w14:paraId="55353AB1" w14:textId="77777777">
        <w:tc>
          <w:tcPr>
            <w:tcW w:w="1345" w:type="dxa"/>
            <w:vAlign w:val="center"/>
          </w:tcPr>
          <w:p w14:paraId="04F2A989" w14:textId="4AB3BFF3" w:rsidR="00511D61" w:rsidRPr="006A731C" w:rsidRDefault="006A731C" w:rsidP="006A731C">
            <w:pPr>
              <w:spacing w:after="0"/>
              <w:rPr>
                <w:rFonts w:eastAsia="Malgun Gothic"/>
                <w:lang w:val="en-US" w:eastAsia="ko-KR"/>
              </w:rPr>
            </w:pPr>
            <w:r>
              <w:rPr>
                <w:rFonts w:eastAsia="Malgun Gothic" w:hint="eastAsia"/>
                <w:lang w:val="en-US" w:eastAsia="ko-KR"/>
              </w:rPr>
              <w:lastRenderedPageBreak/>
              <w:t>Sam</w:t>
            </w:r>
            <w:r>
              <w:rPr>
                <w:rFonts w:eastAsia="Malgun Gothic"/>
                <w:lang w:val="en-US" w:eastAsia="ko-KR"/>
              </w:rPr>
              <w:t>sung</w:t>
            </w:r>
          </w:p>
        </w:tc>
        <w:tc>
          <w:tcPr>
            <w:tcW w:w="1170" w:type="dxa"/>
          </w:tcPr>
          <w:p w14:paraId="6C5EAE54" w14:textId="2776CB66" w:rsidR="00511D61" w:rsidRPr="006A731C" w:rsidRDefault="006A731C" w:rsidP="00511D61">
            <w:pPr>
              <w:spacing w:after="0"/>
              <w:rPr>
                <w:rFonts w:eastAsia="Malgun Gothic"/>
                <w:lang w:val="en-US" w:eastAsia="ko-KR"/>
              </w:rPr>
            </w:pPr>
            <w:r>
              <w:rPr>
                <w:rFonts w:eastAsia="Malgun Gothic"/>
                <w:lang w:val="en-US" w:eastAsia="ko-KR"/>
              </w:rPr>
              <w:t>a)</w:t>
            </w:r>
          </w:p>
        </w:tc>
        <w:tc>
          <w:tcPr>
            <w:tcW w:w="1530" w:type="dxa"/>
          </w:tcPr>
          <w:p w14:paraId="0752CA40" w14:textId="17210419" w:rsidR="00511D61" w:rsidRPr="006A731C" w:rsidRDefault="006A731C" w:rsidP="00511D61">
            <w:pPr>
              <w:spacing w:after="0"/>
              <w:rPr>
                <w:rFonts w:eastAsia="Malgun Gothic"/>
                <w:lang w:val="en-US" w:eastAsia="ko-KR"/>
              </w:rPr>
            </w:pPr>
            <w:r>
              <w:rPr>
                <w:rFonts w:eastAsia="Malgun Gothic"/>
                <w:lang w:val="en-US" w:eastAsia="ko-KR"/>
              </w:rPr>
              <w:t>b)</w:t>
            </w:r>
          </w:p>
        </w:tc>
        <w:tc>
          <w:tcPr>
            <w:tcW w:w="5850" w:type="dxa"/>
            <w:vAlign w:val="center"/>
          </w:tcPr>
          <w:p w14:paraId="7EAA204B" w14:textId="0D22315F" w:rsidR="006A731C" w:rsidRDefault="006A731C" w:rsidP="006A731C">
            <w:pPr>
              <w:spacing w:after="0"/>
            </w:pPr>
            <w:r>
              <w:rPr>
                <w:lang w:val="en-US" w:eastAsia="zh-CN"/>
              </w:rPr>
              <w:t>Based on the sentence in 38.300 "</w:t>
            </w:r>
            <w:r w:rsidRPr="006012C7">
              <w:t xml:space="preserve">It is assumed that the slice </w:t>
            </w:r>
            <w:r w:rsidRPr="006012C7">
              <w:rPr>
                <w:rFonts w:eastAsia="Malgun Gothic"/>
                <w:lang w:eastAsia="ko-KR"/>
              </w:rPr>
              <w:t xml:space="preserve">availability </w:t>
            </w:r>
            <w:r w:rsidRPr="006012C7">
              <w:t>does not change within the UE's registration area.</w:t>
            </w:r>
            <w:r>
              <w:t>",  we think a) can be assumed for R15/R16.</w:t>
            </w:r>
          </w:p>
          <w:p w14:paraId="0E25A4F0" w14:textId="77777777" w:rsidR="00511D61" w:rsidRPr="006A731C" w:rsidRDefault="00511D61" w:rsidP="00511D61">
            <w:pPr>
              <w:spacing w:after="0"/>
              <w:rPr>
                <w:lang w:eastAsia="zh-CN"/>
              </w:rPr>
            </w:pPr>
          </w:p>
        </w:tc>
      </w:tr>
      <w:tr w:rsidR="00450D14" w14:paraId="1E0BF659" w14:textId="77777777">
        <w:tc>
          <w:tcPr>
            <w:tcW w:w="1345" w:type="dxa"/>
            <w:vAlign w:val="center"/>
          </w:tcPr>
          <w:p w14:paraId="76197848" w14:textId="0E6A4E10" w:rsidR="00450D14" w:rsidRPr="00450D14" w:rsidRDefault="00450D14" w:rsidP="00450D14">
            <w:pPr>
              <w:spacing w:after="0"/>
              <w:rPr>
                <w:rFonts w:eastAsia="PMingLiU"/>
                <w:lang w:val="en-US" w:eastAsia="zh-TW"/>
              </w:rPr>
            </w:pPr>
            <w:r>
              <w:rPr>
                <w:rFonts w:eastAsia="PMingLiU"/>
                <w:lang w:val="en-US" w:eastAsia="zh-TW"/>
              </w:rPr>
              <w:t>APT</w:t>
            </w:r>
          </w:p>
        </w:tc>
        <w:tc>
          <w:tcPr>
            <w:tcW w:w="1170" w:type="dxa"/>
          </w:tcPr>
          <w:p w14:paraId="4A285625" w14:textId="5B2BB4F4" w:rsidR="00450D14" w:rsidRDefault="00450D14" w:rsidP="00450D14">
            <w:pPr>
              <w:spacing w:after="0"/>
              <w:rPr>
                <w:lang w:val="en-US" w:eastAsia="zh-CN"/>
              </w:rPr>
            </w:pPr>
            <w:r>
              <w:rPr>
                <w:rFonts w:eastAsia="Malgun Gothic"/>
                <w:lang w:val="en-US" w:eastAsia="ko-KR"/>
              </w:rPr>
              <w:t>a)</w:t>
            </w:r>
          </w:p>
        </w:tc>
        <w:tc>
          <w:tcPr>
            <w:tcW w:w="1530" w:type="dxa"/>
          </w:tcPr>
          <w:p w14:paraId="087DAA2D" w14:textId="36C9EDA7" w:rsidR="00450D14" w:rsidRDefault="00450D14" w:rsidP="00450D14">
            <w:pPr>
              <w:spacing w:after="0"/>
              <w:rPr>
                <w:lang w:val="en-US" w:eastAsia="zh-CN"/>
              </w:rPr>
            </w:pPr>
            <w:r>
              <w:rPr>
                <w:rFonts w:eastAsia="Malgun Gothic"/>
                <w:lang w:val="en-US" w:eastAsia="ko-KR"/>
              </w:rPr>
              <w:t>b)</w:t>
            </w:r>
          </w:p>
        </w:tc>
        <w:tc>
          <w:tcPr>
            <w:tcW w:w="5850" w:type="dxa"/>
            <w:vAlign w:val="center"/>
          </w:tcPr>
          <w:p w14:paraId="0BF17EA5" w14:textId="33FB10BB" w:rsidR="00450D14" w:rsidRDefault="00450D14" w:rsidP="00450D14">
            <w:pPr>
              <w:spacing w:after="0"/>
              <w:rPr>
                <w:lang w:val="en-US" w:eastAsia="zh-CN"/>
              </w:rPr>
            </w:pPr>
            <w:r w:rsidRPr="00450D14">
              <w:rPr>
                <w:lang w:val="en-US" w:eastAsia="zh-CN"/>
              </w:rPr>
              <w:t xml:space="preserve">According to TS 38.300 v16.4.0 slice availability, “Some slices may be available only in part of the network. The NG-RAN supported S-NSSAI(s) is configured by OAM. Awareness in the NG-RAN of the slices supported in the cells of its neighbours may be beneficial for inter-frequency mobility in connected mode. It is assumed that the slice availability does not change within the UE's registration area.”, since the slice availability does not change within the UE’s registration area, it is expected that all cells within the UE’s registration area (e.g., cells advertise the same TAC) support the same S-NSSAI(s). Thus, in response to SA2’s first question focusing on Rel-15/Rel-16, we would prefer a). </w:t>
            </w:r>
          </w:p>
          <w:p w14:paraId="41BDB0AC" w14:textId="77777777" w:rsidR="00450D14" w:rsidRPr="00450D14" w:rsidRDefault="00450D14" w:rsidP="00450D14">
            <w:pPr>
              <w:spacing w:after="0"/>
              <w:rPr>
                <w:lang w:val="en-US" w:eastAsia="zh-CN"/>
              </w:rPr>
            </w:pPr>
          </w:p>
          <w:p w14:paraId="57F646EE" w14:textId="4A943D28" w:rsidR="00450D14" w:rsidRDefault="00450D14" w:rsidP="00450D14">
            <w:pPr>
              <w:spacing w:after="0"/>
              <w:rPr>
                <w:lang w:val="en-US" w:eastAsia="zh-CN"/>
              </w:rPr>
            </w:pPr>
            <w:r w:rsidRPr="00450D14">
              <w:rPr>
                <w:lang w:val="en-US" w:eastAsia="zh-CN"/>
              </w:rPr>
              <w:t>For Rel-17, we are open whether such assumption can be relaxed.</w:t>
            </w:r>
          </w:p>
        </w:tc>
      </w:tr>
      <w:tr w:rsidR="007A21AC" w14:paraId="4DBF59BA" w14:textId="77777777" w:rsidTr="00E04FCC">
        <w:tc>
          <w:tcPr>
            <w:tcW w:w="1345" w:type="dxa"/>
            <w:vAlign w:val="center"/>
          </w:tcPr>
          <w:p w14:paraId="04C5E1DC" w14:textId="77777777" w:rsidR="007A21AC" w:rsidRDefault="007A21AC" w:rsidP="00E04FCC">
            <w:pPr>
              <w:spacing w:after="0"/>
              <w:rPr>
                <w:lang w:val="en-US" w:eastAsia="zh-CN"/>
              </w:rPr>
            </w:pPr>
            <w:r>
              <w:rPr>
                <w:rFonts w:hint="eastAsia"/>
                <w:lang w:val="en-US" w:eastAsia="zh-CN"/>
              </w:rPr>
              <w:t>CMCC</w:t>
            </w:r>
          </w:p>
        </w:tc>
        <w:tc>
          <w:tcPr>
            <w:tcW w:w="1170" w:type="dxa"/>
          </w:tcPr>
          <w:p w14:paraId="3676604E" w14:textId="77777777" w:rsidR="007A21AC" w:rsidRDefault="007A21AC" w:rsidP="00E04FCC">
            <w:pPr>
              <w:spacing w:after="0"/>
              <w:rPr>
                <w:lang w:val="en-US" w:eastAsia="zh-CN"/>
              </w:rPr>
            </w:pPr>
            <w:r>
              <w:rPr>
                <w:rFonts w:hint="eastAsia"/>
                <w:lang w:val="en-US" w:eastAsia="zh-CN"/>
              </w:rPr>
              <w:t>b</w:t>
            </w:r>
            <w:r>
              <w:rPr>
                <w:lang w:val="en-US" w:eastAsia="zh-CN"/>
              </w:rPr>
              <w:t>) and c)</w:t>
            </w:r>
          </w:p>
        </w:tc>
        <w:tc>
          <w:tcPr>
            <w:tcW w:w="1530" w:type="dxa"/>
          </w:tcPr>
          <w:p w14:paraId="765970B1" w14:textId="77777777" w:rsidR="007A21AC" w:rsidRDefault="007A21AC" w:rsidP="00E04FCC">
            <w:pPr>
              <w:spacing w:after="0"/>
              <w:rPr>
                <w:lang w:val="en-US" w:eastAsia="zh-CN"/>
              </w:rPr>
            </w:pPr>
            <w:r>
              <w:rPr>
                <w:rFonts w:hint="eastAsia"/>
                <w:lang w:val="en-US" w:eastAsia="zh-CN"/>
              </w:rPr>
              <w:t>a</w:t>
            </w:r>
            <w:r>
              <w:rPr>
                <w:lang w:val="en-US" w:eastAsia="zh-CN"/>
              </w:rPr>
              <w:t>)</w:t>
            </w:r>
          </w:p>
        </w:tc>
        <w:tc>
          <w:tcPr>
            <w:tcW w:w="5850" w:type="dxa"/>
            <w:vAlign w:val="center"/>
          </w:tcPr>
          <w:p w14:paraId="604526C4" w14:textId="77777777" w:rsidR="007A21AC" w:rsidRDefault="007A21AC" w:rsidP="00E04FCC">
            <w:pPr>
              <w:spacing w:after="0"/>
              <w:jc w:val="both"/>
              <w:rPr>
                <w:lang w:val="en-US" w:eastAsia="zh-CN"/>
              </w:rPr>
            </w:pPr>
            <w:r>
              <w:rPr>
                <w:lang w:val="en-US" w:eastAsia="zh-CN"/>
              </w:rPr>
              <w:t>Agree with ZTE.</w:t>
            </w:r>
          </w:p>
          <w:p w14:paraId="57ED1FC4" w14:textId="77777777" w:rsidR="007A21AC" w:rsidRDefault="007A21AC" w:rsidP="00E04FCC">
            <w:pPr>
              <w:spacing w:after="0"/>
              <w:jc w:val="both"/>
              <w:rPr>
                <w:lang w:val="en-US" w:eastAsia="zh-CN"/>
              </w:rPr>
            </w:pPr>
            <w:r w:rsidRPr="008E6D77">
              <w:rPr>
                <w:lang w:val="en-US" w:eastAsia="zh-CN"/>
              </w:rPr>
              <w:t xml:space="preserve">As shown in the figure, cell 5 and cell 6 are covering the same location 3 but supporting different slices. Both slice 1 and slice 2 are available within location 3, by means like HO, re-direction or DC/CA. </w:t>
            </w:r>
            <w:r>
              <w:rPr>
                <w:lang w:val="en-US" w:eastAsia="zh-CN"/>
              </w:rPr>
              <w:t>In such deployment, t</w:t>
            </w:r>
            <w:r w:rsidRPr="008E6D77">
              <w:rPr>
                <w:lang w:val="en-US" w:eastAsia="zh-CN"/>
              </w:rPr>
              <w:t>he slice availability</w:t>
            </w:r>
            <w:r>
              <w:rPr>
                <w:lang w:val="en-US" w:eastAsia="zh-CN"/>
              </w:rPr>
              <w:t xml:space="preserve"> is guaranteed, which is align with the principle that slice availability is not changed</w:t>
            </w:r>
            <w:r w:rsidRPr="008E6D77">
              <w:rPr>
                <w:lang w:val="en-US" w:eastAsia="zh-CN"/>
              </w:rPr>
              <w:t xml:space="preserve"> within the same </w:t>
            </w:r>
            <w:r>
              <w:rPr>
                <w:lang w:val="en-US" w:eastAsia="zh-CN"/>
              </w:rPr>
              <w:t>TA</w:t>
            </w:r>
            <w:r w:rsidRPr="008E6D77">
              <w:rPr>
                <w:lang w:val="en-US" w:eastAsia="zh-CN"/>
              </w:rPr>
              <w:t>.</w:t>
            </w:r>
          </w:p>
          <w:p w14:paraId="3EE897FE" w14:textId="77777777" w:rsidR="007A21AC" w:rsidRDefault="007A21AC" w:rsidP="00E04FCC">
            <w:pPr>
              <w:spacing w:after="0"/>
              <w:jc w:val="center"/>
              <w:rPr>
                <w:lang w:val="en-US" w:eastAsia="zh-CN"/>
              </w:rPr>
            </w:pPr>
            <w:r>
              <w:rPr>
                <w:noProof/>
              </w:rPr>
              <w:drawing>
                <wp:inline distT="0" distB="0" distL="0" distR="0" wp14:anchorId="40E21B99" wp14:editId="3D498D0E">
                  <wp:extent cx="1329110" cy="1244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61996" cy="1275692"/>
                          </a:xfrm>
                          <a:prstGeom prst="rect">
                            <a:avLst/>
                          </a:prstGeom>
                        </pic:spPr>
                      </pic:pic>
                    </a:graphicData>
                  </a:graphic>
                </wp:inline>
              </w:drawing>
            </w:r>
          </w:p>
          <w:p w14:paraId="7C1BB36D" w14:textId="77777777" w:rsidR="007A21AC" w:rsidRDefault="007A21AC" w:rsidP="00E04FCC">
            <w:pPr>
              <w:spacing w:after="0"/>
              <w:jc w:val="both"/>
              <w:rPr>
                <w:lang w:val="en-US" w:eastAsia="zh-CN"/>
              </w:rPr>
            </w:pPr>
            <w:r w:rsidRPr="008E6D77">
              <w:rPr>
                <w:lang w:val="en-US" w:eastAsia="zh-CN"/>
              </w:rPr>
              <w:t>From RAN2 spec perspective, we don’t see there is any limitation to prevent the cells on different frequencies belonging to the same RA and TA to support different slices.</w:t>
            </w:r>
          </w:p>
        </w:tc>
      </w:tr>
      <w:tr w:rsidR="007A21AC" w14:paraId="64AE10C2" w14:textId="77777777">
        <w:tc>
          <w:tcPr>
            <w:tcW w:w="1345" w:type="dxa"/>
            <w:vAlign w:val="center"/>
          </w:tcPr>
          <w:p w14:paraId="6DF364B8" w14:textId="77777777" w:rsidR="007A21AC" w:rsidRPr="007A21AC" w:rsidRDefault="007A21AC" w:rsidP="00450D14">
            <w:pPr>
              <w:spacing w:after="0"/>
              <w:rPr>
                <w:rFonts w:eastAsia="PMingLiU"/>
                <w:lang w:eastAsia="zh-TW"/>
              </w:rPr>
            </w:pPr>
          </w:p>
        </w:tc>
        <w:tc>
          <w:tcPr>
            <w:tcW w:w="1170" w:type="dxa"/>
          </w:tcPr>
          <w:p w14:paraId="2D6BD25E" w14:textId="77777777" w:rsidR="007A21AC" w:rsidRDefault="007A21AC" w:rsidP="00450D14">
            <w:pPr>
              <w:spacing w:after="0"/>
              <w:rPr>
                <w:rFonts w:eastAsia="Malgun Gothic"/>
                <w:lang w:val="en-US" w:eastAsia="ko-KR"/>
              </w:rPr>
            </w:pPr>
          </w:p>
        </w:tc>
        <w:tc>
          <w:tcPr>
            <w:tcW w:w="1530" w:type="dxa"/>
          </w:tcPr>
          <w:p w14:paraId="1C722CCD" w14:textId="77777777" w:rsidR="007A21AC" w:rsidRDefault="007A21AC" w:rsidP="00450D14">
            <w:pPr>
              <w:spacing w:after="0"/>
              <w:rPr>
                <w:rFonts w:eastAsia="Malgun Gothic"/>
                <w:lang w:val="en-US" w:eastAsia="ko-KR"/>
              </w:rPr>
            </w:pPr>
          </w:p>
        </w:tc>
        <w:tc>
          <w:tcPr>
            <w:tcW w:w="5850" w:type="dxa"/>
            <w:vAlign w:val="center"/>
          </w:tcPr>
          <w:p w14:paraId="632D8757" w14:textId="77777777" w:rsidR="007A21AC" w:rsidRPr="00450D14" w:rsidRDefault="007A21AC" w:rsidP="00450D14">
            <w:pPr>
              <w:spacing w:after="0"/>
              <w:rPr>
                <w:lang w:val="en-US" w:eastAsia="zh-CN"/>
              </w:rPr>
            </w:pPr>
          </w:p>
        </w:tc>
      </w:tr>
      <w:tr w:rsidR="00511D61" w14:paraId="7743EF3C" w14:textId="77777777">
        <w:tc>
          <w:tcPr>
            <w:tcW w:w="1345" w:type="dxa"/>
            <w:vAlign w:val="center"/>
          </w:tcPr>
          <w:p w14:paraId="4BF67EA9" w14:textId="77777777" w:rsidR="00511D61" w:rsidRDefault="00511D61" w:rsidP="00511D61">
            <w:pPr>
              <w:spacing w:after="0"/>
              <w:rPr>
                <w:rFonts w:eastAsia="PMingLiU"/>
                <w:lang w:val="en-US" w:eastAsia="zh-TW"/>
              </w:rPr>
            </w:pPr>
          </w:p>
        </w:tc>
        <w:tc>
          <w:tcPr>
            <w:tcW w:w="1170" w:type="dxa"/>
          </w:tcPr>
          <w:p w14:paraId="4A65FA6D" w14:textId="77777777" w:rsidR="00511D61" w:rsidRDefault="00511D61" w:rsidP="00511D61">
            <w:pPr>
              <w:spacing w:after="0"/>
              <w:rPr>
                <w:rFonts w:eastAsia="PMingLiU"/>
                <w:lang w:val="en-US" w:eastAsia="zh-TW"/>
              </w:rPr>
            </w:pPr>
          </w:p>
        </w:tc>
        <w:tc>
          <w:tcPr>
            <w:tcW w:w="1530" w:type="dxa"/>
          </w:tcPr>
          <w:p w14:paraId="45450A0E" w14:textId="77777777" w:rsidR="00511D61" w:rsidRDefault="00511D61" w:rsidP="00511D61">
            <w:pPr>
              <w:spacing w:after="0"/>
              <w:rPr>
                <w:rFonts w:eastAsia="PMingLiU"/>
                <w:lang w:val="en-US" w:eastAsia="zh-TW"/>
              </w:rPr>
            </w:pPr>
          </w:p>
        </w:tc>
        <w:tc>
          <w:tcPr>
            <w:tcW w:w="5850" w:type="dxa"/>
            <w:vAlign w:val="center"/>
          </w:tcPr>
          <w:p w14:paraId="049F887E" w14:textId="77777777" w:rsidR="00511D61" w:rsidRDefault="00511D61" w:rsidP="00511D61">
            <w:pPr>
              <w:spacing w:after="0"/>
              <w:rPr>
                <w:rFonts w:eastAsia="PMingLiU"/>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 xml:space="preserve">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w:t>
      </w:r>
      <w:r>
        <w:lastRenderedPageBreak/>
        <w:t>even though this S-NSSAI is known to be supported in the TA, for the reason that this S-NSSAI is actually not supported in the cell of the TA)? Is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2"/>
      </w:pPr>
      <w:r>
        <w:t>2.2</w:t>
      </w:r>
      <w:r>
        <w:tab/>
        <w:t xml:space="preserve">Reply LS for </w:t>
      </w:r>
      <w:hyperlink r:id="rId27" w:history="1">
        <w:r>
          <w:rPr>
            <w:rStyle w:val="af4"/>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8" w:history="1">
        <w:r>
          <w:rPr>
            <w:rStyle w:val="af4"/>
          </w:rPr>
          <w:t>R2-2011102</w:t>
        </w:r>
      </w:hyperlink>
      <w:r>
        <w:t xml:space="preserve">). As there was no consensus that UL SMBR can be enforced without RAN2 specification impacts RAN2 provided the following reply to </w:t>
      </w:r>
      <w:hyperlink r:id="rId29" w:history="1">
        <w:r>
          <w:rPr>
            <w:rStyle w:val="af4"/>
          </w:rPr>
          <w:t>R2-2010694</w:t>
        </w:r>
      </w:hyperlink>
      <w:r>
        <w:t xml:space="preserve"> on Solution #22 in </w:t>
      </w:r>
      <w:hyperlink r:id="rId30" w:history="1">
        <w:r>
          <w:rPr>
            <w:rStyle w:val="af4"/>
          </w:rPr>
          <w:t>R2-2011104</w:t>
        </w:r>
      </w:hyperlink>
      <w:r>
        <w:rPr>
          <w:rStyle w:val="af4"/>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1" w:history="1">
        <w:r>
          <w:rPr>
            <w:rStyle w:val="af4"/>
          </w:rPr>
          <w:t>R2-2101293</w:t>
        </w:r>
      </w:hyperlink>
      <w:r>
        <w:t xml:space="preserve">), while others clearly think that it is possible (e.g., </w:t>
      </w:r>
      <w:hyperlink r:id="rId32" w:history="1">
        <w:r>
          <w:rPr>
            <w:rStyle w:val="af4"/>
          </w:rPr>
          <w:t>R2-2100546</w:t>
        </w:r>
      </w:hyperlink>
      <w:r>
        <w:t xml:space="preserve">, </w:t>
      </w:r>
      <w:hyperlink r:id="rId33" w:history="1">
        <w:r>
          <w:rPr>
            <w:rStyle w:val="af4"/>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af1"/>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af6"/>
              <w:numPr>
                <w:ilvl w:val="0"/>
                <w:numId w:val="6"/>
              </w:numPr>
              <w:spacing w:after="0"/>
              <w:rPr>
                <w:lang w:val="en-US" w:eastAsia="zh-CN"/>
              </w:rPr>
            </w:pPr>
            <w:r>
              <w:rPr>
                <w:lang w:val="en-US" w:eastAsia="zh-CN"/>
              </w:rPr>
              <w:t>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as long as the UE can be configured with isolated physical resources (e.g. cells), the gNB is able to control the UL data volume with a granularity equal to the number of such resources.</w:t>
            </w:r>
          </w:p>
          <w:p w14:paraId="7F5B5C1A" w14:textId="77777777" w:rsidR="00195846" w:rsidRDefault="00511D61">
            <w:pPr>
              <w:pStyle w:val="af6"/>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lastRenderedPageBreak/>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lastRenderedPageBreak/>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1"/>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0471B4" w14:paraId="316FE947" w14:textId="77777777">
        <w:tc>
          <w:tcPr>
            <w:tcW w:w="1345" w:type="dxa"/>
            <w:vAlign w:val="center"/>
          </w:tcPr>
          <w:p w14:paraId="10580830" w14:textId="0BCBD990" w:rsidR="000471B4" w:rsidRDefault="000471B4" w:rsidP="000471B4">
            <w:pPr>
              <w:spacing w:after="0"/>
              <w:rPr>
                <w:lang w:val="en-US" w:eastAsia="zh-CN"/>
              </w:rPr>
            </w:pPr>
            <w:r>
              <w:rPr>
                <w:lang w:val="en-US" w:eastAsia="zh-CN"/>
              </w:rPr>
              <w:t>Lenovo</w:t>
            </w:r>
          </w:p>
        </w:tc>
        <w:tc>
          <w:tcPr>
            <w:tcW w:w="1127" w:type="dxa"/>
          </w:tcPr>
          <w:p w14:paraId="1C3ED1F0" w14:textId="26662721" w:rsidR="000471B4" w:rsidRDefault="000471B4" w:rsidP="000471B4">
            <w:pPr>
              <w:rPr>
                <w:lang w:val="en-US" w:eastAsia="zh-CN"/>
              </w:rPr>
            </w:pPr>
            <w:r>
              <w:rPr>
                <w:lang w:val="en-US"/>
              </w:rPr>
              <w:t>Yes</w:t>
            </w:r>
          </w:p>
        </w:tc>
        <w:tc>
          <w:tcPr>
            <w:tcW w:w="7153" w:type="dxa"/>
            <w:vAlign w:val="center"/>
          </w:tcPr>
          <w:p w14:paraId="31089604" w14:textId="37F7F135" w:rsidR="000471B4" w:rsidRDefault="000471B4" w:rsidP="000471B4">
            <w:pPr>
              <w:rPr>
                <w:lang w:val="en-US" w:eastAsia="zh-CN"/>
              </w:rPr>
            </w:pPr>
            <w:r>
              <w:rPr>
                <w:lang w:val="en-US"/>
              </w:rPr>
              <w:t>Detailed discussion of solution #22 can take place if it is pursued by SA2 in WI.</w:t>
            </w:r>
          </w:p>
        </w:tc>
      </w:tr>
      <w:tr w:rsidR="00511D61" w14:paraId="18737573" w14:textId="77777777">
        <w:tc>
          <w:tcPr>
            <w:tcW w:w="1345" w:type="dxa"/>
            <w:vAlign w:val="center"/>
          </w:tcPr>
          <w:p w14:paraId="2D5509C2" w14:textId="6551C79F" w:rsidR="00511D61" w:rsidRDefault="007B1C35" w:rsidP="00511D61">
            <w:pPr>
              <w:spacing w:after="0"/>
              <w:rPr>
                <w:lang w:val="en-US" w:eastAsia="zh-CN"/>
              </w:rPr>
            </w:pPr>
            <w:r>
              <w:rPr>
                <w:lang w:val="en-US" w:eastAsia="zh-CN"/>
              </w:rPr>
              <w:t>Google</w:t>
            </w:r>
          </w:p>
        </w:tc>
        <w:tc>
          <w:tcPr>
            <w:tcW w:w="1127" w:type="dxa"/>
          </w:tcPr>
          <w:p w14:paraId="32641D76" w14:textId="6F95AD75" w:rsidR="00511D61" w:rsidRDefault="007B1C35" w:rsidP="00511D61">
            <w:pPr>
              <w:spacing w:after="0"/>
              <w:rPr>
                <w:lang w:val="en-US" w:eastAsia="zh-CN"/>
              </w:rPr>
            </w:pPr>
            <w:r>
              <w:rPr>
                <w:lang w:val="en-US" w:eastAsia="zh-CN"/>
              </w:rPr>
              <w:t>Yes</w:t>
            </w: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08F19CAA" w:rsidR="00511D61" w:rsidRDefault="00A26012" w:rsidP="00511D61">
            <w:pPr>
              <w:spacing w:after="0"/>
              <w:rPr>
                <w:lang w:val="en-US" w:eastAsia="zh-CN"/>
              </w:rPr>
            </w:pPr>
            <w:r>
              <w:rPr>
                <w:lang w:val="en-US" w:eastAsia="zh-CN"/>
              </w:rPr>
              <w:t>Futurewei</w:t>
            </w:r>
          </w:p>
        </w:tc>
        <w:tc>
          <w:tcPr>
            <w:tcW w:w="1127" w:type="dxa"/>
          </w:tcPr>
          <w:p w14:paraId="2219380C" w14:textId="1846BD4E" w:rsidR="00511D61" w:rsidRDefault="007B0220" w:rsidP="00511D61">
            <w:pPr>
              <w:spacing w:after="0"/>
              <w:rPr>
                <w:lang w:val="en-US"/>
              </w:rPr>
            </w:pPr>
            <w:r>
              <w:rPr>
                <w:lang w:val="en-US"/>
              </w:rPr>
              <w:t xml:space="preserve">Yes </w:t>
            </w: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1B200DFC" w:rsidR="00511D61" w:rsidRDefault="00416DB7" w:rsidP="00511D61">
            <w:pPr>
              <w:spacing w:after="0"/>
              <w:rPr>
                <w:lang w:val="en-US" w:eastAsia="zh-CN"/>
              </w:rPr>
            </w:pPr>
            <w:r>
              <w:rPr>
                <w:lang w:val="en-US" w:eastAsia="zh-CN"/>
              </w:rPr>
              <w:t>Ericsson</w:t>
            </w:r>
          </w:p>
        </w:tc>
        <w:tc>
          <w:tcPr>
            <w:tcW w:w="1127" w:type="dxa"/>
          </w:tcPr>
          <w:p w14:paraId="64A93FF0" w14:textId="5149FA67" w:rsidR="00511D61" w:rsidRDefault="00416DB7" w:rsidP="00511D61">
            <w:pPr>
              <w:spacing w:after="0"/>
              <w:rPr>
                <w:lang w:val="en-US" w:eastAsia="zh-CN"/>
              </w:rPr>
            </w:pPr>
            <w:r>
              <w:rPr>
                <w:lang w:val="en-US" w:eastAsia="zh-CN"/>
              </w:rPr>
              <w:t>No</w:t>
            </w:r>
          </w:p>
        </w:tc>
        <w:tc>
          <w:tcPr>
            <w:tcW w:w="7153" w:type="dxa"/>
            <w:vAlign w:val="center"/>
          </w:tcPr>
          <w:p w14:paraId="1E7AF307" w14:textId="77777777" w:rsidR="00416DB7" w:rsidRDefault="00416DB7" w:rsidP="00416DB7">
            <w:pPr>
              <w:spacing w:after="0"/>
              <w:rPr>
                <w:rFonts w:asciiTheme="minorHAnsi" w:hAnsiTheme="minorHAnsi" w:cstheme="minorHAnsi"/>
              </w:rPr>
            </w:pPr>
            <w:r w:rsidRPr="00AD4D8A">
              <w:rPr>
                <w:rFonts w:asciiTheme="minorHAnsi" w:hAnsiTheme="minorHAnsi" w:cstheme="minorHAnsi"/>
                <w:lang w:val="en-US" w:eastAsia="zh-CN"/>
              </w:rPr>
              <w:t xml:space="preserve">SA2 asked RAN WG2 (and RAN WG3) to check the impacts </w:t>
            </w:r>
            <w:r w:rsidRPr="00AD4D8A">
              <w:rPr>
                <w:rFonts w:asciiTheme="minorHAnsi" w:hAnsiTheme="minorHAnsi" w:cstheme="minorHAnsi"/>
                <w:b/>
                <w:bCs/>
                <w:lang w:val="en-US" w:eastAsia="zh-CN"/>
              </w:rPr>
              <w:t>on RAN</w:t>
            </w:r>
            <w:r w:rsidRPr="00AD4D8A">
              <w:rPr>
                <w:rFonts w:asciiTheme="minorHAnsi" w:hAnsiTheme="minorHAnsi" w:cstheme="minorHAnsi"/>
                <w:lang w:val="en-US" w:eastAsia="zh-CN"/>
              </w:rPr>
              <w:t xml:space="preserve"> to r</w:t>
            </w:r>
            <w:r w:rsidRPr="00AD4D8A">
              <w:rPr>
                <w:rFonts w:asciiTheme="minorHAnsi" w:eastAsia="Malgun Gothic" w:hAnsiTheme="minorHAnsi" w:cstheme="minorHAnsi"/>
                <w:lang w:eastAsia="ja-JP"/>
              </w:rPr>
              <w:t xml:space="preserve">ate limit the aggregate of the UL/DL traffic for an S-NSSAI. Option 2 in the ZTE comment is a UE solution. RAN2 should respond such that SA2 can take a decision on where to locate the SMBR enforcement, in CN, RAN or UE. </w:t>
            </w:r>
            <w:r w:rsidRPr="00AD4D8A">
              <w:rPr>
                <w:rFonts w:asciiTheme="minorHAnsi" w:eastAsia="Malgun Gothic" w:hAnsiTheme="minorHAnsi" w:cstheme="minorHAnsi"/>
                <w:lang w:eastAsia="ja-JP"/>
              </w:rPr>
              <w:br/>
            </w:r>
            <w:r w:rsidRPr="00AD4D8A">
              <w:rPr>
                <w:rFonts w:asciiTheme="minorHAnsi" w:hAnsiTheme="minorHAnsi" w:cstheme="minorHAnsi"/>
              </w:rPr>
              <w:t>Option 1 (R2-2100546) assumes that there is always a one-to-one mapping between slices, logical channels and physical resource (e.g. cells). If RAN2 wants more flexible and generic</w:t>
            </w:r>
            <w:r>
              <w:rPr>
                <w:rFonts w:asciiTheme="minorHAnsi" w:hAnsiTheme="minorHAnsi" w:cstheme="minorHAnsi"/>
              </w:rPr>
              <w:t xml:space="preserve"> mapping of slices to physical resources</w:t>
            </w:r>
            <w:r w:rsidRPr="00AD4D8A">
              <w:rPr>
                <w:rFonts w:asciiTheme="minorHAnsi" w:hAnsiTheme="minorHAnsi" w:cstheme="minorHAnsi"/>
              </w:rPr>
              <w:t xml:space="preserve">, then the </w:t>
            </w:r>
            <w:r>
              <w:rPr>
                <w:rFonts w:asciiTheme="minorHAnsi" w:hAnsiTheme="minorHAnsi" w:cstheme="minorHAnsi"/>
              </w:rPr>
              <w:t>existing</w:t>
            </w:r>
            <w:r w:rsidRPr="00AD4D8A">
              <w:rPr>
                <w:rFonts w:asciiTheme="minorHAnsi" w:hAnsiTheme="minorHAnsi" w:cstheme="minorHAnsi"/>
              </w:rPr>
              <w:t xml:space="preserve"> mechanisms using LCP restrictions etc are insufficient. </w:t>
            </w:r>
          </w:p>
          <w:p w14:paraId="6DCA06CB" w14:textId="77777777" w:rsidR="00416DB7" w:rsidRPr="00AD4D8A" w:rsidRDefault="00416DB7" w:rsidP="00416DB7">
            <w:pPr>
              <w:spacing w:after="0"/>
              <w:rPr>
                <w:rFonts w:asciiTheme="minorHAnsi" w:eastAsia="Malgun Gothic" w:hAnsiTheme="minorHAnsi" w:cstheme="minorHAnsi"/>
                <w:lang w:eastAsia="ja-JP"/>
              </w:rPr>
            </w:pPr>
            <w:r w:rsidRPr="00AD4D8A">
              <w:rPr>
                <w:rFonts w:asciiTheme="minorHAnsi" w:eastAsia="Malgun Gothic" w:hAnsiTheme="minorHAnsi" w:cstheme="minorHAnsi"/>
                <w:lang w:eastAsia="ja-JP"/>
              </w:rPr>
              <w:t>Proposal:</w:t>
            </w:r>
            <w:r w:rsidRPr="00AD4D8A">
              <w:rPr>
                <w:rStyle w:val="af5"/>
                <w:rFonts w:asciiTheme="minorHAnsi" w:hAnsiTheme="minorHAnsi" w:cstheme="minorHAnsi"/>
              </w:rPr>
              <w:t xml:space="preserve"> </w:t>
            </w:r>
          </w:p>
          <w:p w14:paraId="7A737CDF" w14:textId="77777777" w:rsidR="00416DB7" w:rsidRDefault="00416DB7" w:rsidP="00416DB7">
            <w:pPr>
              <w:spacing w:after="0"/>
              <w:rPr>
                <w:lang w:val="en-US" w:eastAsia="zh-CN"/>
              </w:rPr>
            </w:pPr>
            <w:r w:rsidRPr="00AD4D8A">
              <w:rPr>
                <w:rFonts w:asciiTheme="minorHAnsi" w:eastAsia="Malgun Gothic" w:hAnsiTheme="minorHAnsi" w:cstheme="minorHAnsi"/>
                <w:lang w:eastAsia="ja-JP"/>
              </w:rPr>
              <w:t xml:space="preserve">“RAN2 understands UL SMBR can be enforced in RAN with existing mechanisms only </w:t>
            </w:r>
            <w:r w:rsidRPr="00AD4D8A">
              <w:rPr>
                <w:rFonts w:asciiTheme="minorHAnsi" w:hAnsiTheme="minorHAnsi" w:cstheme="minorHAnsi"/>
                <w:lang w:val="en-US" w:eastAsia="zh-CN"/>
              </w:rPr>
              <w:t>if the UE is configured with isolated physical resources (e.g. cells) for each slice. If this is not the case, existing mechanism</w:t>
            </w:r>
            <w:r>
              <w:rPr>
                <w:rFonts w:asciiTheme="minorHAnsi" w:hAnsiTheme="minorHAnsi" w:cstheme="minorHAnsi"/>
                <w:lang w:val="en-US" w:eastAsia="zh-CN"/>
              </w:rPr>
              <w:t>s</w:t>
            </w:r>
            <w:r w:rsidRPr="00AD4D8A">
              <w:rPr>
                <w:rFonts w:asciiTheme="minorHAnsi" w:hAnsiTheme="minorHAnsi" w:cstheme="minorHAnsi"/>
                <w:lang w:val="en-US" w:eastAsia="zh-CN"/>
              </w:rPr>
              <w:t xml:space="preserve"> in RAN cannot be used.”</w:t>
            </w:r>
          </w:p>
          <w:p w14:paraId="4C06D73E" w14:textId="77777777" w:rsidR="00511D61" w:rsidRDefault="00511D61" w:rsidP="00511D61">
            <w:pPr>
              <w:spacing w:after="0"/>
              <w:rPr>
                <w:lang w:val="en-US" w:eastAsia="zh-CN"/>
              </w:rPr>
            </w:pPr>
          </w:p>
        </w:tc>
      </w:tr>
      <w:tr w:rsidR="00D06BBB" w14:paraId="1457A08D" w14:textId="77777777">
        <w:tc>
          <w:tcPr>
            <w:tcW w:w="1345" w:type="dxa"/>
            <w:vAlign w:val="center"/>
          </w:tcPr>
          <w:p w14:paraId="3343EBC2" w14:textId="335C35CF" w:rsidR="00D06BBB" w:rsidRDefault="00D06BBB" w:rsidP="00511D61">
            <w:pPr>
              <w:spacing w:after="0"/>
              <w:rPr>
                <w:lang w:val="en-US" w:eastAsia="zh-CN"/>
              </w:rPr>
            </w:pPr>
            <w:r>
              <w:rPr>
                <w:lang w:val="en-US" w:eastAsia="zh-CN"/>
              </w:rPr>
              <w:t>Qualcomm</w:t>
            </w:r>
          </w:p>
        </w:tc>
        <w:tc>
          <w:tcPr>
            <w:tcW w:w="1127" w:type="dxa"/>
          </w:tcPr>
          <w:p w14:paraId="4FB849E4" w14:textId="291790D1" w:rsidR="00D06BBB" w:rsidRDefault="00D06BBB" w:rsidP="00511D61">
            <w:pPr>
              <w:spacing w:after="0"/>
              <w:rPr>
                <w:lang w:val="en-US" w:eastAsia="zh-CN"/>
              </w:rPr>
            </w:pPr>
            <w:r>
              <w:rPr>
                <w:lang w:val="en-US" w:eastAsia="zh-CN"/>
              </w:rPr>
              <w:t>Yes</w:t>
            </w:r>
          </w:p>
        </w:tc>
        <w:tc>
          <w:tcPr>
            <w:tcW w:w="7153" w:type="dxa"/>
            <w:vAlign w:val="center"/>
          </w:tcPr>
          <w:p w14:paraId="6BF7968D" w14:textId="4D7B7C38" w:rsidR="00D06BBB" w:rsidRPr="00AD4D8A" w:rsidRDefault="00B31869" w:rsidP="00B31869">
            <w:pPr>
              <w:rPr>
                <w:rFonts w:asciiTheme="minorHAnsi" w:hAnsiTheme="minorHAnsi" w:cstheme="minorHAnsi"/>
                <w:lang w:val="en-US" w:eastAsia="zh-CN"/>
              </w:rPr>
            </w:pPr>
            <w:r w:rsidRPr="00B31869">
              <w:rPr>
                <w:lang w:val="en-US"/>
              </w:rPr>
              <w:t xml:space="preserve">For </w:t>
            </w:r>
            <w:r>
              <w:rPr>
                <w:lang w:val="en-US"/>
              </w:rPr>
              <w:t>SMBR enforcement, w</w:t>
            </w:r>
            <w:r w:rsidRPr="00B31869">
              <w:rPr>
                <w:lang w:val="en-US"/>
              </w:rPr>
              <w:t xml:space="preserve">e </w:t>
            </w:r>
            <w:r>
              <w:rPr>
                <w:lang w:val="en-US"/>
              </w:rPr>
              <w:t xml:space="preserve">are </w:t>
            </w:r>
            <w:r w:rsidRPr="00B31869">
              <w:rPr>
                <w:lang w:val="en-US"/>
              </w:rPr>
              <w:t>not looking at enforcements at every scheduling occurrence but at large periods from RAN</w:t>
            </w:r>
            <w:r>
              <w:rPr>
                <w:lang w:val="en-US"/>
              </w:rPr>
              <w:t>2</w:t>
            </w:r>
            <w:r w:rsidRPr="00B31869">
              <w:rPr>
                <w:lang w:val="en-US"/>
              </w:rPr>
              <w:t xml:space="preserve"> </w:t>
            </w:r>
            <w:r>
              <w:rPr>
                <w:lang w:val="en-US"/>
              </w:rPr>
              <w:t>perspective</w:t>
            </w:r>
            <w:r w:rsidRPr="00B31869">
              <w:rPr>
                <w:lang w:val="en-US"/>
              </w:rPr>
              <w:t xml:space="preserve"> (Avg. windows of ~2 sec).</w:t>
            </w:r>
            <w:r w:rsidR="00A270E8">
              <w:rPr>
                <w:lang w:val="en-US"/>
              </w:rPr>
              <w:t xml:space="preserve"> Thus, we are not sure why LCG can’t work.</w:t>
            </w:r>
            <w:r w:rsidR="00BE6476">
              <w:rPr>
                <w:lang w:val="en-US"/>
              </w:rPr>
              <w:t xml:space="preserve"> </w:t>
            </w:r>
            <w:r w:rsidR="00B35940">
              <w:rPr>
                <w:lang w:val="en-US"/>
              </w:rPr>
              <w:t>We don’t see showstopper for solution#22 from RAN2 perspective.</w:t>
            </w:r>
          </w:p>
        </w:tc>
      </w:tr>
      <w:tr w:rsidR="00511D61" w14:paraId="3B469983" w14:textId="77777777">
        <w:tc>
          <w:tcPr>
            <w:tcW w:w="1345" w:type="dxa"/>
            <w:vAlign w:val="center"/>
          </w:tcPr>
          <w:p w14:paraId="638079FB" w14:textId="7EB79059" w:rsidR="00511D61" w:rsidRPr="006A731C" w:rsidRDefault="006A731C" w:rsidP="00511D61">
            <w:pPr>
              <w:spacing w:after="0"/>
              <w:rPr>
                <w:rFonts w:eastAsia="Malgun Gothic"/>
                <w:lang w:val="en-US" w:eastAsia="ko-KR"/>
              </w:rPr>
            </w:pPr>
            <w:r>
              <w:rPr>
                <w:rFonts w:eastAsia="Malgun Gothic" w:hint="eastAsia"/>
                <w:lang w:val="en-US" w:eastAsia="ko-KR"/>
              </w:rPr>
              <w:t>Samsung</w:t>
            </w:r>
          </w:p>
        </w:tc>
        <w:tc>
          <w:tcPr>
            <w:tcW w:w="1127" w:type="dxa"/>
          </w:tcPr>
          <w:p w14:paraId="52D47709" w14:textId="1996403E" w:rsidR="00511D61" w:rsidRPr="006A731C" w:rsidRDefault="006A731C" w:rsidP="006723EE">
            <w:pPr>
              <w:spacing w:after="0"/>
              <w:rPr>
                <w:rFonts w:eastAsia="Malgun Gothic"/>
                <w:lang w:val="en-US" w:eastAsia="ko-KR"/>
              </w:rPr>
            </w:pPr>
            <w:r>
              <w:rPr>
                <w:rFonts w:eastAsia="Malgun Gothic" w:hint="eastAsia"/>
                <w:lang w:val="en-US" w:eastAsia="ko-KR"/>
              </w:rPr>
              <w:t xml:space="preserve">Yes </w:t>
            </w:r>
          </w:p>
        </w:tc>
        <w:tc>
          <w:tcPr>
            <w:tcW w:w="7153" w:type="dxa"/>
            <w:vAlign w:val="center"/>
          </w:tcPr>
          <w:p w14:paraId="3BE780D7" w14:textId="46A45CBE" w:rsidR="00511D61" w:rsidRPr="006723EE" w:rsidRDefault="006723EE" w:rsidP="00511D61">
            <w:pPr>
              <w:spacing w:after="0"/>
              <w:rPr>
                <w:rFonts w:eastAsia="Malgun Gothic"/>
                <w:lang w:val="en-US" w:eastAsia="ko-KR"/>
              </w:rPr>
            </w:pPr>
            <w:r>
              <w:rPr>
                <w:rFonts w:eastAsia="Malgun Gothic" w:hint="eastAsia"/>
                <w:lang w:val="en-US" w:eastAsia="ko-KR"/>
              </w:rPr>
              <w:t>We may discuss later whether the existing mechanism</w:t>
            </w:r>
            <w:r>
              <w:rPr>
                <w:rFonts w:eastAsia="Malgun Gothic"/>
                <w:lang w:val="en-US" w:eastAsia="ko-KR"/>
              </w:rPr>
              <w:t>s</w:t>
            </w:r>
            <w:r>
              <w:rPr>
                <w:rFonts w:eastAsia="Malgun Gothic" w:hint="eastAsia"/>
                <w:lang w:val="en-US" w:eastAsia="ko-KR"/>
              </w:rPr>
              <w:t xml:space="preserve"> can support the UL enforcement</w:t>
            </w:r>
            <w:r>
              <w:rPr>
                <w:rFonts w:eastAsia="Malgun Gothic"/>
                <w:lang w:val="en-US" w:eastAsia="ko-KR"/>
              </w:rPr>
              <w:t xml:space="preserve"> of S-MBR</w:t>
            </w:r>
            <w:r>
              <w:rPr>
                <w:rFonts w:eastAsia="Malgun Gothic" w:hint="eastAsia"/>
                <w:lang w:val="en-US" w:eastAsia="ko-KR"/>
              </w:rPr>
              <w:t>.</w:t>
            </w:r>
          </w:p>
        </w:tc>
      </w:tr>
      <w:tr w:rsidR="00511D61" w14:paraId="6E5ECB89" w14:textId="77777777">
        <w:tc>
          <w:tcPr>
            <w:tcW w:w="1345" w:type="dxa"/>
            <w:vAlign w:val="center"/>
          </w:tcPr>
          <w:p w14:paraId="1E7C1587" w14:textId="0EAE4055" w:rsidR="00511D61" w:rsidRDefault="005B590F" w:rsidP="00511D61">
            <w:pPr>
              <w:spacing w:after="0"/>
              <w:rPr>
                <w:rFonts w:eastAsia="PMingLiU"/>
                <w:lang w:val="en-US" w:eastAsia="zh-TW"/>
              </w:rPr>
            </w:pPr>
            <w:r>
              <w:rPr>
                <w:rFonts w:eastAsia="PMingLiU" w:hint="eastAsia"/>
                <w:lang w:val="en-US" w:eastAsia="zh-TW"/>
              </w:rPr>
              <w:t>A</w:t>
            </w:r>
            <w:r>
              <w:rPr>
                <w:rFonts w:eastAsia="PMingLiU"/>
                <w:lang w:val="en-US" w:eastAsia="zh-TW"/>
              </w:rPr>
              <w:t>PT</w:t>
            </w:r>
          </w:p>
        </w:tc>
        <w:tc>
          <w:tcPr>
            <w:tcW w:w="1127" w:type="dxa"/>
          </w:tcPr>
          <w:p w14:paraId="195294D7" w14:textId="3A4453D6" w:rsidR="00511D61" w:rsidRDefault="005B590F" w:rsidP="00511D61">
            <w:pPr>
              <w:spacing w:after="0"/>
              <w:rPr>
                <w:rFonts w:eastAsia="PMingLiU"/>
                <w:lang w:val="en-US" w:eastAsia="zh-TW"/>
              </w:rPr>
            </w:pPr>
            <w:r>
              <w:rPr>
                <w:rFonts w:eastAsia="PMingLiU" w:hint="eastAsia"/>
                <w:lang w:val="en-US" w:eastAsia="zh-TW"/>
              </w:rPr>
              <w:t>Y</w:t>
            </w:r>
            <w:r>
              <w:rPr>
                <w:rFonts w:eastAsia="PMingLiU"/>
                <w:lang w:val="en-US" w:eastAsia="zh-TW"/>
              </w:rPr>
              <w:t>es</w:t>
            </w:r>
          </w:p>
        </w:tc>
        <w:tc>
          <w:tcPr>
            <w:tcW w:w="7153" w:type="dxa"/>
            <w:vAlign w:val="center"/>
          </w:tcPr>
          <w:p w14:paraId="1024C9CF" w14:textId="77777777" w:rsidR="00511D61" w:rsidRDefault="00511D61" w:rsidP="00511D61">
            <w:pPr>
              <w:spacing w:after="0"/>
              <w:rPr>
                <w:rFonts w:eastAsia="PMingLiU"/>
                <w:lang w:val="en-US" w:eastAsia="zh-TW"/>
              </w:rPr>
            </w:pPr>
          </w:p>
        </w:tc>
      </w:tr>
      <w:tr w:rsidR="00705C3D" w14:paraId="2E8BB81B" w14:textId="77777777">
        <w:tc>
          <w:tcPr>
            <w:tcW w:w="1345" w:type="dxa"/>
            <w:vAlign w:val="center"/>
          </w:tcPr>
          <w:p w14:paraId="79D71E55" w14:textId="79283332" w:rsidR="00705C3D" w:rsidRPr="00705C3D" w:rsidRDefault="00705C3D" w:rsidP="00511D61">
            <w:pPr>
              <w:spacing w:after="0"/>
              <w:rPr>
                <w:rFonts w:hint="eastAsia"/>
                <w:lang w:val="en-US" w:eastAsia="zh-CN"/>
              </w:rPr>
            </w:pPr>
            <w:r>
              <w:rPr>
                <w:rFonts w:hint="eastAsia"/>
                <w:lang w:val="en-US" w:eastAsia="zh-CN"/>
              </w:rPr>
              <w:t>C</w:t>
            </w:r>
            <w:r>
              <w:rPr>
                <w:lang w:val="en-US" w:eastAsia="zh-CN"/>
              </w:rPr>
              <w:t>MCC</w:t>
            </w:r>
          </w:p>
        </w:tc>
        <w:tc>
          <w:tcPr>
            <w:tcW w:w="1127" w:type="dxa"/>
          </w:tcPr>
          <w:p w14:paraId="4CB398E4" w14:textId="54EB92F1" w:rsidR="00705C3D" w:rsidRPr="00705C3D" w:rsidRDefault="00705C3D" w:rsidP="00511D61">
            <w:pPr>
              <w:spacing w:after="0"/>
              <w:rPr>
                <w:rFonts w:hint="eastAsia"/>
                <w:lang w:val="en-US" w:eastAsia="zh-CN"/>
              </w:rPr>
            </w:pPr>
            <w:r>
              <w:rPr>
                <w:rFonts w:hint="eastAsia"/>
                <w:lang w:val="en-US" w:eastAsia="zh-CN"/>
              </w:rPr>
              <w:t>Y</w:t>
            </w:r>
            <w:r>
              <w:rPr>
                <w:lang w:val="en-US" w:eastAsia="zh-CN"/>
              </w:rPr>
              <w:t>es</w:t>
            </w:r>
          </w:p>
        </w:tc>
        <w:tc>
          <w:tcPr>
            <w:tcW w:w="7153" w:type="dxa"/>
            <w:vAlign w:val="center"/>
          </w:tcPr>
          <w:p w14:paraId="20FD3FF7" w14:textId="77777777" w:rsidR="00705C3D" w:rsidRDefault="00705C3D" w:rsidP="00511D61">
            <w:pPr>
              <w:spacing w:after="0"/>
              <w:rPr>
                <w:rFonts w:eastAsia="PMingLiU"/>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1"/>
      </w:pPr>
      <w:r>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F2485" w14:textId="77777777" w:rsidR="008E0999" w:rsidRDefault="008E0999" w:rsidP="00511D61">
      <w:pPr>
        <w:spacing w:after="0" w:line="240" w:lineRule="auto"/>
      </w:pPr>
      <w:r>
        <w:separator/>
      </w:r>
    </w:p>
  </w:endnote>
  <w:endnote w:type="continuationSeparator" w:id="0">
    <w:p w14:paraId="5A976C7B" w14:textId="77777777" w:rsidR="008E0999" w:rsidRDefault="008E0999"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8F60C" w14:textId="77777777" w:rsidR="008E0999" w:rsidRDefault="008E0999" w:rsidP="00511D61">
      <w:pPr>
        <w:spacing w:after="0" w:line="240" w:lineRule="auto"/>
      </w:pPr>
      <w:r>
        <w:separator/>
      </w:r>
    </w:p>
  </w:footnote>
  <w:footnote w:type="continuationSeparator" w:id="0">
    <w:p w14:paraId="4B555701" w14:textId="77777777" w:rsidR="008E0999" w:rsidRDefault="008E0999"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6B2EFB"/>
    <w:multiLevelType w:val="hybridMultilevel"/>
    <w:tmpl w:val="F92259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471B4"/>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4C5B"/>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3A06"/>
    <w:rsid w:val="001D4278"/>
    <w:rsid w:val="001D71B9"/>
    <w:rsid w:val="001E1589"/>
    <w:rsid w:val="001E22C0"/>
    <w:rsid w:val="001E5380"/>
    <w:rsid w:val="001E655B"/>
    <w:rsid w:val="001F0599"/>
    <w:rsid w:val="001F168B"/>
    <w:rsid w:val="001F29C3"/>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A6AAE"/>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2D46"/>
    <w:rsid w:val="0039346C"/>
    <w:rsid w:val="00397E5D"/>
    <w:rsid w:val="003A41EF"/>
    <w:rsid w:val="003B40AD"/>
    <w:rsid w:val="003B5E1A"/>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16DB7"/>
    <w:rsid w:val="0042258E"/>
    <w:rsid w:val="0042468A"/>
    <w:rsid w:val="004333BD"/>
    <w:rsid w:val="00445534"/>
    <w:rsid w:val="00450D14"/>
    <w:rsid w:val="00465587"/>
    <w:rsid w:val="00472853"/>
    <w:rsid w:val="00475925"/>
    <w:rsid w:val="00477455"/>
    <w:rsid w:val="004848A5"/>
    <w:rsid w:val="004A1F7B"/>
    <w:rsid w:val="004A7A74"/>
    <w:rsid w:val="004B0780"/>
    <w:rsid w:val="004C44D2"/>
    <w:rsid w:val="004D3578"/>
    <w:rsid w:val="004D380D"/>
    <w:rsid w:val="004D5B38"/>
    <w:rsid w:val="004D68C7"/>
    <w:rsid w:val="004E0118"/>
    <w:rsid w:val="004E213A"/>
    <w:rsid w:val="004E2EF5"/>
    <w:rsid w:val="004E3DA6"/>
    <w:rsid w:val="004F04C7"/>
    <w:rsid w:val="004F32ED"/>
    <w:rsid w:val="004F6E79"/>
    <w:rsid w:val="0050203E"/>
    <w:rsid w:val="00503171"/>
    <w:rsid w:val="00506C28"/>
    <w:rsid w:val="00511C85"/>
    <w:rsid w:val="00511D61"/>
    <w:rsid w:val="005138A5"/>
    <w:rsid w:val="0052157E"/>
    <w:rsid w:val="00521DFC"/>
    <w:rsid w:val="00532944"/>
    <w:rsid w:val="00534DA0"/>
    <w:rsid w:val="00543E6C"/>
    <w:rsid w:val="005616ED"/>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B590F"/>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723EE"/>
    <w:rsid w:val="00681EAC"/>
    <w:rsid w:val="006948AA"/>
    <w:rsid w:val="00694E78"/>
    <w:rsid w:val="006A2C25"/>
    <w:rsid w:val="006A731C"/>
    <w:rsid w:val="006B10C3"/>
    <w:rsid w:val="006C1464"/>
    <w:rsid w:val="006C34A5"/>
    <w:rsid w:val="006C66D8"/>
    <w:rsid w:val="006D1E24"/>
    <w:rsid w:val="006E1417"/>
    <w:rsid w:val="006E6D49"/>
    <w:rsid w:val="006F6A2C"/>
    <w:rsid w:val="006F70BC"/>
    <w:rsid w:val="00701DBC"/>
    <w:rsid w:val="00702C26"/>
    <w:rsid w:val="007037BC"/>
    <w:rsid w:val="00705C3D"/>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21AC"/>
    <w:rsid w:val="007A4493"/>
    <w:rsid w:val="007A56FD"/>
    <w:rsid w:val="007A5E27"/>
    <w:rsid w:val="007A71E6"/>
    <w:rsid w:val="007B0220"/>
    <w:rsid w:val="007B18D8"/>
    <w:rsid w:val="007B1C35"/>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B757D"/>
    <w:rsid w:val="008C014F"/>
    <w:rsid w:val="008C0B53"/>
    <w:rsid w:val="008C2E2A"/>
    <w:rsid w:val="008C3057"/>
    <w:rsid w:val="008C3856"/>
    <w:rsid w:val="008C3F3C"/>
    <w:rsid w:val="008C6BEB"/>
    <w:rsid w:val="008D2E4D"/>
    <w:rsid w:val="008D4D7D"/>
    <w:rsid w:val="008E0999"/>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6012"/>
    <w:rsid w:val="00A270E8"/>
    <w:rsid w:val="00A27330"/>
    <w:rsid w:val="00A304A6"/>
    <w:rsid w:val="00A406D0"/>
    <w:rsid w:val="00A42059"/>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1869"/>
    <w:rsid w:val="00B32850"/>
    <w:rsid w:val="00B350B3"/>
    <w:rsid w:val="00B35940"/>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476"/>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65C"/>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06BBB"/>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15A7"/>
    <w:rsid w:val="00E03360"/>
    <w:rsid w:val="00E1132E"/>
    <w:rsid w:val="00E17D98"/>
    <w:rsid w:val="00E3119E"/>
    <w:rsid w:val="00E41219"/>
    <w:rsid w:val="00E42E82"/>
    <w:rsid w:val="00E4405D"/>
    <w:rsid w:val="00E46C08"/>
    <w:rsid w:val="00E471CF"/>
    <w:rsid w:val="00E474C1"/>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4B7B"/>
    <w:rsid w:val="00E9534A"/>
    <w:rsid w:val="00EA66C9"/>
    <w:rsid w:val="00EA7930"/>
    <w:rsid w:val="00EC4A25"/>
    <w:rsid w:val="00ED0302"/>
    <w:rsid w:val="00ED0624"/>
    <w:rsid w:val="00ED4A9E"/>
    <w:rsid w:val="00ED7310"/>
    <w:rsid w:val="00EE253F"/>
    <w:rsid w:val="00EF006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48B6"/>
    <w:rsid w:val="00FA6CEF"/>
    <w:rsid w:val="00FA7447"/>
    <w:rsid w:val="00FB042C"/>
    <w:rsid w:val="00FB36FA"/>
    <w:rsid w:val="00FB7C54"/>
    <w:rsid w:val="00FC1192"/>
    <w:rsid w:val="00FE0EAE"/>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pPr>
      <w:spacing w:line="240" w:lineRule="auto"/>
    </w:pPr>
  </w:style>
  <w:style w:type="paragraph" w:styleId="a7">
    <w:name w:val="Body Text"/>
    <w:basedOn w:val="a"/>
    <w:link w:val="a8"/>
    <w:unhideWhenUsed/>
    <w:qFormat/>
    <w:pPr>
      <w:spacing w:before="40" w:after="120" w:line="256" w:lineRule="auto"/>
    </w:pPr>
    <w:rPr>
      <w:rFonts w:ascii="Arial" w:eastAsia="MS Mincho" w:hAnsi="Arial"/>
      <w:szCs w:val="24"/>
      <w:lang w:eastAsia="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f">
    <w:name w:val="annotation subject"/>
    <w:basedOn w:val="a5"/>
    <w:next w:val="a5"/>
    <w:link w:val="af0"/>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6">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6">
    <w:name w:val="批注文字 字符"/>
    <w:basedOn w:val="a0"/>
    <w:link w:val="a5"/>
    <w:qFormat/>
    <w:rPr>
      <w:rFonts w:ascii="Times New Roman" w:hAnsi="Times New Roman"/>
      <w:lang w:val="en-GB"/>
    </w:rPr>
  </w:style>
  <w:style w:type="character" w:customStyle="1" w:styleId="af0">
    <w:name w:val="批注主题 字符"/>
    <w:basedOn w:val="a6"/>
    <w:link w:val="af"/>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a"/>
    <w:uiPriority w:val="34"/>
    <w:unhideWhenUsed/>
    <w:qFormat/>
    <w:pPr>
      <w:ind w:firstLineChars="200" w:firstLine="420"/>
    </w:p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7"/>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a"/>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hyperlink" Target="https://www.3gpp.org/ftp/tsg_ran/WG2_RL2/TSGR2_113-e/Docs/R2-2100893.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069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546.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1102.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129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0694.zip" TargetMode="External"/><Relationship Id="rId30" Type="http://schemas.openxmlformats.org/officeDocument/2006/relationships/hyperlink" Target="https://www.3gpp.org/ftp/tsg_ran/WG2_RL2/TSGR2_112-e/Docs/R2-201110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D0F6DB6C-5F92-40F2-87F3-97B62314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3425</Words>
  <Characters>19523</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cmcc</cp:lastModifiedBy>
  <cp:revision>8</cp:revision>
  <dcterms:created xsi:type="dcterms:W3CDTF">2021-01-29T06:10:00Z</dcterms:created>
  <dcterms:modified xsi:type="dcterms:W3CDTF">2021-01-29T07:28:00Z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