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6CA857EA"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w:t>
      </w:r>
      <w:r w:rsidR="003A3232">
        <w:rPr>
          <w:rFonts w:eastAsia="宋体"/>
          <w:sz w:val="22"/>
          <w:szCs w:val="22"/>
          <w:lang w:val="en-GB" w:eastAsia="zh-CN"/>
        </w:rPr>
        <w:t>40</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eDRX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宋体"/>
                <w:lang w:val="fr-FR" w:eastAsia="zh-CN"/>
              </w:rPr>
            </w:pPr>
            <w:r>
              <w:rPr>
                <w:rFonts w:eastAsia="宋体"/>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宋体"/>
                <w:lang w:val="fr-FR" w:eastAsia="zh-CN"/>
              </w:rPr>
            </w:pPr>
            <w:r>
              <w:rPr>
                <w:rFonts w:eastAsia="宋体" w:hint="eastAsia"/>
                <w:lang w:val="fr-FR" w:eastAsia="zh-CN"/>
              </w:rPr>
              <w:t>X</w:t>
            </w:r>
            <w:r>
              <w:rPr>
                <w:rFonts w:eastAsia="宋体"/>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宋体"/>
                <w:lang w:val="fr-FR" w:eastAsia="zh-CN"/>
              </w:rPr>
            </w:pPr>
            <w:r>
              <w:rPr>
                <w:rFonts w:eastAsia="宋体"/>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宋体"/>
                <w:lang w:val="fr-FR" w:eastAsia="zh-CN"/>
              </w:rPr>
            </w:pPr>
            <w:r>
              <w:rPr>
                <w:rFonts w:eastAsia="宋体"/>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宋体"/>
                <w:lang w:val="fr-FR" w:eastAsia="zh-CN"/>
              </w:rPr>
            </w:pPr>
            <w:r>
              <w:rPr>
                <w:rFonts w:eastAsia="宋体"/>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宋体"/>
                <w:lang w:val="fr-FR" w:eastAsia="zh-CN"/>
              </w:rPr>
            </w:pPr>
            <w:r>
              <w:rPr>
                <w:rFonts w:eastAsia="宋体"/>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宋体"/>
                <w:lang w:val="fr-FR" w:eastAsia="zh-CN"/>
              </w:rPr>
            </w:pPr>
            <w:r>
              <w:rPr>
                <w:rFonts w:eastAsia="宋体"/>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703297"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907724" w:rsidP="00AD703D">
            <w:pPr>
              <w:spacing w:before="120"/>
              <w:jc w:val="both"/>
              <w:rPr>
                <w:rFonts w:eastAsia="Malgun Gothic"/>
                <w:lang w:val="de-DE" w:eastAsia="ko-KR"/>
              </w:rPr>
            </w:pPr>
            <w:hyperlink r:id="rId15" w:history="1">
              <w:r w:rsidR="00782B3E" w:rsidRPr="00395806">
                <w:rPr>
                  <w:rStyle w:val="afa"/>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宋体"/>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afa"/>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宋体"/>
                <w:lang w:eastAsia="zh-CN"/>
              </w:rPr>
            </w:pPr>
            <w:r>
              <w:rPr>
                <w:rFonts w:eastAsia="宋体"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afa"/>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宋体"/>
                <w:lang w:eastAsia="zh-CN"/>
              </w:rPr>
            </w:pPr>
            <w:r>
              <w:rPr>
                <w:rFonts w:eastAsia="宋体"/>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03297"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03297"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宋体"/>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7"/>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宋体"/>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宋体"/>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ab"/>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af7"/>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af7"/>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af7"/>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af7"/>
              <w:numPr>
                <w:ilvl w:val="0"/>
                <w:numId w:val="16"/>
              </w:numPr>
              <w:rPr>
                <w:ins w:id="86" w:author="CATT" w:date="2021-01-27T21:07:00Z"/>
              </w:rPr>
            </w:pPr>
            <w:ins w:id="87" w:author="CATT" w:date="2021-01-27T21:07:00Z">
              <w:r w:rsidRPr="0045522F">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af7"/>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af7"/>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宋体"/>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宋体"/>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af7"/>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af7"/>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af7"/>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af7"/>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af7"/>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af7"/>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宋体"/>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宋体" w:hint="eastAsia"/>
                <w:lang w:eastAsia="zh-CN"/>
              </w:rPr>
              <w:t>X</w:t>
            </w:r>
            <w:r>
              <w:rPr>
                <w:rFonts w:eastAsia="宋体"/>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宋体" w:eastAsia="宋体" w:hAnsi="宋体" w:cs="宋体"/>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宋体"/>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宋体"/>
                <w:lang w:eastAsia="zh-CN"/>
              </w:rPr>
            </w:pPr>
            <w:r>
              <w:rPr>
                <w:rFonts w:eastAsia="宋体"/>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宋体"/>
                <w:lang w:eastAsia="zh-CN"/>
              </w:rPr>
            </w:pPr>
            <w:r>
              <w:rPr>
                <w:rFonts w:eastAsia="宋体"/>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afa"/>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af7"/>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宋体"/>
                <w:lang w:eastAsia="zh-CN"/>
              </w:rPr>
            </w:pPr>
            <w:r>
              <w:rPr>
                <w:rFonts w:eastAsia="宋体"/>
                <w:lang w:eastAsia="zh-CN"/>
              </w:rPr>
              <w:lastRenderedPageBreak/>
              <w:t>ZTE</w:t>
            </w:r>
          </w:p>
        </w:tc>
        <w:tc>
          <w:tcPr>
            <w:tcW w:w="4114" w:type="pct"/>
          </w:tcPr>
          <w:p w14:paraId="0FA573D2" w14:textId="77777777" w:rsidR="00C71725" w:rsidRDefault="00C71725" w:rsidP="00C71725">
            <w:pPr>
              <w:spacing w:before="120"/>
              <w:jc w:val="both"/>
              <w:rPr>
                <w:rFonts w:eastAsia="宋体"/>
                <w:lang w:eastAsia="zh-CN"/>
              </w:rPr>
            </w:pPr>
            <w:r>
              <w:rPr>
                <w:rFonts w:eastAsia="宋体" w:hint="eastAsia"/>
                <w:lang w:eastAsia="zh-CN"/>
              </w:rPr>
              <w:t xml:space="preserve">For option 2/3/4, we </w:t>
            </w:r>
            <w:r>
              <w:rPr>
                <w:rFonts w:eastAsia="宋体"/>
                <w:lang w:eastAsia="zh-CN"/>
              </w:rPr>
              <w:t>share</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p>
          <w:p w14:paraId="67F0EFB2" w14:textId="5958F29D" w:rsidR="00C71725" w:rsidRDefault="00C71725" w:rsidP="00C71725">
            <w:pPr>
              <w:spacing w:before="120"/>
              <w:jc w:val="both"/>
            </w:pPr>
            <w:r>
              <w:rPr>
                <w:rFonts w:eastAsia="宋体"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宋体"/>
                <w:lang w:eastAsia="zh-CN"/>
              </w:rPr>
            </w:pPr>
            <w:r>
              <w:rPr>
                <w:rFonts w:eastAsia="宋体"/>
                <w:lang w:eastAsia="zh-CN"/>
              </w:rPr>
              <w:t>Intel</w:t>
            </w:r>
          </w:p>
        </w:tc>
        <w:tc>
          <w:tcPr>
            <w:tcW w:w="4114" w:type="pct"/>
          </w:tcPr>
          <w:p w14:paraId="76E55F67" w14:textId="03396E60" w:rsidR="00E23674" w:rsidRDefault="00E23674" w:rsidP="00C71725">
            <w:pPr>
              <w:spacing w:before="120"/>
              <w:jc w:val="both"/>
              <w:rPr>
                <w:rFonts w:eastAsia="宋体"/>
                <w:lang w:eastAsia="zh-CN"/>
              </w:rPr>
            </w:pPr>
            <w:r>
              <w:rPr>
                <w:rFonts w:eastAsia="宋体"/>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宋体"/>
                <w:lang w:eastAsia="zh-CN"/>
              </w:rPr>
            </w:pPr>
            <w:r>
              <w:rPr>
                <w:rFonts w:eastAsia="宋体"/>
                <w:lang w:eastAsia="zh-CN"/>
              </w:rPr>
              <w:t>Facebook</w:t>
            </w:r>
          </w:p>
        </w:tc>
        <w:tc>
          <w:tcPr>
            <w:tcW w:w="4114" w:type="pct"/>
          </w:tcPr>
          <w:p w14:paraId="17F8B086" w14:textId="3CF06B99" w:rsidR="00342AD0" w:rsidRDefault="00342AD0" w:rsidP="00342AD0">
            <w:pPr>
              <w:spacing w:before="120"/>
              <w:jc w:val="both"/>
              <w:rPr>
                <w:rFonts w:eastAsia="宋体"/>
                <w:lang w:eastAsia="zh-CN"/>
              </w:rPr>
            </w:pPr>
            <w:r>
              <w:rPr>
                <w:rFonts w:eastAsia="宋体"/>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宋体"/>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宋体"/>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宋体" w:hint="eastAsia"/>
                <w:lang w:eastAsia="zh-CN"/>
              </w:rPr>
              <w:t>C</w:t>
            </w:r>
            <w:r>
              <w:rPr>
                <w:rFonts w:eastAsia="宋体"/>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宋体"/>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159" w:author="CATT" w:date="2021-01-27T22:03:00Z"/>
              </w:rPr>
            </w:pPr>
            <w:ins w:id="160" w:author="CATT" w:date="2021-01-27T22:03:00Z">
              <w:r>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7"/>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7"/>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宋体"/>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宋体"/>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7"/>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lastRenderedPageBreak/>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宋体"/>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宋体"/>
                <w:lang w:eastAsia="zh-CN"/>
              </w:rPr>
            </w:pPr>
            <w:r>
              <w:rPr>
                <w:rFonts w:eastAsia="宋体"/>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宋体"/>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宋体"/>
                <w:lang w:eastAsia="zh-CN"/>
              </w:rPr>
            </w:pPr>
            <w:r>
              <w:rPr>
                <w:rFonts w:eastAsia="宋体"/>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宋体"/>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宋体"/>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宋体"/>
                <w:lang w:eastAsia="zh-CN"/>
              </w:rPr>
            </w:pPr>
            <w:r>
              <w:rPr>
                <w:rFonts w:eastAsiaTheme="minorEastAsia"/>
                <w:lang w:eastAsia="zh-CN"/>
              </w:rPr>
              <w:lastRenderedPageBreak/>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lastRenderedPageBreak/>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7"/>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lastRenderedPageBreak/>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196" w:author="CATT" w:date="2021-01-27T22:32:00Z"/>
              </w:rPr>
            </w:pPr>
            <w:ins w:id="197" w:author="CATT" w:date="2021-01-27T22:32:00Z">
              <w:r>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af7"/>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af7"/>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7"/>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af7"/>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af7"/>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af7"/>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lastRenderedPageBreak/>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common PTW and eDRX cycle configuration</w:t>
            </w:r>
            <w:r>
              <w:rPr>
                <w:rFonts w:eastAsia="宋体"/>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7"/>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7"/>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7"/>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宋体" w:hint="eastAsia"/>
                <w:lang w:eastAsia="zh-CN"/>
              </w:rPr>
              <w:t xml:space="preserve">We prefer to capture all </w:t>
            </w:r>
            <w:r>
              <w:rPr>
                <w:rFonts w:eastAsia="宋体"/>
                <w:lang w:eastAsia="zh-CN"/>
              </w:rPr>
              <w:t xml:space="preserve">the </w:t>
            </w:r>
            <w:r>
              <w:rPr>
                <w:rFonts w:eastAsia="宋体" w:hint="eastAsia"/>
                <w:lang w:eastAsia="zh-CN"/>
              </w:rPr>
              <w:t xml:space="preserve">options </w:t>
            </w:r>
            <w:r>
              <w:rPr>
                <w:rFonts w:eastAsia="宋体"/>
                <w:lang w:eastAsia="zh-CN"/>
              </w:rPr>
              <w:t>to the TR</w:t>
            </w:r>
            <w:r>
              <w:rPr>
                <w:rFonts w:eastAsia="宋体"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宋体" w:hint="eastAsia"/>
                <w:lang w:eastAsia="zh-CN"/>
              </w:rPr>
              <w:t>as Qualcomm indicate</w:t>
            </w:r>
            <w:r>
              <w:rPr>
                <w:rFonts w:eastAsia="宋体"/>
                <w:lang w:eastAsia="zh-CN"/>
              </w:rPr>
              <w:t>d</w:t>
            </w:r>
            <w:r>
              <w:rPr>
                <w:rFonts w:eastAsia="宋体" w:hint="eastAsia"/>
                <w:lang w:eastAsia="zh-CN"/>
              </w:rPr>
              <w:t>, there are scenarios where different eDRX cycle in RRC INACTIVE is beneficial. We should not exclude these scenarios</w:t>
            </w:r>
            <w:r>
              <w:rPr>
                <w:rFonts w:eastAsia="宋体"/>
                <w:lang w:eastAsia="zh-CN"/>
              </w:rPr>
              <w:t xml:space="preserve"> at this stage</w:t>
            </w:r>
            <w:r>
              <w:rPr>
                <w:rFonts w:eastAsia="宋体"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宋体"/>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lastRenderedPageBreak/>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af7"/>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af7"/>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af7"/>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af7"/>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af7"/>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af7"/>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af7"/>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af7"/>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lastRenderedPageBreak/>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宋体" w:hint="eastAsia"/>
                <w:lang w:eastAsia="zh-CN"/>
              </w:rPr>
              <w:t xml:space="preserve">Please see </w:t>
            </w:r>
            <w:r>
              <w:rPr>
                <w:rFonts w:eastAsia="宋体"/>
                <w:lang w:eastAsia="zh-CN"/>
              </w:rPr>
              <w:t xml:space="preserve">our </w:t>
            </w:r>
            <w:r>
              <w:rPr>
                <w:rFonts w:eastAsia="宋体" w:hint="eastAsia"/>
                <w:lang w:eastAsia="zh-CN"/>
              </w:rPr>
              <w:t xml:space="preserve">comments </w:t>
            </w:r>
            <w:r>
              <w:rPr>
                <w:rFonts w:eastAsia="宋体"/>
                <w:lang w:eastAsia="zh-CN"/>
              </w:rPr>
              <w:t>to</w:t>
            </w:r>
            <w:r>
              <w:rPr>
                <w:rFonts w:eastAsia="宋体"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宋体"/>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宋体"/>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宋体"/>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af7"/>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af7"/>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af7"/>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lastRenderedPageBreak/>
              <w:t>It provides more flexibility to the RAN node in the configuration of the eDRX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宋体"/>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lastRenderedPageBreak/>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宋体"/>
                <w:lang w:eastAsia="zh-CN"/>
              </w:rPr>
            </w:pPr>
            <w:r>
              <w:rPr>
                <w:rFonts w:eastAsia="宋体"/>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7"/>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1"/>
        <w:jc w:val="both"/>
      </w:pPr>
      <w:r>
        <w:t>Conclusion</w:t>
      </w:r>
    </w:p>
    <w:p w14:paraId="16877FB7" w14:textId="3E09211C" w:rsidR="00746755" w:rsidRPr="00614A57" w:rsidRDefault="00746755" w:rsidP="00746755">
      <w:pPr>
        <w:pStyle w:val="1"/>
        <w:numPr>
          <w:ilvl w:val="1"/>
          <w:numId w:val="1"/>
        </w:numPr>
        <w:ind w:left="562" w:hanging="562"/>
        <w:jc w:val="both"/>
        <w:rPr>
          <w:sz w:val="24"/>
        </w:rPr>
      </w:pPr>
      <w:r>
        <w:rPr>
          <w:sz w:val="24"/>
        </w:rPr>
        <w:t>Proposals for agreement</w:t>
      </w:r>
    </w:p>
    <w:p w14:paraId="03B9E421" w14:textId="36C47035" w:rsidR="00746755" w:rsidRDefault="00746755" w:rsidP="00746755">
      <w:pPr>
        <w:pStyle w:val="a1"/>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a1"/>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a1"/>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af7"/>
        <w:numPr>
          <w:ilvl w:val="0"/>
          <w:numId w:val="17"/>
        </w:numPr>
        <w:jc w:val="both"/>
      </w:pPr>
      <w:r w:rsidRPr="003B4011">
        <w:t>CN has better insight on UE traffic profile</w:t>
      </w:r>
    </w:p>
    <w:p w14:paraId="3CC205CB" w14:textId="77777777" w:rsidR="00F73796" w:rsidRPr="003B4011" w:rsidRDefault="00F73796" w:rsidP="00F73796">
      <w:pPr>
        <w:pStyle w:val="af7"/>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af7"/>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af7"/>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af7"/>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af7"/>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af7"/>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ab"/>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ab"/>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lastRenderedPageBreak/>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af7"/>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af7"/>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af7"/>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af7"/>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af7"/>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af7"/>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af7"/>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af7"/>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af7"/>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af7"/>
        <w:numPr>
          <w:ilvl w:val="0"/>
          <w:numId w:val="16"/>
        </w:numPr>
        <w:jc w:val="both"/>
      </w:pPr>
      <w:r>
        <w:t>Consistent with the LTE solution.</w:t>
      </w:r>
    </w:p>
    <w:p w14:paraId="32CE2E59" w14:textId="77777777" w:rsidR="00215694" w:rsidRPr="00645980" w:rsidRDefault="00215694" w:rsidP="00215694">
      <w:pPr>
        <w:pStyle w:val="af7"/>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af7"/>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lastRenderedPageBreak/>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af7"/>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af7"/>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a1"/>
        <w:rPr>
          <w:lang w:val="en-GB" w:eastAsia="zh-CN"/>
        </w:rPr>
      </w:pPr>
    </w:p>
    <w:p w14:paraId="7F47FA2C" w14:textId="752736B7" w:rsidR="00746755" w:rsidRPr="006A0BEA" w:rsidRDefault="006A0BEA" w:rsidP="00746755">
      <w:pPr>
        <w:pStyle w:val="a1"/>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ab"/>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ab"/>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af7"/>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af7"/>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af7"/>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af7"/>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af7"/>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af7"/>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ab"/>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af7"/>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af7"/>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af7"/>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af7"/>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af7"/>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af7"/>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a1"/>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af7"/>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af7"/>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af7"/>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af7"/>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ab"/>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af7"/>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af7"/>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af7"/>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af7"/>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1"/>
        <w:jc w:val="both"/>
      </w:pPr>
      <w:r>
        <w:t>Phase II</w:t>
      </w:r>
    </w:p>
    <w:p w14:paraId="670EAEA3" w14:textId="26A52361" w:rsidR="00FE2CD7" w:rsidRDefault="00FE2CD7" w:rsidP="00FE2CD7">
      <w:pPr>
        <w:pStyle w:val="a1"/>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lastRenderedPageBreak/>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af7"/>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af7"/>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af7"/>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af7"/>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af7"/>
        <w:numPr>
          <w:ilvl w:val="0"/>
          <w:numId w:val="16"/>
        </w:numPr>
        <w:jc w:val="both"/>
      </w:pPr>
      <w:r>
        <w:t>Consistent with the LTE solution.</w:t>
      </w:r>
    </w:p>
    <w:p w14:paraId="00170DF7" w14:textId="77777777" w:rsidR="008C4DDA" w:rsidRDefault="008C4DDA" w:rsidP="008C4DDA">
      <w:pPr>
        <w:pStyle w:val="af7"/>
        <w:numPr>
          <w:ilvl w:val="0"/>
          <w:numId w:val="16"/>
        </w:numPr>
        <w:jc w:val="both"/>
      </w:pPr>
      <w:r>
        <w:t>Solution based on Network implementation and there is no additional impact.</w:t>
      </w:r>
    </w:p>
    <w:p w14:paraId="2F1F242D" w14:textId="77777777" w:rsidR="0030202A" w:rsidRPr="00645980" w:rsidRDefault="0030202A" w:rsidP="0030202A">
      <w:pPr>
        <w:pStyle w:val="af7"/>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af7"/>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af7"/>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af7"/>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ac"/>
        </w:rPr>
        <w:commentReference w:id="448"/>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宋体"/>
                <w:lang w:eastAsia="zh-CN"/>
              </w:rPr>
            </w:pPr>
            <w:r>
              <w:rPr>
                <w:rFonts w:eastAsia="宋体"/>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r w:rsidRPr="004C2F52">
              <w:t>requir</w:t>
            </w:r>
            <w:r w:rsidRPr="00D32016">
              <w:rPr>
                <w:strike/>
              </w:rPr>
              <w:t>es</w:t>
            </w:r>
            <w:r w:rsidR="00D32016" w:rsidRPr="00D32016">
              <w:rPr>
                <w:color w:val="FF0000"/>
              </w:rPr>
              <w:t>ing</w:t>
            </w:r>
            <w:r>
              <w:t xml:space="preserve"> </w:t>
            </w:r>
            <w:r w:rsidRPr="004C2F52">
              <w:rPr>
                <w:color w:val="FF0000"/>
              </w:rPr>
              <w:t>changes to</w:t>
            </w:r>
            <w:r>
              <w:rPr>
                <w:color w:val="FF0000"/>
              </w:rPr>
              <w:t xml:space="preserve"> the paging </w:t>
            </w:r>
            <w:r>
              <w:rPr>
                <w:color w:val="FF0000"/>
              </w:rPr>
              <w:lastRenderedPageBreak/>
              <w:t>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48E7FC2C" w:rsidR="008074C9" w:rsidRDefault="00831709" w:rsidP="003E0681">
            <w:pPr>
              <w:spacing w:before="120"/>
              <w:jc w:val="both"/>
              <w:rPr>
                <w:rFonts w:eastAsiaTheme="minorEastAsia"/>
                <w:lang w:eastAsia="zh-CN"/>
              </w:rPr>
            </w:pPr>
            <w:r>
              <w:rPr>
                <w:rFonts w:eastAsiaTheme="minorEastAsia"/>
                <w:lang w:eastAsia="zh-CN"/>
              </w:rPr>
              <w:lastRenderedPageBreak/>
              <w:t>ZTE</w:t>
            </w:r>
          </w:p>
        </w:tc>
        <w:tc>
          <w:tcPr>
            <w:tcW w:w="560" w:type="pct"/>
          </w:tcPr>
          <w:p w14:paraId="259B7196" w14:textId="7B9C02A1" w:rsidR="008074C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57614142" w14:textId="77777777" w:rsidR="008074C9" w:rsidRDefault="008074C9" w:rsidP="003E0681">
            <w:pPr>
              <w:spacing w:before="120"/>
              <w:jc w:val="both"/>
              <w:rPr>
                <w:rFonts w:eastAsiaTheme="minorEastAsia"/>
                <w:lang w:eastAsia="zh-CN"/>
              </w:rPr>
            </w:pPr>
          </w:p>
        </w:tc>
      </w:tr>
      <w:tr w:rsidR="005175C3" w14:paraId="1E20F757" w14:textId="77777777" w:rsidTr="003E0681">
        <w:tc>
          <w:tcPr>
            <w:tcW w:w="658" w:type="pct"/>
          </w:tcPr>
          <w:p w14:paraId="3E2C8A34" w14:textId="6E1D1605" w:rsidR="005175C3" w:rsidRDefault="005175C3" w:rsidP="005175C3">
            <w:pPr>
              <w:spacing w:before="120"/>
              <w:jc w:val="both"/>
              <w:rPr>
                <w:rFonts w:eastAsiaTheme="minorEastAsia"/>
                <w:lang w:eastAsia="zh-CN"/>
              </w:rPr>
            </w:pPr>
            <w:r>
              <w:rPr>
                <w:rFonts w:eastAsiaTheme="minorEastAsia"/>
                <w:lang w:eastAsia="zh-CN"/>
              </w:rPr>
              <w:t>Huawei, HiSilicon</w:t>
            </w:r>
          </w:p>
        </w:tc>
        <w:tc>
          <w:tcPr>
            <w:tcW w:w="560" w:type="pct"/>
          </w:tcPr>
          <w:p w14:paraId="4DBEC0CF" w14:textId="76BE64DD"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9F7AFD3" w14:textId="77777777" w:rsidR="005175C3" w:rsidRDefault="005175C3" w:rsidP="005175C3">
            <w:pPr>
              <w:spacing w:before="120"/>
              <w:jc w:val="both"/>
              <w:rPr>
                <w:rFonts w:eastAsiaTheme="minorEastAsia"/>
                <w:lang w:eastAsia="zh-CN"/>
              </w:rPr>
            </w:pPr>
          </w:p>
        </w:tc>
      </w:tr>
      <w:tr w:rsidR="002661D0" w14:paraId="6CA458C0" w14:textId="77777777" w:rsidTr="003E0681">
        <w:tc>
          <w:tcPr>
            <w:tcW w:w="658" w:type="pct"/>
          </w:tcPr>
          <w:p w14:paraId="6942529F" w14:textId="60F1077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0688D8E" w14:textId="2254403B"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360B5ABA" w14:textId="1A475CFC" w:rsidR="002661D0" w:rsidRDefault="002661D0" w:rsidP="005175C3">
            <w:pPr>
              <w:spacing w:before="120"/>
              <w:jc w:val="both"/>
              <w:rPr>
                <w:rFonts w:eastAsiaTheme="minorEastAsia"/>
                <w:lang w:eastAsia="zh-CN"/>
              </w:rPr>
            </w:pPr>
            <w:r>
              <w:rPr>
                <w:rFonts w:eastAsiaTheme="minorEastAsia"/>
                <w:lang w:eastAsia="zh-CN"/>
              </w:rPr>
              <w:t>We thanks the rapporteur for accepting/handling this. We also echo MediaTek’s views.</w:t>
            </w:r>
          </w:p>
        </w:tc>
      </w:tr>
      <w:tr w:rsidR="00703297" w14:paraId="0BCEE085" w14:textId="77777777" w:rsidTr="003E0681">
        <w:tc>
          <w:tcPr>
            <w:tcW w:w="658" w:type="pct"/>
          </w:tcPr>
          <w:p w14:paraId="734573C9" w14:textId="43093315" w:rsidR="00703297" w:rsidRPr="00703297" w:rsidRDefault="00703297" w:rsidP="005175C3">
            <w:pPr>
              <w:spacing w:before="120"/>
              <w:jc w:val="both"/>
              <w:rPr>
                <w:rFonts w:eastAsiaTheme="minorEastAsia"/>
                <w:lang w:eastAsia="zh-CN"/>
              </w:rPr>
            </w:pPr>
            <w:r>
              <w:rPr>
                <w:rFonts w:eastAsiaTheme="minorEastAsia"/>
                <w:lang w:eastAsia="zh-CN"/>
              </w:rPr>
              <w:t>Xiaomi</w:t>
            </w:r>
          </w:p>
        </w:tc>
        <w:tc>
          <w:tcPr>
            <w:tcW w:w="560" w:type="pct"/>
          </w:tcPr>
          <w:p w14:paraId="4A77CACC" w14:textId="7534C21D" w:rsidR="00703297" w:rsidRDefault="00703297" w:rsidP="005175C3">
            <w:pPr>
              <w:spacing w:before="120"/>
              <w:jc w:val="both"/>
              <w:rPr>
                <w:rFonts w:eastAsiaTheme="minorEastAsia"/>
                <w:lang w:eastAsia="zh-CN"/>
              </w:rPr>
            </w:pPr>
            <w:r>
              <w:rPr>
                <w:rFonts w:eastAsiaTheme="minorEastAsia"/>
                <w:lang w:eastAsia="zh-CN"/>
              </w:rPr>
              <w:t>Yes</w:t>
            </w:r>
          </w:p>
        </w:tc>
        <w:tc>
          <w:tcPr>
            <w:tcW w:w="3782" w:type="pct"/>
          </w:tcPr>
          <w:p w14:paraId="70ABD9C9" w14:textId="77777777" w:rsidR="00703297" w:rsidRDefault="00703297" w:rsidP="005175C3">
            <w:pPr>
              <w:spacing w:before="120"/>
              <w:jc w:val="both"/>
              <w:rPr>
                <w:rFonts w:eastAsiaTheme="minorEastAsia"/>
                <w:lang w:eastAsia="zh-CN"/>
              </w:rPr>
            </w:pPr>
          </w:p>
        </w:tc>
      </w:tr>
    </w:tbl>
    <w:p w14:paraId="0A15C2E9" w14:textId="77777777" w:rsidR="00FE2CD7" w:rsidRDefault="00FE2CD7" w:rsidP="00FE2CD7">
      <w:pPr>
        <w:pStyle w:val="a1"/>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ab"/>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4"/>
              <w:rPr>
                <w:ins w:id="449" w:author="CATT" w:date="2021-01-27T22:03:00Z"/>
              </w:rPr>
            </w:pPr>
            <w:ins w:id="450" w:author="CATT" w:date="2021-01-27T22:03:00Z">
              <w:r>
                <w:t>8.3</w:t>
              </w:r>
              <w:r w:rsidRPr="00176863">
                <w:t>.1.</w:t>
              </w:r>
              <w:r>
                <w:t>1</w:t>
              </w:r>
              <w:r w:rsidRPr="00176863">
                <w:tab/>
              </w:r>
              <w:r>
                <w:t>eDRX in RRC_IDLE</w:t>
              </w:r>
            </w:ins>
          </w:p>
          <w:p w14:paraId="2423AB8D" w14:textId="7C8035B6" w:rsidR="00AF4566" w:rsidRPr="00967EE2" w:rsidRDefault="00AF4566" w:rsidP="003E0681">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3E0681">
            <w:pPr>
              <w:pStyle w:val="af7"/>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3E0681">
            <w:pPr>
              <w:pStyle w:val="af7"/>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3E0681">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宋体"/>
                <w:lang w:eastAsia="zh-CN"/>
              </w:rPr>
            </w:pPr>
            <w:r>
              <w:rPr>
                <w:rFonts w:eastAsia="宋体"/>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lastRenderedPageBreak/>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r w:rsidRPr="009963E4">
              <w:rPr>
                <w:szCs w:val="20"/>
              </w:rPr>
              <w:t>requir</w:t>
            </w:r>
            <w:r w:rsidRPr="00D32016">
              <w:rPr>
                <w:strike/>
                <w:szCs w:val="20"/>
              </w:rPr>
              <w:t>es</w:t>
            </w:r>
            <w:r w:rsidR="00D32016" w:rsidRPr="00D32016">
              <w:rPr>
                <w:color w:val="FF0000"/>
                <w:szCs w:val="20"/>
              </w:rPr>
              <w:t>ing</w:t>
            </w:r>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1D13981B" w:rsidR="0004790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35072ECE" w14:textId="56DD852B" w:rsidR="0004790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6F9B7078" w14:textId="77777777" w:rsidR="00047909" w:rsidRDefault="00047909" w:rsidP="003E0681">
            <w:pPr>
              <w:spacing w:before="120"/>
              <w:jc w:val="both"/>
              <w:rPr>
                <w:rFonts w:eastAsiaTheme="minorEastAsia"/>
                <w:lang w:eastAsia="zh-CN"/>
              </w:rPr>
            </w:pPr>
          </w:p>
        </w:tc>
      </w:tr>
      <w:tr w:rsidR="005175C3" w14:paraId="4C4D7454" w14:textId="77777777" w:rsidTr="003E0681">
        <w:tc>
          <w:tcPr>
            <w:tcW w:w="658" w:type="pct"/>
          </w:tcPr>
          <w:p w14:paraId="0241193C" w14:textId="4F60C7A7" w:rsidR="005175C3" w:rsidRDefault="005175C3" w:rsidP="005175C3">
            <w:pPr>
              <w:spacing w:before="120"/>
              <w:jc w:val="both"/>
              <w:rPr>
                <w:rFonts w:eastAsiaTheme="minorEastAsia"/>
                <w:lang w:eastAsia="zh-CN"/>
              </w:rPr>
            </w:pPr>
            <w:r>
              <w:rPr>
                <w:rFonts w:eastAsiaTheme="minorEastAsia"/>
                <w:lang w:eastAsia="zh-CN"/>
              </w:rPr>
              <w:t>Huawei, HiSilicon</w:t>
            </w:r>
          </w:p>
        </w:tc>
        <w:tc>
          <w:tcPr>
            <w:tcW w:w="560" w:type="pct"/>
          </w:tcPr>
          <w:p w14:paraId="1671D197" w14:textId="4ED82B82"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7824994" w14:textId="77777777" w:rsidR="005175C3" w:rsidRDefault="005175C3" w:rsidP="005175C3">
            <w:pPr>
              <w:spacing w:before="120"/>
              <w:jc w:val="both"/>
              <w:rPr>
                <w:rFonts w:eastAsiaTheme="minorEastAsia"/>
                <w:lang w:eastAsia="zh-CN"/>
              </w:rPr>
            </w:pPr>
          </w:p>
        </w:tc>
      </w:tr>
      <w:tr w:rsidR="002661D0" w14:paraId="1B706811" w14:textId="77777777" w:rsidTr="003E0681">
        <w:tc>
          <w:tcPr>
            <w:tcW w:w="658" w:type="pct"/>
          </w:tcPr>
          <w:p w14:paraId="076B6549" w14:textId="2A7011C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E1945EF" w14:textId="59CC5231"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6A9CC64D" w14:textId="209FF600" w:rsidR="002661D0" w:rsidRDefault="002661D0" w:rsidP="005175C3">
            <w:pPr>
              <w:spacing w:before="120"/>
              <w:jc w:val="both"/>
              <w:rPr>
                <w:rFonts w:eastAsiaTheme="minorEastAsia"/>
                <w:lang w:eastAsia="zh-CN"/>
              </w:rPr>
            </w:pPr>
            <w:r>
              <w:rPr>
                <w:rFonts w:eastAsiaTheme="minorEastAsia"/>
                <w:lang w:eastAsia="zh-CN"/>
              </w:rPr>
              <w:t xml:space="preserve">While we would have liked to list separately the power saving gains instead of linking with emergency broadcast reception, we are willing to accept this to close the SI and move on to WI phase. </w:t>
            </w:r>
          </w:p>
        </w:tc>
      </w:tr>
      <w:tr w:rsidR="00703297" w14:paraId="67FEDFD3" w14:textId="77777777" w:rsidTr="003E0681">
        <w:tc>
          <w:tcPr>
            <w:tcW w:w="658" w:type="pct"/>
          </w:tcPr>
          <w:p w14:paraId="6239EC89" w14:textId="7F3232F6" w:rsidR="00703297" w:rsidRDefault="00703297" w:rsidP="005175C3">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63343AC1" w14:textId="3F175948" w:rsidR="00703297" w:rsidRDefault="00703297" w:rsidP="005175C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bookmarkStart w:id="505" w:name="_GoBack"/>
            <w:bookmarkEnd w:id="505"/>
          </w:p>
        </w:tc>
        <w:tc>
          <w:tcPr>
            <w:tcW w:w="3782" w:type="pct"/>
          </w:tcPr>
          <w:p w14:paraId="65BEE909" w14:textId="77777777" w:rsidR="00703297" w:rsidRDefault="00703297" w:rsidP="005175C3">
            <w:pPr>
              <w:spacing w:before="120"/>
              <w:jc w:val="both"/>
              <w:rPr>
                <w:rFonts w:eastAsiaTheme="minorEastAsia"/>
                <w:lang w:eastAsia="zh-CN"/>
              </w:rPr>
            </w:pPr>
          </w:p>
        </w:tc>
      </w:tr>
    </w:tbl>
    <w:p w14:paraId="2FFA941B" w14:textId="77777777" w:rsidR="00047909" w:rsidRPr="008074C9" w:rsidRDefault="00047909" w:rsidP="00FE2CD7">
      <w:pPr>
        <w:pStyle w:val="a1"/>
        <w:rPr>
          <w:lang w:val="en-GB" w:eastAsia="zh-CN"/>
        </w:rPr>
      </w:pP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50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6"/>
    </w:p>
    <w:p w14:paraId="4C7E67B9" w14:textId="23138C11" w:rsidR="00CA2F06" w:rsidRDefault="00CA2F06" w:rsidP="00CA2F06">
      <w:pPr>
        <w:pStyle w:val="a1"/>
        <w:numPr>
          <w:ilvl w:val="0"/>
          <w:numId w:val="7"/>
        </w:numPr>
        <w:jc w:val="left"/>
        <w:rPr>
          <w:rFonts w:eastAsiaTheme="minorEastAsia"/>
          <w:lang w:val="en-GB" w:eastAsia="zh-CN"/>
        </w:rPr>
      </w:pPr>
      <w:bookmarkStart w:id="50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7"/>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50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8"/>
    </w:p>
    <w:p w14:paraId="7BA15897" w14:textId="174D947B" w:rsidR="005047A9" w:rsidRDefault="005047A9" w:rsidP="005047A9">
      <w:pPr>
        <w:pStyle w:val="a1"/>
        <w:numPr>
          <w:ilvl w:val="0"/>
          <w:numId w:val="7"/>
        </w:numPr>
        <w:jc w:val="left"/>
        <w:rPr>
          <w:rFonts w:eastAsiaTheme="minorEastAsia"/>
          <w:lang w:val="en-GB" w:eastAsia="zh-CN"/>
        </w:rPr>
      </w:pPr>
      <w:bookmarkStart w:id="509" w:name="_Ref62657464"/>
      <w:r w:rsidRPr="005047A9">
        <w:rPr>
          <w:rFonts w:eastAsiaTheme="minorEastAsia"/>
          <w:lang w:val="en-GB" w:eastAsia="zh-CN"/>
        </w:rPr>
        <w:t>RAN2-113-e - R16 eMIMO-CLI-PRN-RACS - R17 NTN-REDCAP (Sergio)_2021_01_27_445</w:t>
      </w:r>
      <w:bookmarkEnd w:id="509"/>
    </w:p>
    <w:p w14:paraId="772050F1" w14:textId="34433485" w:rsidR="004212A4" w:rsidRDefault="004212A4" w:rsidP="004212A4">
      <w:pPr>
        <w:pStyle w:val="a1"/>
        <w:numPr>
          <w:ilvl w:val="0"/>
          <w:numId w:val="7"/>
        </w:numPr>
        <w:jc w:val="left"/>
        <w:rPr>
          <w:rFonts w:eastAsiaTheme="minorEastAsia"/>
          <w:szCs w:val="20"/>
          <w:lang w:val="en-GB" w:eastAsia="zh-CN"/>
        </w:rPr>
      </w:pPr>
      <w:bookmarkStart w:id="51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10"/>
    </w:p>
    <w:p w14:paraId="6B701D93" w14:textId="28272BE9" w:rsidR="00934BAC" w:rsidRDefault="00934BAC" w:rsidP="00934BAC">
      <w:pPr>
        <w:pStyle w:val="a1"/>
        <w:numPr>
          <w:ilvl w:val="0"/>
          <w:numId w:val="7"/>
        </w:numPr>
        <w:jc w:val="left"/>
        <w:rPr>
          <w:rFonts w:eastAsiaTheme="minorEastAsia"/>
          <w:szCs w:val="20"/>
          <w:lang w:val="en-GB" w:eastAsia="zh-CN"/>
        </w:rPr>
      </w:pPr>
      <w:bookmarkStart w:id="51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1"/>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512" w:name="_Ref62675207"/>
      <w:r>
        <w:rPr>
          <w:rFonts w:eastAsiaTheme="minorEastAsia"/>
          <w:szCs w:val="20"/>
          <w:lang w:val="en-GB" w:eastAsia="zh-CN"/>
        </w:rPr>
        <w:t xml:space="preserve">R2-2100984 </w:t>
      </w:r>
      <w:r>
        <w:t>RAN2 update to TR38875, Ericsson</w:t>
      </w:r>
      <w:bookmarkEnd w:id="512"/>
    </w:p>
    <w:p w14:paraId="5A090C42" w14:textId="37489EFD" w:rsidR="00CA4B31" w:rsidRDefault="00CA4B31" w:rsidP="00CA4B31">
      <w:pPr>
        <w:pStyle w:val="a1"/>
        <w:numPr>
          <w:ilvl w:val="0"/>
          <w:numId w:val="7"/>
        </w:numPr>
        <w:jc w:val="left"/>
        <w:rPr>
          <w:rFonts w:eastAsiaTheme="minorEastAsia"/>
          <w:lang w:val="en-GB" w:eastAsia="zh-CN"/>
        </w:rPr>
      </w:pPr>
      <w:bookmarkStart w:id="5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3"/>
    </w:p>
    <w:p w14:paraId="7808251A" w14:textId="539DEB9F" w:rsidR="00CA4B31" w:rsidRDefault="00CA4B31" w:rsidP="00CA4B31">
      <w:pPr>
        <w:pStyle w:val="a1"/>
        <w:numPr>
          <w:ilvl w:val="0"/>
          <w:numId w:val="7"/>
        </w:numPr>
        <w:jc w:val="left"/>
        <w:rPr>
          <w:rFonts w:eastAsiaTheme="minorEastAsia"/>
          <w:lang w:val="en-GB" w:eastAsia="zh-CN"/>
        </w:rPr>
      </w:pPr>
      <w:bookmarkStart w:id="5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4"/>
    </w:p>
    <w:p w14:paraId="336B8B01" w14:textId="22342826" w:rsidR="00014557" w:rsidRDefault="00014557" w:rsidP="00014557">
      <w:pPr>
        <w:pStyle w:val="a1"/>
        <w:numPr>
          <w:ilvl w:val="0"/>
          <w:numId w:val="7"/>
        </w:numPr>
        <w:jc w:val="left"/>
        <w:rPr>
          <w:rFonts w:eastAsiaTheme="minorEastAsia"/>
          <w:lang w:val="en-GB" w:eastAsia="zh-CN"/>
        </w:rPr>
      </w:pPr>
      <w:bookmarkStart w:id="5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5"/>
    </w:p>
    <w:p w14:paraId="5E6170AA" w14:textId="3CB8045A" w:rsidR="00B44294" w:rsidRDefault="00B44294" w:rsidP="00B44294">
      <w:pPr>
        <w:pStyle w:val="a1"/>
        <w:numPr>
          <w:ilvl w:val="0"/>
          <w:numId w:val="7"/>
        </w:numPr>
        <w:jc w:val="left"/>
        <w:rPr>
          <w:rFonts w:eastAsiaTheme="minorEastAsia"/>
          <w:lang w:val="en-GB" w:eastAsia="zh-CN"/>
        </w:rPr>
      </w:pPr>
      <w:bookmarkStart w:id="516" w:name="_Ref58852840"/>
      <w:bookmarkStart w:id="5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6"/>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518"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517"/>
      <w:bookmarkEnd w:id="51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51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52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20"/>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8" w:author="CATT" w:date="2021-02-02T22:28:00Z" w:initials="CATT">
    <w:p w14:paraId="17050C13" w14:textId="3447BE4B" w:rsidR="004C2F52" w:rsidRDefault="004C2F52">
      <w:pPr>
        <w:pStyle w:val="ad"/>
      </w:pPr>
      <w:r>
        <w:rPr>
          <w:rStyle w:val="ac"/>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7274" w14:textId="77777777" w:rsidR="00907724" w:rsidRDefault="00907724">
      <w:r>
        <w:separator/>
      </w:r>
    </w:p>
  </w:endnote>
  <w:endnote w:type="continuationSeparator" w:id="0">
    <w:p w14:paraId="35292F4E" w14:textId="77777777" w:rsidR="00907724" w:rsidRDefault="0090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0B66" w14:textId="77777777" w:rsidR="00907724" w:rsidRDefault="00907724">
      <w:r>
        <w:separator/>
      </w:r>
    </w:p>
  </w:footnote>
  <w:footnote w:type="continuationSeparator" w:id="0">
    <w:p w14:paraId="1AD75F34" w14:textId="77777777" w:rsidR="00907724" w:rsidRDefault="0090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4BC"/>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D5C"/>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1D0"/>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5C3"/>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97"/>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09"/>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724"/>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20B"/>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4D2"/>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6B5B"/>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D2EB6-6B2D-40CB-A1AD-F2B323BB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13201</Words>
  <Characters>75248</Characters>
  <Application>Microsoft Office Word</Application>
  <DocSecurity>0</DocSecurity>
  <Lines>627</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cp:lastModifiedBy>
  <cp:revision>2</cp:revision>
  <cp:lastPrinted>2007-08-28T14:45:00Z</cp:lastPrinted>
  <dcterms:created xsi:type="dcterms:W3CDTF">2021-02-03T12:47:00Z</dcterms:created>
  <dcterms:modified xsi:type="dcterms:W3CDTF">2021-02-03T12:47:00Z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1612352668</vt:lpwstr>
  </property>
</Properties>
</file>