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6730AD"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8C46CA">
            <w:pPr>
              <w:spacing w:after="0" w:line="276" w:lineRule="auto"/>
              <w:jc w:val="center"/>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MS Mincho"/>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Malgun Gothic"/>
                <w:lang w:val="en-US" w:eastAsia="ko-KR"/>
              </w:rPr>
            </w:pPr>
            <w:r>
              <w:rPr>
                <w:rFonts w:eastAsia="MS Mincho"/>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proofErr w:type="spellStart"/>
            <w:r>
              <w:rPr>
                <w:rFonts w:eastAsia="Malgun Gothic" w:hint="eastAsia"/>
                <w:lang w:val="en-US" w:eastAsia="ko-KR"/>
              </w:rPr>
              <w:t>Sangyeob</w:t>
            </w:r>
            <w:proofErr w:type="spellEnd"/>
            <w:r>
              <w:rPr>
                <w:rFonts w:eastAsia="Malgun Gothic" w:hint="eastAsia"/>
                <w:lang w:val="en-US" w:eastAsia="ko-KR"/>
              </w:rPr>
              <w:t xml:space="preserve"> Jung (sy0123.jung@samsung.com)</w:t>
            </w:r>
          </w:p>
        </w:tc>
      </w:tr>
      <w:tr w:rsidR="008C46CA" w14:paraId="49295C5A" w14:textId="77777777">
        <w:tc>
          <w:tcPr>
            <w:tcW w:w="2405" w:type="dxa"/>
            <w:shd w:val="clear" w:color="auto" w:fill="auto"/>
          </w:tcPr>
          <w:p w14:paraId="1B13BE10" w14:textId="60D7BDAD" w:rsidR="008C46CA" w:rsidRDefault="008C46CA" w:rsidP="008C46CA">
            <w:pPr>
              <w:spacing w:after="0" w:line="276" w:lineRule="auto"/>
              <w:rPr>
                <w:rFonts w:eastAsia="Malgun Gothic"/>
                <w:lang w:eastAsia="ko-KR"/>
              </w:rPr>
            </w:pPr>
          </w:p>
        </w:tc>
        <w:tc>
          <w:tcPr>
            <w:tcW w:w="7224" w:type="dxa"/>
            <w:shd w:val="clear" w:color="auto" w:fill="auto"/>
          </w:tcPr>
          <w:p w14:paraId="5F6F3AA3" w14:textId="67025DDC" w:rsidR="008C46CA" w:rsidRDefault="008C46CA" w:rsidP="008C46CA">
            <w:pPr>
              <w:spacing w:after="0" w:line="276" w:lineRule="auto"/>
              <w:rPr>
                <w:rFonts w:eastAsia="Malgun Gothic"/>
                <w:lang w:eastAsia="ko-KR"/>
              </w:rPr>
            </w:pPr>
          </w:p>
        </w:tc>
      </w:tr>
      <w:tr w:rsidR="008C46CA" w:rsidRPr="005411E8" w14:paraId="3136B1CC" w14:textId="77777777">
        <w:tc>
          <w:tcPr>
            <w:tcW w:w="2405" w:type="dxa"/>
            <w:shd w:val="clear" w:color="auto" w:fill="auto"/>
          </w:tcPr>
          <w:p w14:paraId="52C8BA11" w14:textId="0F08C808" w:rsidR="008C46CA" w:rsidRDefault="008C46CA" w:rsidP="008C46CA">
            <w:pPr>
              <w:spacing w:after="0" w:line="276" w:lineRule="auto"/>
              <w:rPr>
                <w:rFonts w:eastAsia="MS Mincho"/>
              </w:rPr>
            </w:pPr>
          </w:p>
        </w:tc>
        <w:tc>
          <w:tcPr>
            <w:tcW w:w="7224" w:type="dxa"/>
            <w:shd w:val="clear" w:color="auto" w:fill="auto"/>
          </w:tcPr>
          <w:p w14:paraId="7997020D" w14:textId="4F94803F" w:rsidR="008C46CA" w:rsidRPr="008C46CA" w:rsidRDefault="008C46CA" w:rsidP="008C46CA">
            <w:pPr>
              <w:spacing w:after="0" w:line="276" w:lineRule="auto"/>
              <w:rPr>
                <w:rFonts w:eastAsia="MS Mincho"/>
                <w:lang w:val="en-US"/>
              </w:rPr>
            </w:pPr>
          </w:p>
        </w:tc>
      </w:tr>
      <w:tr w:rsidR="008C46CA" w14:paraId="7D0F2168" w14:textId="77777777">
        <w:tc>
          <w:tcPr>
            <w:tcW w:w="2405" w:type="dxa"/>
            <w:shd w:val="clear" w:color="auto" w:fill="auto"/>
          </w:tcPr>
          <w:p w14:paraId="1A4FA95E" w14:textId="024626DA" w:rsidR="008C46CA" w:rsidRDefault="008C46CA" w:rsidP="008C46CA">
            <w:pPr>
              <w:spacing w:after="0" w:line="276" w:lineRule="auto"/>
              <w:rPr>
                <w:lang w:val="en-US" w:eastAsia="zh-CN"/>
              </w:rPr>
            </w:pPr>
          </w:p>
        </w:tc>
        <w:tc>
          <w:tcPr>
            <w:tcW w:w="7224" w:type="dxa"/>
            <w:shd w:val="clear" w:color="auto" w:fill="auto"/>
          </w:tcPr>
          <w:p w14:paraId="7D212ED8" w14:textId="5EEE97E5" w:rsidR="008C46CA" w:rsidRDefault="008C46CA" w:rsidP="008C46CA">
            <w:pPr>
              <w:spacing w:after="0" w:line="276" w:lineRule="auto"/>
              <w:rPr>
                <w:lang w:val="en-US" w:eastAsia="zh-CN"/>
              </w:rPr>
            </w:pP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F7051C"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F7051C"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F7051C"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F7051C"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F7051C"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F7051C"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F7051C"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0AF906CA" w14:textId="77777777" w:rsidTr="00F727EE">
        <w:tc>
          <w:tcPr>
            <w:tcW w:w="1192" w:type="pct"/>
          </w:tcPr>
          <w:p w14:paraId="78FD9328"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20FFDC3D" w14:textId="77777777" w:rsidTr="00F727EE">
        <w:tc>
          <w:tcPr>
            <w:tcW w:w="1192" w:type="pct"/>
          </w:tcPr>
          <w:p w14:paraId="0E861A6C"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8C46CA" w:rsidRPr="003E2057" w:rsidRDefault="008C46CA" w:rsidP="008C46CA">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8C46CA" w:rsidRPr="003E2057" w:rsidRDefault="008C46CA" w:rsidP="008C46CA">
            <w:pPr>
              <w:spacing w:after="0" w:line="276" w:lineRule="auto"/>
              <w:rPr>
                <w:rFonts w:ascii="Times New Roman" w:eastAsia="DengXian" w:hAnsi="Times New Roman"/>
                <w:sz w:val="22"/>
                <w:szCs w:val="22"/>
                <w:lang w:val="en-US" w:eastAsia="zh-CN"/>
              </w:rPr>
            </w:pPr>
          </w:p>
        </w:tc>
      </w:tr>
      <w:tr w:rsidR="008C46CA" w:rsidRPr="003E2057" w14:paraId="6EC52037" w14:textId="77777777" w:rsidTr="00F727EE">
        <w:tc>
          <w:tcPr>
            <w:tcW w:w="1192" w:type="pct"/>
          </w:tcPr>
          <w:p w14:paraId="12B0E50F" w14:textId="77777777" w:rsidR="008C46CA" w:rsidRPr="003E2057" w:rsidRDefault="008C46CA" w:rsidP="008C46CA">
            <w:pPr>
              <w:spacing w:after="0" w:line="276" w:lineRule="auto"/>
              <w:jc w:val="center"/>
              <w:rPr>
                <w:rFonts w:eastAsia="Malgun Gothic"/>
                <w:sz w:val="22"/>
                <w:szCs w:val="22"/>
                <w:lang w:eastAsia="ko-KR"/>
              </w:rPr>
            </w:pPr>
          </w:p>
        </w:tc>
        <w:tc>
          <w:tcPr>
            <w:tcW w:w="822" w:type="pct"/>
          </w:tcPr>
          <w:p w14:paraId="27501C36" w14:textId="77777777" w:rsidR="008C46CA" w:rsidRPr="003E2057" w:rsidRDefault="008C46CA" w:rsidP="008C46CA">
            <w:pPr>
              <w:spacing w:after="0" w:line="276" w:lineRule="auto"/>
              <w:jc w:val="center"/>
              <w:rPr>
                <w:rFonts w:eastAsia="Malgun Gothic"/>
                <w:sz w:val="22"/>
                <w:szCs w:val="22"/>
                <w:lang w:eastAsia="ko-KR"/>
              </w:rPr>
            </w:pPr>
          </w:p>
        </w:tc>
        <w:tc>
          <w:tcPr>
            <w:tcW w:w="2986" w:type="pct"/>
          </w:tcPr>
          <w:p w14:paraId="4756FA17" w14:textId="77777777" w:rsidR="008C46CA" w:rsidRPr="003E2057" w:rsidRDefault="008C46CA" w:rsidP="008C46CA">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6621E2">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1B1B5ABF"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03751DF8"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294B4F44" w14:textId="77777777" w:rsidTr="00191AB5">
        <w:tc>
          <w:tcPr>
            <w:tcW w:w="1192" w:type="pct"/>
          </w:tcPr>
          <w:p w14:paraId="315418C4"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4A88AE19" w14:textId="77777777" w:rsidTr="00191AB5">
        <w:tc>
          <w:tcPr>
            <w:tcW w:w="1192" w:type="pct"/>
          </w:tcPr>
          <w:p w14:paraId="492C9C93"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2D1C14" w:rsidRPr="003E2057" w:rsidRDefault="002D1C14" w:rsidP="002D1C14">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2D1C14" w:rsidRPr="003E2057" w:rsidRDefault="002D1C14" w:rsidP="002D1C14">
            <w:pPr>
              <w:spacing w:after="0" w:line="276" w:lineRule="auto"/>
              <w:rPr>
                <w:rFonts w:ascii="Times New Roman" w:eastAsia="DengXian" w:hAnsi="Times New Roman"/>
                <w:sz w:val="22"/>
                <w:szCs w:val="22"/>
                <w:lang w:val="en-US" w:eastAsia="zh-CN"/>
              </w:rPr>
            </w:pPr>
          </w:p>
        </w:tc>
      </w:tr>
      <w:tr w:rsidR="002D1C14" w:rsidRPr="003E2057" w14:paraId="2EAE2863" w14:textId="77777777" w:rsidTr="00191AB5">
        <w:tc>
          <w:tcPr>
            <w:tcW w:w="1192" w:type="pct"/>
          </w:tcPr>
          <w:p w14:paraId="788BCFD1" w14:textId="77777777" w:rsidR="002D1C14" w:rsidRPr="003E2057" w:rsidRDefault="002D1C14" w:rsidP="002D1C14">
            <w:pPr>
              <w:spacing w:after="0" w:line="276" w:lineRule="auto"/>
              <w:jc w:val="center"/>
              <w:rPr>
                <w:rFonts w:eastAsia="Malgun Gothic"/>
                <w:sz w:val="22"/>
                <w:szCs w:val="22"/>
                <w:lang w:eastAsia="ko-KR"/>
              </w:rPr>
            </w:pPr>
          </w:p>
        </w:tc>
        <w:tc>
          <w:tcPr>
            <w:tcW w:w="822" w:type="pct"/>
          </w:tcPr>
          <w:p w14:paraId="26B083DB" w14:textId="77777777" w:rsidR="002D1C14" w:rsidRPr="003E2057" w:rsidRDefault="002D1C14" w:rsidP="002D1C14">
            <w:pPr>
              <w:spacing w:after="0" w:line="276" w:lineRule="auto"/>
              <w:jc w:val="center"/>
              <w:rPr>
                <w:rFonts w:eastAsia="Malgun Gothic"/>
                <w:sz w:val="22"/>
                <w:szCs w:val="22"/>
                <w:lang w:eastAsia="ko-KR"/>
              </w:rPr>
            </w:pPr>
          </w:p>
        </w:tc>
        <w:tc>
          <w:tcPr>
            <w:tcW w:w="2986" w:type="pct"/>
          </w:tcPr>
          <w:p w14:paraId="5CBF3702" w14:textId="77777777" w:rsidR="002D1C14" w:rsidRPr="003E2057" w:rsidRDefault="002D1C14" w:rsidP="002D1C1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F7051C"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F7051C"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F7051C"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So not essential but looks as a good clarification, this is </w:t>
            </w:r>
            <w:proofErr w:type="gramStart"/>
            <w:r>
              <w:rPr>
                <w:rFonts w:ascii="Times New Roman" w:eastAsiaTheme="minorEastAsia" w:hAnsi="Times New Roman"/>
                <w:sz w:val="21"/>
                <w:szCs w:val="21"/>
                <w:lang w:eastAsia="ja-JP"/>
              </w:rPr>
              <w:t>pretty complex</w:t>
            </w:r>
            <w:proofErr w:type="gramEnd"/>
            <w:r>
              <w:rPr>
                <w:rFonts w:ascii="Times New Roman" w:eastAsiaTheme="minorEastAsia" w:hAnsi="Times New Roman"/>
                <w:sz w:val="21"/>
                <w:szCs w:val="21"/>
                <w:lang w:eastAsia="ja-JP"/>
              </w:rPr>
              <w:t>.</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T-Mobile USA</w:t>
            </w:r>
          </w:p>
        </w:tc>
        <w:tc>
          <w:tcPr>
            <w:tcW w:w="822" w:type="pct"/>
          </w:tcPr>
          <w:p w14:paraId="1E8AE04D" w14:textId="2A205369"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Malgun Gothic"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Malgun Gothic"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395C329F" w:rsidR="00200D35" w:rsidRPr="003E2057" w:rsidRDefault="00200D35" w:rsidP="00200D35">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200D35" w:rsidRPr="003E2057" w:rsidRDefault="00200D35" w:rsidP="00200D35">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200D35" w:rsidRPr="003E2057" w:rsidRDefault="00200D35" w:rsidP="00200D35">
            <w:pPr>
              <w:spacing w:after="0" w:line="276" w:lineRule="auto"/>
              <w:rPr>
                <w:rFonts w:ascii="Times New Roman" w:eastAsia="DengXian" w:hAnsi="Times New Roman"/>
                <w:sz w:val="22"/>
                <w:szCs w:val="22"/>
                <w:lang w:eastAsia="zh-CN"/>
              </w:rPr>
            </w:pPr>
          </w:p>
        </w:tc>
      </w:tr>
      <w:tr w:rsidR="00200D35" w:rsidRPr="003E2057" w14:paraId="0CDBAA35" w14:textId="77777777" w:rsidTr="003E2057">
        <w:tc>
          <w:tcPr>
            <w:tcW w:w="1192" w:type="pct"/>
          </w:tcPr>
          <w:p w14:paraId="3B2EFCDC" w14:textId="77777777" w:rsidR="00200D35" w:rsidRPr="003E2057" w:rsidRDefault="00200D35" w:rsidP="00200D35">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200D35" w:rsidRPr="003E2057" w:rsidRDefault="00200D35" w:rsidP="00200D35">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200D35" w:rsidRPr="003E2057" w:rsidRDefault="00200D35" w:rsidP="00200D35">
            <w:pPr>
              <w:spacing w:after="0" w:line="276" w:lineRule="auto"/>
              <w:rPr>
                <w:rFonts w:ascii="Times New Roman" w:eastAsia="DengXian" w:hAnsi="Times New Roman"/>
                <w:sz w:val="22"/>
                <w:szCs w:val="22"/>
                <w:lang w:val="en-US" w:eastAsia="zh-CN"/>
              </w:rPr>
            </w:pPr>
          </w:p>
        </w:tc>
      </w:tr>
      <w:tr w:rsidR="00200D35" w:rsidRPr="003E2057" w14:paraId="1847E762" w14:textId="77777777" w:rsidTr="003E2057">
        <w:tc>
          <w:tcPr>
            <w:tcW w:w="1192" w:type="pct"/>
          </w:tcPr>
          <w:p w14:paraId="2D50407C" w14:textId="77777777" w:rsidR="00200D35" w:rsidRPr="003E2057" w:rsidRDefault="00200D35" w:rsidP="00200D35">
            <w:pPr>
              <w:spacing w:after="0" w:line="276" w:lineRule="auto"/>
              <w:jc w:val="center"/>
              <w:rPr>
                <w:rFonts w:eastAsia="Malgun Gothic"/>
                <w:sz w:val="22"/>
                <w:szCs w:val="22"/>
                <w:lang w:eastAsia="ko-KR"/>
              </w:rPr>
            </w:pPr>
          </w:p>
        </w:tc>
        <w:tc>
          <w:tcPr>
            <w:tcW w:w="822" w:type="pct"/>
          </w:tcPr>
          <w:p w14:paraId="7AC6AE0F" w14:textId="77777777" w:rsidR="00200D35" w:rsidRPr="003E2057" w:rsidRDefault="00200D35" w:rsidP="00200D35">
            <w:pPr>
              <w:spacing w:after="0" w:line="276" w:lineRule="auto"/>
              <w:jc w:val="center"/>
              <w:rPr>
                <w:rFonts w:eastAsia="Malgun Gothic"/>
                <w:sz w:val="22"/>
                <w:szCs w:val="22"/>
                <w:lang w:eastAsia="ko-KR"/>
              </w:rPr>
            </w:pPr>
          </w:p>
        </w:tc>
        <w:tc>
          <w:tcPr>
            <w:tcW w:w="2986" w:type="pct"/>
          </w:tcPr>
          <w:p w14:paraId="33106D8F" w14:textId="77777777" w:rsidR="00200D35" w:rsidRPr="003E2057" w:rsidRDefault="00200D35" w:rsidP="00200D35">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F7051C"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F7051C"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F7051C"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lastRenderedPageBreak/>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B437272"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658A7BA5"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Malgun Gothic"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w:t>
            </w:r>
            <w:r w:rsidRPr="004602EB">
              <w:rPr>
                <w:rFonts w:ascii="Arial" w:eastAsia="Malgun Gothic" w:hAnsi="Arial"/>
                <w:strike/>
                <w:sz w:val="18"/>
                <w:szCs w:val="22"/>
                <w:highlight w:val="yellow"/>
                <w:lang w:eastAsia="sv-SE"/>
              </w:rPr>
              <w:t>normal</w:t>
            </w:r>
            <w:r w:rsidRPr="004602EB">
              <w:rPr>
                <w:rFonts w:ascii="Arial" w:eastAsia="Malgun Gothic" w:hAnsi="Arial"/>
                <w:sz w:val="18"/>
                <w:szCs w:val="22"/>
                <w:highlight w:val="yellow"/>
                <w:lang w:eastAsia="sv-SE"/>
              </w:rPr>
              <w:t xml:space="preserve"> </w:t>
            </w:r>
            <w:r w:rsidRPr="004602EB">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w:t>
            </w:r>
            <w:r w:rsidRPr="004602EB">
              <w:rPr>
                <w:rFonts w:ascii="Arial" w:eastAsia="Malgun Gothic" w:hAnsi="Arial"/>
                <w:sz w:val="18"/>
                <w:szCs w:val="22"/>
                <w:highlight w:val="yellow"/>
                <w:lang w:eastAsia="sv-SE"/>
              </w:rPr>
              <w:t xml:space="preserve">the </w:t>
            </w:r>
            <w:r w:rsidRPr="004602EB">
              <w:rPr>
                <w:rFonts w:ascii="Arial" w:eastAsia="Malgun Gothic" w:hAnsi="Arial"/>
                <w:strike/>
                <w:sz w:val="18"/>
                <w:szCs w:val="22"/>
                <w:highlight w:val="yellow"/>
                <w:lang w:eastAsia="sv-SE"/>
              </w:rPr>
              <w:t>normal</w:t>
            </w:r>
            <w:r w:rsidRPr="00D74A40">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2F635735"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22" w:type="pct"/>
          </w:tcPr>
          <w:p w14:paraId="71950785" w14:textId="0E9B5FC8"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D4E752B" w14:textId="4C4ECA22" w:rsidR="00494042" w:rsidRPr="003E2057" w:rsidRDefault="006730AD"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some question for clarification regarding Rel-15. For Rel-15 is the UE supposed to omit completely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Maybe not, otherwise the UE could not indicate that it supports only e.g.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with 1 layer but no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So for Rel-15, even though the value of 1 layer is always considered, the UE should report this 1 layer within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and</w:t>
            </w:r>
            <w:r>
              <w:rPr>
                <w:rFonts w:ascii="Times New Roman" w:eastAsia="DengXian" w:hAnsi="Times New Roman"/>
                <w:sz w:val="22"/>
                <w:szCs w:val="22"/>
                <w:lang w:eastAsia="zh-CN"/>
              </w:rPr>
              <w:t>/</w:t>
            </w:r>
            <w:r>
              <w:rPr>
                <w:rFonts w:ascii="Times New Roman" w:eastAsia="DengXian" w:hAnsi="Times New Roman"/>
                <w:sz w:val="22"/>
                <w:szCs w:val="22"/>
                <w:lang w:eastAsia="zh-CN"/>
              </w:rPr>
              <w:t xml:space="preserve">or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is that correct understanding?</w:t>
            </w:r>
            <w:bookmarkStart w:id="1" w:name="_GoBack"/>
            <w:bookmarkEnd w:id="1"/>
          </w:p>
        </w:tc>
      </w:tr>
      <w:tr w:rsidR="00494042" w:rsidRPr="003E2057" w14:paraId="00682023" w14:textId="77777777" w:rsidTr="00F727EE">
        <w:tc>
          <w:tcPr>
            <w:tcW w:w="1192" w:type="pct"/>
          </w:tcPr>
          <w:p w14:paraId="6F73099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F7051C" w:rsidP="00DB4D56">
      <w:pPr>
        <w:pStyle w:val="Doc-title"/>
      </w:pPr>
      <w:hyperlink r:id="rId25" w:tooltip="D:Documents3GPPtsg_ranWG2TSGR2_113-eDocsR2-2100046.zip" w:history="1">
        <w:r w:rsidR="00DB4D56" w:rsidRPr="00F637D5">
          <w:rPr>
            <w:rStyle w:val="Hyperlink"/>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F7051C" w:rsidP="00DB4D56">
      <w:pPr>
        <w:pStyle w:val="Doc-title"/>
      </w:pPr>
      <w:hyperlink r:id="rId26" w:tooltip="D:Documents3GPPtsg_ranWG2TSGR2_113-eDocsR2-2101415.zip" w:history="1">
        <w:r w:rsidR="00DB4D56" w:rsidRPr="00F637D5">
          <w:rPr>
            <w:rStyle w:val="Hyperlink"/>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F7051C"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29EC84A6" w14:textId="4D4A9A8F"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483820">
              <w:rPr>
                <w:rFonts w:ascii="Times New Roman" w:eastAsia="Malgun Gothic"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w:t>
            </w:r>
            <w:r w:rsidR="00EF20CF">
              <w:rPr>
                <w:rFonts w:ascii="Times New Roman" w:eastAsia="Malgun Gothic" w:hAnsi="Times New Roman"/>
                <w:sz w:val="22"/>
                <w:szCs w:val="22"/>
                <w:lang w:eastAsia="ko-KR"/>
              </w:rPr>
              <w:t xml:space="preserve">think it is feasible to broadcast </w:t>
            </w:r>
            <w:proofErr w:type="spellStart"/>
            <w:r w:rsidR="00EF20CF">
              <w:rPr>
                <w:rFonts w:ascii="Times New Roman" w:eastAsia="Malgun Gothic" w:hAnsi="Times New Roman"/>
                <w:sz w:val="22"/>
                <w:szCs w:val="22"/>
                <w:lang w:eastAsia="ko-KR"/>
              </w:rPr>
              <w:t>gNB</w:t>
            </w:r>
            <w:proofErr w:type="spellEnd"/>
            <w:r w:rsidR="00EF20CF">
              <w:rPr>
                <w:rFonts w:ascii="Times New Roman" w:eastAsia="Malgun Gothic" w:hAnsi="Times New Roman"/>
                <w:sz w:val="22"/>
                <w:szCs w:val="22"/>
                <w:lang w:eastAsia="ko-KR"/>
              </w:rPr>
              <w:t xml:space="preserve"> </w:t>
            </w:r>
            <w:r w:rsidR="00D96186">
              <w:rPr>
                <w:rFonts w:ascii="Times New Roman" w:eastAsia="Malgun Gothic" w:hAnsi="Times New Roman"/>
                <w:sz w:val="22"/>
                <w:szCs w:val="22"/>
                <w:lang w:eastAsia="ko-KR"/>
              </w:rPr>
              <w:t xml:space="preserve">ID </w:t>
            </w:r>
            <w:r w:rsidR="00EF20CF">
              <w:rPr>
                <w:rFonts w:ascii="Times New Roman" w:eastAsia="Malgun Gothic"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7E0DB69E" w14:textId="77777777" w:rsidTr="00F727EE">
        <w:tc>
          <w:tcPr>
            <w:tcW w:w="1192" w:type="pct"/>
          </w:tcPr>
          <w:p w14:paraId="1834F52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367AAEBC" w14:textId="77777777" w:rsidTr="00F727EE">
        <w:tc>
          <w:tcPr>
            <w:tcW w:w="1192" w:type="pct"/>
          </w:tcPr>
          <w:p w14:paraId="6F23CD9F"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2F1D8F" w:rsidRPr="003E2057" w:rsidRDefault="002F1D8F" w:rsidP="002F1D8F">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23EB672E" w14:textId="77777777" w:rsidTr="00F727EE">
        <w:tc>
          <w:tcPr>
            <w:tcW w:w="1192" w:type="pct"/>
          </w:tcPr>
          <w:p w14:paraId="1B8E3EB0" w14:textId="77777777" w:rsidR="002F1D8F" w:rsidRPr="003E2057" w:rsidRDefault="002F1D8F" w:rsidP="002F1D8F">
            <w:pPr>
              <w:spacing w:after="0" w:line="276" w:lineRule="auto"/>
              <w:jc w:val="center"/>
              <w:rPr>
                <w:rFonts w:eastAsia="Malgun Gothic"/>
                <w:sz w:val="22"/>
                <w:szCs w:val="22"/>
                <w:lang w:eastAsia="ko-KR"/>
              </w:rPr>
            </w:pPr>
          </w:p>
        </w:tc>
        <w:tc>
          <w:tcPr>
            <w:tcW w:w="822" w:type="pct"/>
          </w:tcPr>
          <w:p w14:paraId="3B0797FD" w14:textId="77777777" w:rsidR="002F1D8F" w:rsidRPr="003E2057" w:rsidRDefault="002F1D8F" w:rsidP="002F1D8F">
            <w:pPr>
              <w:spacing w:after="0" w:line="276" w:lineRule="auto"/>
              <w:jc w:val="center"/>
              <w:rPr>
                <w:rFonts w:eastAsia="Malgun Gothic"/>
                <w:sz w:val="22"/>
                <w:szCs w:val="22"/>
                <w:lang w:eastAsia="ko-KR"/>
              </w:rPr>
            </w:pPr>
          </w:p>
        </w:tc>
        <w:tc>
          <w:tcPr>
            <w:tcW w:w="2986" w:type="pct"/>
          </w:tcPr>
          <w:p w14:paraId="2D5EABA3" w14:textId="77777777" w:rsidR="002F1D8F" w:rsidRPr="003E2057" w:rsidRDefault="002F1D8F" w:rsidP="002F1D8F">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EF20CF">
              <w:rPr>
                <w:rFonts w:ascii="Times New Roman" w:eastAsia="Malgun Gothic"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think it is feasibl</w:t>
            </w:r>
            <w:r>
              <w:rPr>
                <w:rFonts w:ascii="Times New Roman" w:eastAsia="Malgun Gothic" w:hAnsi="Times New Roman"/>
                <w:sz w:val="22"/>
                <w:szCs w:val="22"/>
                <w:lang w:eastAsia="ko-KR"/>
              </w:rPr>
              <w:t>e</w:t>
            </w:r>
            <w:r>
              <w:rPr>
                <w:rFonts w:ascii="Times New Roman" w:eastAsia="Malgun Gothic" w:hAnsi="Times New Roman" w:hint="eastAsia"/>
                <w:sz w:val="22"/>
                <w:szCs w:val="22"/>
                <w:lang w:eastAsia="ko-KR"/>
              </w:rPr>
              <w:t xml:space="preserve"> but we can </w:t>
            </w:r>
            <w:r>
              <w:rPr>
                <w:rFonts w:ascii="Times New Roman" w:eastAsia="Malgun Gothic" w:hAnsi="Times New Roman"/>
                <w:sz w:val="22"/>
                <w:szCs w:val="22"/>
                <w:lang w:eastAsia="ko-KR"/>
              </w:rPr>
              <w:t>discuss details further.</w:t>
            </w:r>
          </w:p>
        </w:tc>
      </w:tr>
      <w:tr w:rsidR="00D52325" w:rsidRPr="003E2057" w14:paraId="46D2D19C" w14:textId="77777777" w:rsidTr="00191AB5">
        <w:tc>
          <w:tcPr>
            <w:tcW w:w="1192" w:type="pct"/>
          </w:tcPr>
          <w:p w14:paraId="790D0916"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42298EB"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3E510FAA"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064BABDB" w14:textId="77777777" w:rsidTr="00191AB5">
        <w:tc>
          <w:tcPr>
            <w:tcW w:w="1192" w:type="pct"/>
          </w:tcPr>
          <w:p w14:paraId="20C03A3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5FB3B6ED" w14:textId="77777777" w:rsidTr="00191AB5">
        <w:tc>
          <w:tcPr>
            <w:tcW w:w="1192" w:type="pct"/>
          </w:tcPr>
          <w:p w14:paraId="200C97E6"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D52325" w:rsidRPr="003E2057" w:rsidRDefault="00D52325" w:rsidP="00D5232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D52325" w:rsidRPr="003E2057" w:rsidRDefault="00D52325" w:rsidP="00D52325">
            <w:pPr>
              <w:spacing w:after="0" w:line="276" w:lineRule="auto"/>
              <w:rPr>
                <w:rFonts w:ascii="Times New Roman" w:eastAsia="DengXian" w:hAnsi="Times New Roman"/>
                <w:sz w:val="22"/>
                <w:szCs w:val="22"/>
                <w:lang w:val="en-US" w:eastAsia="zh-CN"/>
              </w:rPr>
            </w:pPr>
          </w:p>
        </w:tc>
      </w:tr>
      <w:tr w:rsidR="00D52325" w:rsidRPr="003E2057" w14:paraId="572CFB9A" w14:textId="77777777" w:rsidTr="00191AB5">
        <w:tc>
          <w:tcPr>
            <w:tcW w:w="1192" w:type="pct"/>
          </w:tcPr>
          <w:p w14:paraId="0C7D8F46" w14:textId="77777777" w:rsidR="00D52325" w:rsidRPr="003E2057" w:rsidRDefault="00D52325" w:rsidP="00D52325">
            <w:pPr>
              <w:spacing w:after="0" w:line="276" w:lineRule="auto"/>
              <w:jc w:val="center"/>
              <w:rPr>
                <w:rFonts w:eastAsia="Malgun Gothic"/>
                <w:sz w:val="22"/>
                <w:szCs w:val="22"/>
                <w:lang w:eastAsia="ko-KR"/>
              </w:rPr>
            </w:pPr>
          </w:p>
        </w:tc>
        <w:tc>
          <w:tcPr>
            <w:tcW w:w="822" w:type="pct"/>
          </w:tcPr>
          <w:p w14:paraId="47EE167E" w14:textId="77777777" w:rsidR="00D52325" w:rsidRPr="003E2057" w:rsidRDefault="00D52325" w:rsidP="00D52325">
            <w:pPr>
              <w:spacing w:after="0" w:line="276" w:lineRule="auto"/>
              <w:jc w:val="center"/>
              <w:rPr>
                <w:rFonts w:eastAsia="Malgun Gothic"/>
                <w:sz w:val="22"/>
                <w:szCs w:val="22"/>
                <w:lang w:eastAsia="ko-KR"/>
              </w:rPr>
            </w:pPr>
          </w:p>
        </w:tc>
        <w:tc>
          <w:tcPr>
            <w:tcW w:w="2986" w:type="pct"/>
          </w:tcPr>
          <w:p w14:paraId="13E1C41B" w14:textId="77777777" w:rsidR="00D52325" w:rsidRPr="003E2057" w:rsidRDefault="00D52325" w:rsidP="00D5232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FC765" w14:textId="77777777" w:rsidR="00F7051C" w:rsidRDefault="00F7051C">
      <w:pPr>
        <w:spacing w:after="0"/>
      </w:pPr>
      <w:r>
        <w:separator/>
      </w:r>
    </w:p>
  </w:endnote>
  <w:endnote w:type="continuationSeparator" w:id="0">
    <w:p w14:paraId="364EC730" w14:textId="77777777" w:rsidR="00F7051C" w:rsidRDefault="00F70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DB66" w14:textId="77777777" w:rsidR="00F7051C" w:rsidRDefault="00F7051C">
      <w:pPr>
        <w:spacing w:after="0"/>
      </w:pPr>
      <w:r>
        <w:separator/>
      </w:r>
    </w:p>
  </w:footnote>
  <w:footnote w:type="continuationSeparator" w:id="0">
    <w:p w14:paraId="7779D981" w14:textId="77777777" w:rsidR="00F7051C" w:rsidRDefault="00F705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3375</Words>
  <Characters>17890</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Lian Araujo</cp:lastModifiedBy>
  <cp:revision>2</cp:revision>
  <cp:lastPrinted>2009-04-22T00:01:00Z</cp:lastPrinted>
  <dcterms:created xsi:type="dcterms:W3CDTF">2021-01-28T12:14:00Z</dcterms:created>
  <dcterms:modified xsi:type="dcterms:W3CDTF">2021-01-28T12:14:00Z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