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086" w14:textId="3462D228"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4A599B">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w:t>
      </w:r>
      <w:r w:rsidR="004A599B">
        <w:rPr>
          <w:rFonts w:eastAsia="宋体"/>
          <w:sz w:val="22"/>
          <w:szCs w:val="22"/>
          <w:lang w:val="en-GB" w:eastAsia="zh-CN"/>
        </w:rPr>
        <w:t>1166</w:t>
      </w:r>
    </w:p>
    <w:p w14:paraId="5A4E4172" w14:textId="77777777"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5"/>
        <w:rPr>
          <w:sz w:val="22"/>
          <w:szCs w:val="22"/>
          <w:lang w:val="en-GB"/>
        </w:rPr>
      </w:pPr>
    </w:p>
    <w:p w14:paraId="14A776BA"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3CA06AD0" w:rsidR="00100BBD" w:rsidRPr="002F69E0" w:rsidRDefault="00E3725B" w:rsidP="00434542">
      <w:pPr>
        <w:pStyle w:val="a5"/>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Summary of offline 114 - RedCap power saving- second round</w:t>
      </w:r>
    </w:p>
    <w:p w14:paraId="61B0911C" w14:textId="77777777"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29BDCCF5"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1" w:tooltip="C:Data3GPPRAN2InboxR2-2010787.zip" w:history="1">
        <w:r w:rsidRPr="008B1D05">
          <w:rPr>
            <w:rStyle w:val="af2"/>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R16 NR RRM relaxation procedures are taken as a baseline to study further enhancements of neighbor cells RRM relaxation for REDCAP UEs in RRC IDLE/INACTIVE.</w:t>
      </w:r>
    </w:p>
    <w:p w14:paraId="716C9D55" w14:textId="767E3409"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r w:rsidRPr="00D47D27">
        <w:rPr>
          <w:b/>
        </w:rPr>
        <w:t>eDRX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The lowest value of eDRX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For UE in RRC IDLE and eDRX cycle is equal to 10.24s:</w:t>
      </w:r>
    </w:p>
    <w:p w14:paraId="021BC3ED" w14:textId="77777777" w:rsidR="00B11597" w:rsidRPr="00CD7476" w:rsidRDefault="00B11597" w:rsidP="00B11597">
      <w:pPr>
        <w:pStyle w:val="af0"/>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p>
    <w:p w14:paraId="7E37FF0F" w14:textId="77777777" w:rsidR="00B11597" w:rsidRPr="00CD7476" w:rsidRDefault="00B11597" w:rsidP="00B11597">
      <w:pPr>
        <w:pStyle w:val="af0"/>
        <w:numPr>
          <w:ilvl w:val="0"/>
          <w:numId w:val="26"/>
        </w:numPr>
        <w:jc w:val="both"/>
        <w:rPr>
          <w:lang w:eastAsia="zh-CN"/>
        </w:rPr>
      </w:pPr>
      <w:r w:rsidRPr="00CD7476">
        <w:rPr>
          <w:b/>
          <w:bCs/>
        </w:rPr>
        <w:t>If eDRX cycle &gt; 10.24s is supported (Proposal #1 is agreed), paging monitoring involves PTW, PH, similar to the LTE ‎eDRX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1"/>
        <w:jc w:val="both"/>
      </w:pPr>
      <w:r w:rsidRPr="00AA54B6">
        <w:rPr>
          <w:rFonts w:hint="eastAsia"/>
        </w:rPr>
        <w:t>Discussion</w:t>
      </w:r>
    </w:p>
    <w:p w14:paraId="06864402" w14:textId="19E6404C"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00CC2617">
        <w:rPr>
          <w:sz w:val="24"/>
        </w:rPr>
        <w:t>in RRC_IDLE</w:t>
      </w:r>
    </w:p>
    <w:p w14:paraId="724053DF" w14:textId="13E7D2C5" w:rsidR="00AA7D3D" w:rsidRPr="00C06AE7" w:rsidRDefault="00AA7D3D" w:rsidP="00AA7D3D">
      <w:pPr>
        <w:pStyle w:val="3"/>
        <w:rPr>
          <w:sz w:val="22"/>
        </w:rPr>
      </w:pPr>
      <w:r>
        <w:rPr>
          <w:sz w:val="22"/>
        </w:rPr>
        <w:t>Support &gt; 10.24s and associated mechanism</w:t>
      </w:r>
    </w:p>
    <w:p w14:paraId="1B482163" w14:textId="0E91EA67" w:rsidR="00CC2617" w:rsidRDefault="00EC0D3B" w:rsidP="00904883">
      <w:pPr>
        <w:pStyle w:val="a1"/>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issues related to eDRX in RRC_IDLE:</w:t>
      </w:r>
    </w:p>
    <w:p w14:paraId="56FFF0FC" w14:textId="7FB88CE4"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a1"/>
        <w:numPr>
          <w:ilvl w:val="0"/>
          <w:numId w:val="25"/>
        </w:numPr>
        <w:rPr>
          <w:lang w:eastAsia="zh-CN"/>
        </w:rPr>
      </w:pPr>
      <w:r>
        <w:rPr>
          <w:lang w:eastAsia="zh-CN"/>
        </w:rPr>
        <w:t>What baseline mechanism should be used when NR eDRX cycle is equal to 10.24s?</w:t>
      </w:r>
    </w:p>
    <w:p w14:paraId="61A7D48F" w14:textId="6A83434F" w:rsidR="00762B7A" w:rsidRDefault="00CC2617" w:rsidP="00CC2617">
      <w:pPr>
        <w:pStyle w:val="a1"/>
        <w:rPr>
          <w:lang w:eastAsia="zh-CN"/>
        </w:rPr>
      </w:pPr>
      <w:r>
        <w:rPr>
          <w:lang w:eastAsia="zh-CN"/>
        </w:rPr>
        <w:t xml:space="preserve">From the online discussion, it appeared that one company having concerns with extending the eDRX cycle beyond 10.24s </w:t>
      </w:r>
      <w:r w:rsidR="00762B7A">
        <w:rPr>
          <w:lang w:eastAsia="zh-CN"/>
        </w:rPr>
        <w:t>would be OK, as a compromise, if the R16 NR mechanism for monitoring POs (not using PTW, PH) would also be used when eDRX cycle equals 10.24s, while the LTE mechanism (using PTW, PH) would be used for eDRC cycles &gt; 10.24s:</w:t>
      </w:r>
    </w:p>
    <w:tbl>
      <w:tblPr>
        <w:tblStyle w:val="a8"/>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QC can accept proposal 1 with the clarification that other eDRX features are only supported for eDRX cycles longer than 10.24s</w:t>
            </w:r>
          </w:p>
        </w:tc>
      </w:tr>
    </w:tbl>
    <w:p w14:paraId="48BA1D58" w14:textId="77777777" w:rsidR="00762B7A" w:rsidRDefault="00762B7A" w:rsidP="00CC2617">
      <w:pPr>
        <w:pStyle w:val="a1"/>
        <w:rPr>
          <w:lang w:eastAsia="zh-CN"/>
        </w:rPr>
      </w:pPr>
    </w:p>
    <w:p w14:paraId="58D507DF" w14:textId="31DFB5D1" w:rsidR="00904ED8" w:rsidRDefault="00904ED8" w:rsidP="00CC2617">
      <w:pPr>
        <w:pStyle w:val="a1"/>
        <w:rPr>
          <w:lang w:eastAsia="zh-CN"/>
        </w:rPr>
      </w:pPr>
      <w:r>
        <w:rPr>
          <w:lang w:eastAsia="zh-CN"/>
        </w:rPr>
        <w:t>This would allow a UE requesting eDRX cycle always ≤ 10.24s during UE-CN negotiation to not support PTW/PH features.</w:t>
      </w:r>
    </w:p>
    <w:p w14:paraId="339ACE70" w14:textId="7F9BD7A4" w:rsidR="00762B7A" w:rsidRDefault="00762B7A" w:rsidP="00CC2617">
      <w:pPr>
        <w:pStyle w:val="a1"/>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af0"/>
        <w:numPr>
          <w:ilvl w:val="0"/>
          <w:numId w:val="45"/>
        </w:numPr>
        <w:spacing w:before="120"/>
        <w:rPr>
          <w:b/>
        </w:rPr>
      </w:pPr>
      <w:r w:rsidRPr="00762B7A">
        <w:rPr>
          <w:b/>
        </w:rPr>
        <w:t>eDRX cycle extension in RRC_IDLE beyond 10.24s for REDCAP UEs will be studied in this SI/WI.</w:t>
      </w:r>
    </w:p>
    <w:p w14:paraId="5D7DF703" w14:textId="61E8B452" w:rsidR="00762B7A" w:rsidRPr="00762B7A" w:rsidRDefault="00762B7A" w:rsidP="00246E49">
      <w:pPr>
        <w:pStyle w:val="af0"/>
        <w:numPr>
          <w:ilvl w:val="0"/>
          <w:numId w:val="45"/>
        </w:numPr>
        <w:spacing w:before="120"/>
        <w:rPr>
          <w:b/>
        </w:rPr>
      </w:pPr>
      <w:r w:rsidRPr="00CD7476">
        <w:rPr>
          <w:b/>
          <w:bCs/>
        </w:rPr>
        <w:t>For UE in RRC IDLE and eDRX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a1"/>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he eDRX cycle in RRC_IDLE is extended up to 2621.44s for REDCAP UEs, as a baseline.</w:t>
      </w:r>
    </w:p>
    <w:p w14:paraId="7880A696" w14:textId="77777777" w:rsidR="00246E49" w:rsidRDefault="00246E49" w:rsidP="00CC2617">
      <w:pPr>
        <w:pStyle w:val="a1"/>
        <w:rPr>
          <w:lang w:eastAsia="zh-CN"/>
        </w:rPr>
      </w:pPr>
    </w:p>
    <w:p w14:paraId="21405514" w14:textId="6BE563EC" w:rsidR="00246E49" w:rsidRDefault="00246E49" w:rsidP="00CC2617">
      <w:pPr>
        <w:pStyle w:val="a1"/>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For UE in RRC IDLE and eDRX cycle is equal to 10.24s:</w:t>
      </w:r>
    </w:p>
    <w:p w14:paraId="47A079F7" w14:textId="45125398" w:rsidR="00CC2617" w:rsidRDefault="00246E49" w:rsidP="00CC2617">
      <w:pPr>
        <w:pStyle w:val="af0"/>
        <w:numPr>
          <w:ilvl w:val="0"/>
          <w:numId w:val="26"/>
        </w:numPr>
        <w:jc w:val="both"/>
        <w:rPr>
          <w:lang w:eastAsia="zh-CN"/>
        </w:rPr>
      </w:pPr>
      <w:r w:rsidRPr="00CD7476">
        <w:rPr>
          <w:b/>
          <w:bCs/>
        </w:rPr>
        <w:t>If eDRX cycle &gt; 10.24s is not supported (Proposal #1 is not agreed), paging monitoring is based on eDRX cycle (taking eDRX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or UE in RRC IDLE and eDRX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eDRX cycle &gt; 10.24s is supported, </w:t>
            </w:r>
            <w:r>
              <w:rPr>
                <w:lang w:eastAsia="zh-CN"/>
              </w:rPr>
              <w:t xml:space="preserve">we prefer to </w:t>
            </w:r>
            <w:r w:rsidR="005A3DF8" w:rsidRPr="005A3DF8">
              <w:rPr>
                <w:lang w:eastAsia="zh-CN"/>
              </w:rPr>
              <w:t>use the same ‎eDRX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f eDRX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r>
              <w:rPr>
                <w:lang w:eastAsia="zh-CN"/>
              </w:rPr>
              <w:lastRenderedPageBreak/>
              <w:t>So we</w:t>
            </w:r>
            <w:r w:rsidR="000E0FA7">
              <w:rPr>
                <w:lang w:eastAsia="zh-CN"/>
              </w:rPr>
              <w:t xml:space="preserve"> prefer the original proposal 3.</w:t>
            </w:r>
          </w:p>
        </w:tc>
      </w:tr>
      <w:tr w:rsidR="002640AD" w14:paraId="0CCA9A2A" w14:textId="77777777" w:rsidTr="002640AD">
        <w:tc>
          <w:tcPr>
            <w:tcW w:w="1368" w:type="dxa"/>
          </w:tcPr>
          <w:p w14:paraId="79B00B4A" w14:textId="4987E62E" w:rsidR="002640AD" w:rsidRDefault="00473EFD" w:rsidP="00C42709">
            <w:pPr>
              <w:spacing w:before="120"/>
              <w:jc w:val="both"/>
              <w:rPr>
                <w:rFonts w:eastAsia="宋体"/>
                <w:lang w:eastAsia="zh-CN"/>
              </w:rPr>
            </w:pPr>
            <w:r>
              <w:rPr>
                <w:rFonts w:eastAsia="宋体" w:hint="eastAsia"/>
                <w:lang w:eastAsia="zh-CN"/>
              </w:rPr>
              <w:lastRenderedPageBreak/>
              <w:t>X</w:t>
            </w:r>
            <w:r>
              <w:rPr>
                <w:rFonts w:eastAsia="宋体"/>
                <w:lang w:eastAsia="zh-CN"/>
              </w:rPr>
              <w:t>iaomi</w:t>
            </w:r>
          </w:p>
        </w:tc>
        <w:tc>
          <w:tcPr>
            <w:tcW w:w="990" w:type="dxa"/>
          </w:tcPr>
          <w:p w14:paraId="71ADFC15" w14:textId="6DEF7A98" w:rsidR="002640AD" w:rsidRDefault="00473EFD" w:rsidP="00C42709">
            <w:pPr>
              <w:spacing w:before="120"/>
              <w:jc w:val="both"/>
              <w:rPr>
                <w:rFonts w:eastAsia="宋体"/>
                <w:lang w:eastAsia="zh-CN"/>
              </w:rPr>
            </w:pPr>
            <w:r>
              <w:rPr>
                <w:rFonts w:eastAsia="宋体"/>
                <w:lang w:eastAsia="zh-CN"/>
              </w:rPr>
              <w:t>1</w:t>
            </w:r>
          </w:p>
        </w:tc>
        <w:tc>
          <w:tcPr>
            <w:tcW w:w="6264" w:type="dxa"/>
          </w:tcPr>
          <w:p w14:paraId="3AACA88A" w14:textId="2AE0B2AE" w:rsidR="00A12A92" w:rsidRPr="00473EFD" w:rsidRDefault="00473EFD" w:rsidP="00C42709">
            <w:pPr>
              <w:spacing w:before="120"/>
              <w:jc w:val="both"/>
              <w:rPr>
                <w:rFonts w:eastAsiaTheme="minorEastAsia"/>
                <w:bCs/>
                <w:lang w:eastAsia="zh-CN"/>
              </w:rPr>
            </w:pPr>
            <w:r>
              <w:rPr>
                <w:rFonts w:eastAsiaTheme="minorEastAsia"/>
                <w:bCs/>
                <w:lang w:eastAsia="zh-CN"/>
              </w:rPr>
              <w:t xml:space="preserve">It seems the difference is for the case of </w:t>
            </w:r>
            <w:r w:rsidRPr="005A3DF8">
              <w:rPr>
                <w:lang w:eastAsia="zh-CN"/>
              </w:rPr>
              <w:t>eDRX cycle is equal to 10.24s</w:t>
            </w:r>
            <w:r>
              <w:rPr>
                <w:lang w:eastAsia="zh-CN"/>
              </w:rPr>
              <w:t>. We also to prefer the LTE way, i.e., i</w:t>
            </w:r>
            <w:r w:rsidRPr="005A3DF8">
              <w:rPr>
                <w:lang w:eastAsia="zh-CN"/>
              </w:rPr>
              <w:t>f eDRX cycle &gt; 10.24s is supported</w:t>
            </w:r>
            <w:r>
              <w:rPr>
                <w:lang w:eastAsia="zh-CN"/>
              </w:rPr>
              <w:t>,</w:t>
            </w:r>
            <w:r w:rsidRPr="005A3DF8">
              <w:rPr>
                <w:lang w:eastAsia="zh-CN"/>
              </w:rPr>
              <w:t xml:space="preserve"> PTW and PH are used for paging monitoring</w:t>
            </w:r>
            <w:r>
              <w:rPr>
                <w:lang w:eastAsia="zh-CN"/>
              </w:rPr>
              <w:t>.</w:t>
            </w:r>
          </w:p>
        </w:tc>
      </w:tr>
      <w:tr w:rsidR="00C7005D" w14:paraId="6AB3722A" w14:textId="77777777" w:rsidTr="002640AD">
        <w:tc>
          <w:tcPr>
            <w:tcW w:w="1368" w:type="dxa"/>
          </w:tcPr>
          <w:p w14:paraId="5389038A" w14:textId="6F825AC6" w:rsidR="00C7005D" w:rsidRPr="002A4140" w:rsidRDefault="008C75A7" w:rsidP="00C7005D">
            <w:pPr>
              <w:spacing w:before="120"/>
              <w:jc w:val="both"/>
            </w:pPr>
            <w:r>
              <w:t>Ericsson</w:t>
            </w:r>
          </w:p>
        </w:tc>
        <w:tc>
          <w:tcPr>
            <w:tcW w:w="990" w:type="dxa"/>
          </w:tcPr>
          <w:p w14:paraId="4A59AD82" w14:textId="5C1702FB" w:rsidR="00C7005D" w:rsidRDefault="008C75A7" w:rsidP="00C7005D">
            <w:pPr>
              <w:spacing w:before="120"/>
              <w:jc w:val="both"/>
              <w:rPr>
                <w:rFonts w:eastAsiaTheme="minorEastAsia"/>
                <w:lang w:eastAsia="zh-CN"/>
              </w:rPr>
            </w:pPr>
            <w:r>
              <w:rPr>
                <w:rFonts w:eastAsiaTheme="minorEastAsia"/>
                <w:lang w:eastAsia="zh-CN"/>
              </w:rPr>
              <w:t xml:space="preserve">1 / 2 </w:t>
            </w:r>
          </w:p>
        </w:tc>
        <w:tc>
          <w:tcPr>
            <w:tcW w:w="6264" w:type="dxa"/>
          </w:tcPr>
          <w:p w14:paraId="728F6AD7" w14:textId="79B2B2D2" w:rsidR="00FD15FD" w:rsidRDefault="008C75A7" w:rsidP="00C7005D">
            <w:pPr>
              <w:spacing w:before="120"/>
              <w:jc w:val="both"/>
            </w:pPr>
            <w:r>
              <w:t xml:space="preserve">In principle Proposal 1 is fine to us, however, we would like to capture the second bullet as </w:t>
            </w:r>
            <w:r w:rsidR="00FD15FD">
              <w:t xml:space="preserve">a </w:t>
            </w:r>
            <w:r>
              <w:t xml:space="preserve">solution option instead of final agreement as we are still on the study phase. </w:t>
            </w:r>
            <w:r w:rsidR="00A14002">
              <w:t>Also t</w:t>
            </w:r>
            <w:r w:rsidR="00FD15FD">
              <w:t xml:space="preserve">he first bullet, if agreed, should not yet mean the feature will be definitely specified but based on the options we have on the table would be up to recommendation at end of SI or </w:t>
            </w:r>
            <w:r w:rsidR="00A14002">
              <w:t xml:space="preserve">final </w:t>
            </w:r>
            <w:r w:rsidR="00FD15FD">
              <w:t xml:space="preserve">agreement during WI (or during WI drafting). </w:t>
            </w:r>
          </w:p>
          <w:p w14:paraId="7B0B0C8E" w14:textId="6B5FB987" w:rsidR="00C7005D" w:rsidRDefault="008C75A7" w:rsidP="00C7005D">
            <w:pPr>
              <w:spacing w:before="120"/>
              <w:jc w:val="both"/>
            </w:pPr>
            <w:r>
              <w:t xml:space="preserve">For Proposal 2 fine as baseline if there is much support but we think this detail could be also finally agreed during the normative phase, and captured as solution option during study phase.  </w:t>
            </w:r>
          </w:p>
          <w:p w14:paraId="6D622F0A" w14:textId="648C7255" w:rsidR="008C75A7" w:rsidRPr="00386E57" w:rsidRDefault="008C75A7" w:rsidP="00C7005D">
            <w:pPr>
              <w:spacing w:before="120"/>
              <w:jc w:val="both"/>
            </w:pPr>
          </w:p>
        </w:tc>
      </w:tr>
      <w:tr w:rsidR="00F6788C" w14:paraId="09ABABAA" w14:textId="77777777" w:rsidTr="002640AD">
        <w:tc>
          <w:tcPr>
            <w:tcW w:w="1368" w:type="dxa"/>
          </w:tcPr>
          <w:p w14:paraId="01C752A5" w14:textId="331FD7C1" w:rsidR="00F6788C" w:rsidRDefault="00F6788C" w:rsidP="00F6788C">
            <w:pPr>
              <w:spacing w:before="120"/>
              <w:jc w:val="both"/>
              <w:rPr>
                <w:rFonts w:eastAsiaTheme="minorEastAsia"/>
                <w:lang w:eastAsia="zh-CN"/>
              </w:rPr>
            </w:pPr>
            <w:r>
              <w:rPr>
                <w:rFonts w:hint="eastAsia"/>
                <w:lang w:eastAsia="zh-CN"/>
              </w:rPr>
              <w:t>v</w:t>
            </w:r>
            <w:r>
              <w:rPr>
                <w:lang w:eastAsia="zh-CN"/>
              </w:rPr>
              <w:t>ivo</w:t>
            </w:r>
          </w:p>
        </w:tc>
        <w:tc>
          <w:tcPr>
            <w:tcW w:w="990" w:type="dxa"/>
          </w:tcPr>
          <w:p w14:paraId="56BA4547" w14:textId="67A4C501" w:rsidR="00F6788C" w:rsidRDefault="00F6788C" w:rsidP="00F6788C">
            <w:pPr>
              <w:spacing w:before="120"/>
              <w:jc w:val="both"/>
              <w:rPr>
                <w:rFonts w:eastAsiaTheme="minorEastAsia"/>
                <w:lang w:eastAsia="zh-CN"/>
              </w:rPr>
            </w:pPr>
            <w:r>
              <w:rPr>
                <w:rFonts w:eastAsiaTheme="minorEastAsia" w:hint="eastAsia"/>
                <w:lang w:eastAsia="zh-CN"/>
              </w:rPr>
              <w:t>1</w:t>
            </w:r>
          </w:p>
        </w:tc>
        <w:tc>
          <w:tcPr>
            <w:tcW w:w="6264" w:type="dxa"/>
          </w:tcPr>
          <w:p w14:paraId="3726928D" w14:textId="6D2BCC23" w:rsidR="00F6788C" w:rsidRDefault="00F6788C" w:rsidP="00F6788C">
            <w:pPr>
              <w:spacing w:before="120"/>
              <w:jc w:val="both"/>
              <w:rPr>
                <w:rFonts w:eastAsia="Malgun Gothic"/>
                <w:lang w:eastAsia="ko-KR"/>
              </w:rPr>
            </w:pPr>
            <w:r>
              <w:rPr>
                <w:rFonts w:hint="eastAsia"/>
                <w:lang w:eastAsia="zh-CN"/>
              </w:rPr>
              <w:t>W</w:t>
            </w:r>
            <w:r>
              <w:rPr>
                <w:lang w:eastAsia="zh-CN"/>
              </w:rPr>
              <w:t xml:space="preserve">e are still not convinced that </w:t>
            </w:r>
            <w:r w:rsidRPr="00C56CF1">
              <w:rPr>
                <w:rFonts w:eastAsia="Malgun Gothic"/>
                <w:lang w:eastAsia="ko-KR"/>
              </w:rPr>
              <w:t>long paging DRX cycle</w:t>
            </w:r>
            <w:r>
              <w:rPr>
                <w:rFonts w:eastAsia="Malgun Gothic"/>
                <w:lang w:eastAsia="ko-KR"/>
              </w:rPr>
              <w:t xml:space="preserve"> beyond 10.24s is needed, as </w:t>
            </w:r>
            <w:r w:rsidRPr="00C56CF1">
              <w:rPr>
                <w:rFonts w:eastAsia="Malgun Gothic"/>
                <w:lang w:eastAsia="ko-KR"/>
              </w:rPr>
              <w:t xml:space="preserve">RedCap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xml:space="preserve">. </w:t>
            </w:r>
          </w:p>
          <w:p w14:paraId="43009D9F" w14:textId="24ED831F" w:rsidR="00F6788C" w:rsidRDefault="00F6788C" w:rsidP="00F6788C">
            <w:pPr>
              <w:spacing w:before="120"/>
              <w:jc w:val="both"/>
              <w:rPr>
                <w:bCs/>
              </w:rPr>
            </w:pPr>
            <w:r>
              <w:rPr>
                <w:rFonts w:eastAsia="Malgun Gothic"/>
                <w:lang w:eastAsia="zh-CN"/>
              </w:rPr>
              <w:t xml:space="preserve">But if majority companies </w:t>
            </w:r>
            <w:r w:rsidR="003249E1">
              <w:rPr>
                <w:rFonts w:eastAsia="Malgun Gothic"/>
                <w:lang w:eastAsia="zh-CN"/>
              </w:rPr>
              <w:t>want</w:t>
            </w:r>
            <w:r>
              <w:rPr>
                <w:rFonts w:eastAsia="Malgun Gothic"/>
                <w:lang w:eastAsia="zh-CN"/>
              </w:rPr>
              <w:t xml:space="preserve"> to study it. We could accept to capture in TR that details for eDRX beyond 10.24s for further study in SI/WI. </w:t>
            </w:r>
          </w:p>
        </w:tc>
      </w:tr>
      <w:tr w:rsidR="00F6788C" w14:paraId="124DF6B0" w14:textId="77777777" w:rsidTr="002640AD">
        <w:tc>
          <w:tcPr>
            <w:tcW w:w="1368" w:type="dxa"/>
          </w:tcPr>
          <w:p w14:paraId="6194B0FD" w14:textId="3F35B4AD" w:rsidR="00F6788C" w:rsidRDefault="007C0CB2" w:rsidP="00F6788C">
            <w:pPr>
              <w:spacing w:before="120"/>
              <w:jc w:val="both"/>
            </w:pPr>
            <w:r>
              <w:t>ZTE</w:t>
            </w:r>
          </w:p>
        </w:tc>
        <w:tc>
          <w:tcPr>
            <w:tcW w:w="990" w:type="dxa"/>
          </w:tcPr>
          <w:p w14:paraId="2056CDC0" w14:textId="6122A8D8" w:rsidR="00F6788C" w:rsidRDefault="00192E37" w:rsidP="00F6788C">
            <w:pPr>
              <w:spacing w:before="120"/>
              <w:jc w:val="both"/>
            </w:pPr>
            <w:r>
              <w:t>1/3</w:t>
            </w:r>
          </w:p>
        </w:tc>
        <w:tc>
          <w:tcPr>
            <w:tcW w:w="6264" w:type="dxa"/>
          </w:tcPr>
          <w:p w14:paraId="2675FD96" w14:textId="69B8D0AE" w:rsidR="00F6788C" w:rsidRDefault="00192E37" w:rsidP="00F6788C">
            <w:pPr>
              <w:spacing w:before="120"/>
              <w:jc w:val="both"/>
              <w:rPr>
                <w:lang w:eastAsia="zh-TW"/>
              </w:rPr>
            </w:pPr>
            <w:r>
              <w:rPr>
                <w:lang w:eastAsia="zh-TW"/>
              </w:rPr>
              <w:t>Seems the 2rd bullet of Proposal 1 is overlapping with Proposal 3?</w:t>
            </w:r>
          </w:p>
          <w:p w14:paraId="3D20118C" w14:textId="5CA8B577" w:rsidR="00192E37" w:rsidRDefault="00192E37" w:rsidP="00F6788C">
            <w:pPr>
              <w:spacing w:before="120"/>
              <w:jc w:val="both"/>
              <w:rPr>
                <w:lang w:eastAsia="zh-TW"/>
              </w:rPr>
            </w:pPr>
            <w:r>
              <w:rPr>
                <w:lang w:eastAsia="zh-TW"/>
              </w:rPr>
              <w:t>We understand we can only agree one of them, not both. Is that correct understanding?</w:t>
            </w:r>
          </w:p>
        </w:tc>
      </w:tr>
      <w:tr w:rsidR="00F6788C"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F6788C" w:rsidRPr="00E822A5" w:rsidRDefault="00F6788C" w:rsidP="00F6788C">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F6788C" w:rsidRDefault="00F6788C" w:rsidP="00F6788C">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F6788C" w:rsidRPr="00E822A5" w:rsidRDefault="00F6788C" w:rsidP="00F6788C">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a8"/>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3"/>
        <w:rPr>
          <w:sz w:val="22"/>
        </w:rPr>
      </w:pPr>
      <w:r>
        <w:rPr>
          <w:sz w:val="22"/>
        </w:rPr>
        <w:t xml:space="preserve">Lower bound of </w:t>
      </w:r>
      <w:r w:rsidR="00EB05E2" w:rsidRPr="00C06AE7">
        <w:rPr>
          <w:sz w:val="22"/>
        </w:rPr>
        <w:t xml:space="preserve">eDRX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a8"/>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Apple would like to "see if RAN2 can agree to allow 2.56s into the allowable RedCap DRX range. We can have FFS on how to signal/handle this. We haven’t discussed on the emergency reception for at least some RedCap UEs (wearables) and the impact from 5.12 sec on the emergency reception, as well as the need for the operation of 2.56 DRX for some RedCap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r w:rsidRPr="00CD7476">
        <w:rPr>
          <w:b/>
        </w:rPr>
        <w:t>eDRX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1F53350A" w:rsidR="00BE63C7" w:rsidRPr="00F06A72" w:rsidRDefault="00473EFD" w:rsidP="00C42709">
            <w:pPr>
              <w:spacing w:before="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104" w:type="pct"/>
          </w:tcPr>
          <w:p w14:paraId="388455E7" w14:textId="3EC49D12" w:rsidR="00BE63C7" w:rsidRPr="00F06A72" w:rsidRDefault="00473EFD" w:rsidP="00C42709">
            <w:pPr>
              <w:spacing w:before="120"/>
              <w:jc w:val="both"/>
              <w:rPr>
                <w:rFonts w:eastAsiaTheme="minorEastAsia"/>
                <w:lang w:eastAsia="zh-CN"/>
              </w:rPr>
            </w:pPr>
            <w:r>
              <w:rPr>
                <w:rFonts w:eastAsiaTheme="minorEastAsia" w:hint="eastAsia"/>
                <w:lang w:eastAsia="zh-CN"/>
              </w:rPr>
              <w:t>W</w:t>
            </w:r>
            <w:r>
              <w:rPr>
                <w:rFonts w:eastAsiaTheme="minorEastAsia"/>
                <w:lang w:eastAsia="zh-CN"/>
              </w:rPr>
              <w:t>e also think 5.12s in LTE can be the baseline while other values can be further discussed.</w:t>
            </w:r>
          </w:p>
        </w:tc>
      </w:tr>
      <w:tr w:rsidR="00BE63C7" w14:paraId="3881384A" w14:textId="77777777" w:rsidTr="00BE63C7">
        <w:tc>
          <w:tcPr>
            <w:tcW w:w="896" w:type="pct"/>
          </w:tcPr>
          <w:p w14:paraId="03A308B2" w14:textId="4109AF36" w:rsidR="00BE63C7" w:rsidRDefault="008C75A7" w:rsidP="006B42EA">
            <w:pPr>
              <w:spacing w:before="120"/>
              <w:jc w:val="both"/>
              <w:rPr>
                <w:rFonts w:eastAsia="宋体"/>
                <w:lang w:eastAsia="zh-CN"/>
              </w:rPr>
            </w:pPr>
            <w:r>
              <w:rPr>
                <w:rFonts w:eastAsia="宋体"/>
                <w:lang w:eastAsia="zh-CN"/>
              </w:rPr>
              <w:t>Ericsson</w:t>
            </w:r>
          </w:p>
        </w:tc>
        <w:tc>
          <w:tcPr>
            <w:tcW w:w="4104" w:type="pct"/>
          </w:tcPr>
          <w:p w14:paraId="02E223BA" w14:textId="3D96E927" w:rsidR="00BE63C7" w:rsidRDefault="008C75A7" w:rsidP="006B42EA">
            <w:pPr>
              <w:spacing w:before="120"/>
              <w:jc w:val="both"/>
            </w:pPr>
            <w:r>
              <w:t xml:space="preserve">This is fine to capture as one solution in the TR but not as final agreement </w:t>
            </w:r>
            <w:r w:rsidR="00FD15FD">
              <w:t xml:space="preserve">to be specified </w:t>
            </w:r>
            <w:r w:rsidR="002B7D67">
              <w:t>without further study</w:t>
            </w:r>
            <w:r>
              <w:t xml:space="preserve">. </w:t>
            </w:r>
          </w:p>
        </w:tc>
      </w:tr>
      <w:tr w:rsidR="00145493" w14:paraId="49B6307A" w14:textId="77777777" w:rsidTr="00BE63C7">
        <w:tc>
          <w:tcPr>
            <w:tcW w:w="896" w:type="pct"/>
          </w:tcPr>
          <w:p w14:paraId="50593EAF" w14:textId="0AECD31C" w:rsidR="00145493" w:rsidRPr="002A4140" w:rsidRDefault="00145493" w:rsidP="00145493">
            <w:pPr>
              <w:spacing w:before="120"/>
              <w:jc w:val="both"/>
            </w:pPr>
            <w:r>
              <w:rPr>
                <w:rFonts w:eastAsia="宋体" w:hint="eastAsia"/>
                <w:lang w:eastAsia="zh-CN"/>
              </w:rPr>
              <w:t>v</w:t>
            </w:r>
            <w:r>
              <w:rPr>
                <w:rFonts w:eastAsia="宋体"/>
                <w:lang w:eastAsia="zh-CN"/>
              </w:rPr>
              <w:t>ivo</w:t>
            </w:r>
          </w:p>
        </w:tc>
        <w:tc>
          <w:tcPr>
            <w:tcW w:w="4104" w:type="pct"/>
          </w:tcPr>
          <w:p w14:paraId="003D4614" w14:textId="34CE085C" w:rsidR="00145493" w:rsidRPr="00386E57" w:rsidRDefault="00145493" w:rsidP="00145493">
            <w:pPr>
              <w:spacing w:before="120"/>
              <w:jc w:val="both"/>
            </w:pPr>
            <w:r>
              <w:rPr>
                <w:rFonts w:hint="eastAsia"/>
                <w:lang w:eastAsia="zh-CN"/>
              </w:rPr>
              <w:t>W</w:t>
            </w:r>
            <w:r>
              <w:rPr>
                <w:lang w:eastAsia="zh-CN"/>
              </w:rPr>
              <w:t>e prefer to capture the original Proposal 3 as the baseline.</w:t>
            </w:r>
          </w:p>
        </w:tc>
      </w:tr>
      <w:tr w:rsidR="00145493" w14:paraId="0E2E451D" w14:textId="77777777" w:rsidTr="00BE63C7">
        <w:tc>
          <w:tcPr>
            <w:tcW w:w="896" w:type="pct"/>
          </w:tcPr>
          <w:p w14:paraId="4CC173B8" w14:textId="4B3B45DE" w:rsidR="00145493" w:rsidRDefault="00192E37" w:rsidP="00145493">
            <w:pPr>
              <w:spacing w:before="120"/>
              <w:jc w:val="both"/>
            </w:pPr>
            <w:r>
              <w:t>ZTE</w:t>
            </w:r>
          </w:p>
        </w:tc>
        <w:tc>
          <w:tcPr>
            <w:tcW w:w="4104" w:type="pct"/>
          </w:tcPr>
          <w:p w14:paraId="5D6BDDF1" w14:textId="7C94785D" w:rsidR="00145493" w:rsidRDefault="00192E37" w:rsidP="008F78E7">
            <w:pPr>
              <w:spacing w:before="120"/>
              <w:jc w:val="both"/>
            </w:pPr>
            <w:r>
              <w:t xml:space="preserve">We are fine with Ericsson’s proposal. Whether 2.56s </w:t>
            </w:r>
            <w:r w:rsidR="008F78E7">
              <w:t>is</w:t>
            </w:r>
            <w:r>
              <w:t xml:space="preserve"> supported </w:t>
            </w:r>
            <w:r w:rsidR="008F78E7">
              <w:t>can be</w:t>
            </w:r>
            <w:r>
              <w:t xml:space="preserve"> futher </w:t>
            </w:r>
            <w:r w:rsidR="008F78E7">
              <w:t>studied</w:t>
            </w:r>
            <w:bookmarkStart w:id="6" w:name="_GoBack"/>
            <w:bookmarkEnd w:id="6"/>
            <w:r>
              <w:t>.</w:t>
            </w:r>
          </w:p>
        </w:tc>
      </w:tr>
      <w:tr w:rsidR="00145493" w14:paraId="7AF30267" w14:textId="77777777" w:rsidTr="00BE63C7">
        <w:tc>
          <w:tcPr>
            <w:tcW w:w="896" w:type="pct"/>
          </w:tcPr>
          <w:p w14:paraId="3DB419FF" w14:textId="66687931" w:rsidR="00145493" w:rsidRDefault="00145493" w:rsidP="00145493">
            <w:pPr>
              <w:spacing w:before="120"/>
              <w:jc w:val="both"/>
            </w:pPr>
          </w:p>
        </w:tc>
        <w:tc>
          <w:tcPr>
            <w:tcW w:w="4104" w:type="pct"/>
          </w:tcPr>
          <w:p w14:paraId="1E92A5E5" w14:textId="5F4529E3" w:rsidR="00145493" w:rsidRDefault="00145493" w:rsidP="00145493">
            <w:pPr>
              <w:spacing w:before="120"/>
              <w:jc w:val="both"/>
            </w:pPr>
          </w:p>
        </w:tc>
      </w:tr>
    </w:tbl>
    <w:p w14:paraId="4AEEB5EE" w14:textId="77777777" w:rsidR="003D5C9D" w:rsidRDefault="003D5C9D" w:rsidP="003D5C9D">
      <w:pPr>
        <w:pStyle w:val="1"/>
        <w:numPr>
          <w:ilvl w:val="0"/>
          <w:numId w:val="0"/>
        </w:numPr>
        <w:jc w:val="both"/>
        <w:rPr>
          <w:sz w:val="24"/>
        </w:rPr>
      </w:pPr>
    </w:p>
    <w:tbl>
      <w:tblPr>
        <w:tblStyle w:val="a8"/>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a1"/>
        <w:numPr>
          <w:ilvl w:val="0"/>
          <w:numId w:val="27"/>
        </w:numPr>
        <w:spacing w:before="120"/>
        <w:rPr>
          <w:rFonts w:eastAsiaTheme="minorEastAsia"/>
          <w:lang w:eastAsia="zh-CN"/>
        </w:rPr>
      </w:pPr>
      <w:r>
        <w:rPr>
          <w:rFonts w:eastAsiaTheme="minorEastAsia"/>
          <w:lang w:eastAsia="zh-CN"/>
        </w:rPr>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a8"/>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2F3BF07D" w:rsidR="00BE63C7" w:rsidRPr="00F06A72" w:rsidRDefault="00C66688" w:rsidP="00C42709">
            <w:pPr>
              <w:spacing w:before="120"/>
              <w:jc w:val="both"/>
              <w:rPr>
                <w:rFonts w:eastAsiaTheme="minorEastAsia"/>
                <w:lang w:eastAsia="zh-CN"/>
              </w:rPr>
            </w:pPr>
            <w:r>
              <w:rPr>
                <w:rFonts w:eastAsiaTheme="minorEastAsia"/>
                <w:lang w:eastAsia="zh-CN"/>
              </w:rPr>
              <w:t>Nokia</w:t>
            </w:r>
          </w:p>
        </w:tc>
        <w:tc>
          <w:tcPr>
            <w:tcW w:w="4104" w:type="pct"/>
          </w:tcPr>
          <w:p w14:paraId="5C6B073A" w14:textId="77777777" w:rsidR="00FF2F5F" w:rsidRDefault="00845F8E" w:rsidP="00845F8E">
            <w:pPr>
              <w:spacing w:before="120"/>
              <w:jc w:val="both"/>
              <w:rPr>
                <w:rFonts w:eastAsiaTheme="minorEastAsia"/>
                <w:lang w:eastAsia="zh-CN"/>
              </w:rPr>
            </w:pPr>
            <w:r>
              <w:rPr>
                <w:rFonts w:eastAsiaTheme="minorEastAsia"/>
                <w:lang w:eastAsia="zh-CN"/>
              </w:rPr>
              <w:t xml:space="preserve">RAN2 already </w:t>
            </w:r>
            <w:r w:rsidR="00C66688">
              <w:rPr>
                <w:rFonts w:eastAsiaTheme="minorEastAsia"/>
                <w:lang w:eastAsia="zh-CN"/>
              </w:rPr>
              <w:t>ag</w:t>
            </w:r>
            <w:r w:rsidR="00C66688" w:rsidRPr="00C66688">
              <w:rPr>
                <w:rFonts w:eastAsiaTheme="minorEastAsia"/>
                <w:lang w:eastAsia="zh-CN"/>
              </w:rPr>
              <w:t>reed that the RRM relaxation of REDCAP UEs is triggered based on measurements</w:t>
            </w:r>
            <w:r w:rsidR="00C66688">
              <w:rPr>
                <w:rFonts w:eastAsiaTheme="minorEastAsia"/>
                <w:lang w:eastAsia="zh-CN"/>
              </w:rPr>
              <w:t xml:space="preserve"> </w:t>
            </w:r>
            <w:r w:rsidR="00C66688" w:rsidRPr="00C66688">
              <w:rPr>
                <w:rFonts w:eastAsiaTheme="minorEastAsia"/>
                <w:lang w:eastAsia="zh-CN"/>
              </w:rPr>
              <w:t>and R16 NR RRM relaxation procedures are taken as a baseline.</w:t>
            </w:r>
            <w:r>
              <w:rPr>
                <w:rFonts w:eastAsiaTheme="minorEastAsia"/>
                <w:lang w:eastAsia="zh-CN"/>
              </w:rPr>
              <w:t xml:space="preserve"> </w:t>
            </w:r>
            <w:r w:rsidR="00C66688" w:rsidRPr="00C66688">
              <w:rPr>
                <w:rFonts w:eastAsiaTheme="minorEastAsia"/>
                <w:lang w:eastAsia="zh-CN"/>
              </w:rPr>
              <w:t>In R16 scheme</w:t>
            </w:r>
            <w:r w:rsidR="00C66688">
              <w:rPr>
                <w:rFonts w:eastAsiaTheme="minorEastAsia"/>
                <w:lang w:eastAsia="zh-CN"/>
              </w:rPr>
              <w:t xml:space="preserve"> there are already </w:t>
            </w:r>
            <w:r w:rsidR="00C66688" w:rsidRPr="00C66688">
              <w:rPr>
                <w:rFonts w:eastAsiaTheme="minorEastAsia"/>
                <w:lang w:eastAsia="zh-CN"/>
              </w:rPr>
              <w:t xml:space="preserve">3 </w:t>
            </w:r>
            <w:r w:rsidR="00C66688">
              <w:rPr>
                <w:rFonts w:eastAsiaTheme="minorEastAsia"/>
                <w:lang w:eastAsia="zh-CN"/>
              </w:rPr>
              <w:t>“</w:t>
            </w:r>
            <w:r w:rsidR="00C66688" w:rsidRPr="00C66688">
              <w:rPr>
                <w:rFonts w:eastAsiaTheme="minorEastAsia"/>
                <w:lang w:eastAsia="zh-CN"/>
              </w:rPr>
              <w:t>levels</w:t>
            </w:r>
            <w:r w:rsidR="00C66688">
              <w:rPr>
                <w:rFonts w:eastAsiaTheme="minorEastAsia"/>
                <w:lang w:eastAsia="zh-CN"/>
              </w:rPr>
              <w:t>” for the measurements</w:t>
            </w:r>
            <w:r w:rsidR="00C66688" w:rsidRPr="00C66688">
              <w:rPr>
                <w:rFonts w:eastAsiaTheme="minorEastAsia"/>
                <w:lang w:eastAsia="zh-CN"/>
              </w:rPr>
              <w:t xml:space="preserve"> – </w:t>
            </w:r>
            <w:r>
              <w:rPr>
                <w:rFonts w:eastAsiaTheme="minorEastAsia"/>
                <w:lang w:eastAsia="zh-CN"/>
              </w:rPr>
              <w:t xml:space="preserve">1. </w:t>
            </w:r>
            <w:r w:rsidR="00C66688" w:rsidRPr="00C66688">
              <w:rPr>
                <w:rFonts w:eastAsiaTheme="minorEastAsia"/>
                <w:lang w:eastAsia="zh-CN"/>
              </w:rPr>
              <w:t xml:space="preserve">UE is allowed not to measure neighbour cells based on the measurement rules </w:t>
            </w:r>
            <w:r w:rsidR="00C66688">
              <w:rPr>
                <w:rFonts w:eastAsiaTheme="minorEastAsia"/>
                <w:lang w:eastAsia="zh-CN"/>
              </w:rPr>
              <w:t xml:space="preserve">i.e. </w:t>
            </w:r>
            <w:r w:rsidR="00C66688" w:rsidRPr="00C66688">
              <w:rPr>
                <w:rFonts w:eastAsiaTheme="minorEastAsia"/>
                <w:lang w:eastAsia="zh-CN"/>
              </w:rPr>
              <w:t xml:space="preserve">s search, </w:t>
            </w:r>
            <w:r>
              <w:rPr>
                <w:rFonts w:eastAsiaTheme="minorEastAsia"/>
                <w:lang w:eastAsia="zh-CN"/>
              </w:rPr>
              <w:t xml:space="preserve">2. </w:t>
            </w:r>
            <w:r w:rsidR="00C66688" w:rsidRPr="00C66688">
              <w:rPr>
                <w:rFonts w:eastAsiaTheme="minorEastAsia"/>
                <w:lang w:eastAsia="zh-CN"/>
              </w:rPr>
              <w:t xml:space="preserve">relaxed measurements and </w:t>
            </w:r>
            <w:r>
              <w:rPr>
                <w:rFonts w:eastAsiaTheme="minorEastAsia"/>
                <w:lang w:eastAsia="zh-CN"/>
              </w:rPr>
              <w:t xml:space="preserve">3. </w:t>
            </w:r>
            <w:r w:rsidR="00C66688" w:rsidRPr="00C66688">
              <w:rPr>
                <w:rFonts w:eastAsiaTheme="minorEastAsia"/>
                <w:lang w:eastAsia="zh-CN"/>
              </w:rPr>
              <w:t xml:space="preserve">normal measurements. </w:t>
            </w:r>
          </w:p>
          <w:p w14:paraId="3C41CF51" w14:textId="77777777" w:rsidR="00BE63C7" w:rsidRDefault="00FF2F5F" w:rsidP="00FF2F5F">
            <w:pPr>
              <w:spacing w:before="120"/>
              <w:jc w:val="both"/>
              <w:rPr>
                <w:rFonts w:eastAsiaTheme="minorEastAsia"/>
                <w:lang w:eastAsia="zh-CN"/>
              </w:rPr>
            </w:pPr>
            <w:r>
              <w:rPr>
                <w:rFonts w:eastAsiaTheme="minorEastAsia"/>
                <w:lang w:eastAsia="zh-CN"/>
              </w:rPr>
              <w:lastRenderedPageBreak/>
              <w:t xml:space="preserve">With the current proposal it seems that there would 4 </w:t>
            </w:r>
            <w:r w:rsidR="001D1A6D">
              <w:rPr>
                <w:rFonts w:eastAsiaTheme="minorEastAsia"/>
                <w:lang w:eastAsia="zh-CN"/>
              </w:rPr>
              <w:t>(</w:t>
            </w:r>
            <w:r>
              <w:rPr>
                <w:rFonts w:eastAsiaTheme="minorEastAsia"/>
                <w:lang w:eastAsia="zh-CN"/>
              </w:rPr>
              <w:t>or 5</w:t>
            </w:r>
            <w:r w:rsidR="001D1A6D">
              <w:rPr>
                <w:rFonts w:eastAsiaTheme="minorEastAsia"/>
                <w:lang w:eastAsia="zh-CN"/>
              </w:rPr>
              <w:t>?)</w:t>
            </w:r>
            <w:r>
              <w:rPr>
                <w:rFonts w:eastAsiaTheme="minorEastAsia"/>
                <w:lang w:eastAsia="zh-CN"/>
              </w:rPr>
              <w:t xml:space="preserve"> different measurement levels. </w:t>
            </w:r>
            <w:r w:rsidR="00C66688" w:rsidRPr="00C66688">
              <w:rPr>
                <w:rFonts w:eastAsiaTheme="minorEastAsia"/>
                <w:lang w:eastAsia="zh-CN"/>
              </w:rPr>
              <w:t xml:space="preserve">We think that 3 existing levels are already quite challenging for the network to configure and </w:t>
            </w:r>
            <w:r w:rsidR="00845F8E">
              <w:rPr>
                <w:rFonts w:eastAsiaTheme="minorEastAsia"/>
                <w:lang w:eastAsia="zh-CN"/>
              </w:rPr>
              <w:t>more levels would just increase the complexity</w:t>
            </w:r>
            <w:r w:rsidR="00C66688" w:rsidRPr="00C66688">
              <w:rPr>
                <w:rFonts w:eastAsiaTheme="minorEastAsia"/>
                <w:lang w:eastAsia="zh-CN"/>
              </w:rPr>
              <w:t xml:space="preserve">. </w:t>
            </w:r>
            <w:r w:rsidR="00845F8E">
              <w:rPr>
                <w:rFonts w:eastAsiaTheme="minorEastAsia"/>
                <w:lang w:eastAsia="zh-CN"/>
              </w:rPr>
              <w:t>In addition it would be very challenging to define what exactly is slightly moving UE and how to configure that.</w:t>
            </w:r>
            <w:r>
              <w:rPr>
                <w:rFonts w:eastAsiaTheme="minorEastAsia"/>
                <w:lang w:eastAsia="zh-CN"/>
              </w:rPr>
              <w:t xml:space="preserve"> </w:t>
            </w:r>
          </w:p>
          <w:p w14:paraId="3036ECF3" w14:textId="7F5674FC" w:rsidR="00BB1C15" w:rsidRPr="00F06A72" w:rsidRDefault="00BB1C15" w:rsidP="00FF2F5F">
            <w:pPr>
              <w:spacing w:before="120"/>
              <w:jc w:val="both"/>
              <w:rPr>
                <w:rFonts w:eastAsiaTheme="minorEastAsia"/>
                <w:lang w:eastAsia="zh-CN"/>
              </w:rPr>
            </w:pPr>
            <w:r>
              <w:rPr>
                <w:rFonts w:eastAsiaTheme="minorEastAsia"/>
                <w:lang w:eastAsia="zh-CN"/>
              </w:rPr>
              <w:t xml:space="preserve">Therefore, we think that already existing 3 levels are sufficient. </w:t>
            </w:r>
          </w:p>
        </w:tc>
      </w:tr>
      <w:tr w:rsidR="00BE63C7" w14:paraId="51E56345" w14:textId="77777777" w:rsidTr="00BE63C7">
        <w:tc>
          <w:tcPr>
            <w:tcW w:w="896" w:type="pct"/>
          </w:tcPr>
          <w:p w14:paraId="42D2A577" w14:textId="41607BCE" w:rsidR="00BE63C7" w:rsidRDefault="00614CBD" w:rsidP="00C7005D">
            <w:pPr>
              <w:spacing w:before="120"/>
              <w:jc w:val="both"/>
              <w:rPr>
                <w:rFonts w:eastAsia="宋体"/>
                <w:lang w:eastAsia="zh-CN"/>
              </w:rPr>
            </w:pPr>
            <w:r>
              <w:rPr>
                <w:rFonts w:eastAsia="宋体"/>
                <w:lang w:eastAsia="zh-CN"/>
              </w:rPr>
              <w:lastRenderedPageBreak/>
              <w:t>Ericsson</w:t>
            </w:r>
          </w:p>
        </w:tc>
        <w:tc>
          <w:tcPr>
            <w:tcW w:w="4104" w:type="pct"/>
          </w:tcPr>
          <w:p w14:paraId="18F38942" w14:textId="28D044A4" w:rsidR="00BE63C7" w:rsidRDefault="00614CBD" w:rsidP="00C7005D">
            <w:pPr>
              <w:spacing w:before="120"/>
              <w:jc w:val="both"/>
            </w:pPr>
            <w:r>
              <w:t xml:space="preserve">We have similar views as Nokia. </w:t>
            </w:r>
          </w:p>
        </w:tc>
      </w:tr>
      <w:tr w:rsidR="00490ECB" w14:paraId="0EA95D10" w14:textId="77777777" w:rsidTr="00BE63C7">
        <w:tc>
          <w:tcPr>
            <w:tcW w:w="896" w:type="pct"/>
          </w:tcPr>
          <w:p w14:paraId="016593B8" w14:textId="0E200046" w:rsidR="00490ECB" w:rsidRDefault="00490ECB" w:rsidP="00490ECB">
            <w:pPr>
              <w:spacing w:before="120"/>
              <w:jc w:val="both"/>
              <w:rPr>
                <w:rFonts w:eastAsia="宋体"/>
                <w:lang w:eastAsia="zh-CN"/>
              </w:rPr>
            </w:pPr>
            <w:r>
              <w:rPr>
                <w:rFonts w:eastAsia="宋体" w:hint="eastAsia"/>
                <w:lang w:eastAsia="zh-CN"/>
              </w:rPr>
              <w:t>v</w:t>
            </w:r>
            <w:r>
              <w:rPr>
                <w:rFonts w:eastAsia="宋体"/>
                <w:lang w:eastAsia="zh-CN"/>
              </w:rPr>
              <w:t>ivo</w:t>
            </w:r>
          </w:p>
        </w:tc>
        <w:tc>
          <w:tcPr>
            <w:tcW w:w="4104" w:type="pct"/>
          </w:tcPr>
          <w:p w14:paraId="3363971F" w14:textId="1CC5E08C" w:rsidR="00490ECB" w:rsidRDefault="00490ECB" w:rsidP="00490ECB">
            <w:pPr>
              <w:spacing w:before="120"/>
              <w:jc w:val="both"/>
              <w:rPr>
                <w:rFonts w:eastAsiaTheme="minorEastAsia"/>
                <w:lang w:eastAsia="zh-CN"/>
              </w:rPr>
            </w:pPr>
            <w:r>
              <w:rPr>
                <w:rFonts w:hint="eastAsia"/>
                <w:lang w:eastAsia="zh-CN"/>
              </w:rPr>
              <w:t>I</w:t>
            </w:r>
            <w:r>
              <w:rPr>
                <w:lang w:eastAsia="zh-CN"/>
              </w:rPr>
              <w:t xml:space="preserve"> think companies may have some confusion on the “two levels” with the existing “3 levels” in RRM relaxation. Maybe, we could capture in TR one more clarification that we could reuse the current relaxation levels. But detailed could be studied in WI.</w:t>
            </w:r>
          </w:p>
        </w:tc>
      </w:tr>
      <w:tr w:rsidR="00192E37" w14:paraId="49D64051" w14:textId="77777777" w:rsidTr="00BE63C7">
        <w:tc>
          <w:tcPr>
            <w:tcW w:w="896" w:type="pct"/>
          </w:tcPr>
          <w:p w14:paraId="12166A75" w14:textId="6BAE4EFC" w:rsidR="00192E37" w:rsidRDefault="00192E37" w:rsidP="00490ECB">
            <w:pPr>
              <w:spacing w:before="120"/>
              <w:jc w:val="both"/>
              <w:rPr>
                <w:rFonts w:eastAsia="宋体" w:hint="eastAsia"/>
                <w:lang w:eastAsia="zh-CN"/>
              </w:rPr>
            </w:pPr>
            <w:r>
              <w:rPr>
                <w:rFonts w:eastAsia="宋体"/>
                <w:lang w:eastAsia="zh-CN"/>
              </w:rPr>
              <w:t>ZTE</w:t>
            </w:r>
          </w:p>
        </w:tc>
        <w:tc>
          <w:tcPr>
            <w:tcW w:w="4104" w:type="pct"/>
          </w:tcPr>
          <w:p w14:paraId="1AB285F4" w14:textId="19F2B7DA" w:rsidR="00192E37" w:rsidRDefault="00192E37" w:rsidP="00490ECB">
            <w:pPr>
              <w:spacing w:before="120"/>
              <w:jc w:val="both"/>
              <w:rPr>
                <w:lang w:eastAsia="zh-CN"/>
              </w:rPr>
            </w:pPr>
            <w:r>
              <w:rPr>
                <w:lang w:eastAsia="zh-CN"/>
              </w:rPr>
              <w:t>We also think Nokia’s comments does not alig</w:t>
            </w:r>
            <w:r w:rsidR="003D4B61">
              <w:rPr>
                <w:lang w:eastAsia="zh-CN"/>
              </w:rPr>
              <w:t>n with our understanding on the</w:t>
            </w:r>
            <w:r>
              <w:rPr>
                <w:lang w:eastAsia="zh-CN"/>
              </w:rPr>
              <w:t xml:space="preserve"> “2 levels”.</w:t>
            </w:r>
          </w:p>
          <w:p w14:paraId="50CDCA17" w14:textId="553FB9E7" w:rsidR="00192E37" w:rsidRDefault="00192E37" w:rsidP="00490ECB">
            <w:pPr>
              <w:spacing w:before="120"/>
              <w:jc w:val="both"/>
              <w:rPr>
                <w:lang w:eastAsia="zh-CN"/>
              </w:rPr>
            </w:pPr>
            <w:r>
              <w:rPr>
                <w:lang w:eastAsia="zh-CN"/>
              </w:rPr>
              <w:t>Our understan</w:t>
            </w:r>
            <w:r w:rsidR="003D4B61">
              <w:rPr>
                <w:lang w:eastAsia="zh-CN"/>
              </w:rPr>
              <w:t xml:space="preserve">ding is in addition to Rel-16 RRM relaxation mechanism, do we need another RRM relaxation mechanism specific for truly fixed UEs. </w:t>
            </w:r>
          </w:p>
          <w:p w14:paraId="00FECB9F" w14:textId="7B8FA585" w:rsidR="00192E37" w:rsidRDefault="00192E37" w:rsidP="00490ECB">
            <w:pPr>
              <w:spacing w:before="120"/>
              <w:jc w:val="both"/>
              <w:rPr>
                <w:rFonts w:hint="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a8"/>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2B6B3595" w:rsidR="0029452A" w:rsidRDefault="00192E37" w:rsidP="00CC04A8">
            <w:pPr>
              <w:spacing w:before="120"/>
              <w:jc w:val="both"/>
              <w:rPr>
                <w:lang w:eastAsia="zh-CN"/>
              </w:rPr>
            </w:pPr>
            <w:r>
              <w:rPr>
                <w:lang w:eastAsia="zh-CN"/>
              </w:rPr>
              <w:t>ZTE</w:t>
            </w:r>
          </w:p>
        </w:tc>
        <w:tc>
          <w:tcPr>
            <w:tcW w:w="4104" w:type="pct"/>
            <w:tcBorders>
              <w:top w:val="single" w:sz="4" w:space="0" w:color="auto"/>
            </w:tcBorders>
          </w:tcPr>
          <w:p w14:paraId="33A28F0B" w14:textId="3DAA0089" w:rsidR="0029452A" w:rsidRDefault="00192E37" w:rsidP="003D4B61">
            <w:pPr>
              <w:spacing w:before="120"/>
              <w:jc w:val="both"/>
              <w:rPr>
                <w:lang w:eastAsia="zh-CN"/>
              </w:rPr>
            </w:pPr>
            <w:r>
              <w:rPr>
                <w:lang w:eastAsia="zh-CN"/>
              </w:rPr>
              <w:t xml:space="preserve">Just to confirm “will be studied” does not mean we must have </w:t>
            </w:r>
            <w:r w:rsidR="003D4B61">
              <w:rPr>
                <w:lang w:eastAsia="zh-CN"/>
              </w:rPr>
              <w:t>specifi</w:t>
            </w:r>
            <w:r>
              <w:rPr>
                <w:lang w:eastAsia="zh-CN"/>
              </w:rPr>
              <w:t xml:space="preserve">ed solution. </w:t>
            </w:r>
            <w:r w:rsidR="003D4B61">
              <w:rPr>
                <w:lang w:eastAsia="zh-CN"/>
              </w:rPr>
              <w:t xml:space="preserve">“Up to network implementation” is still one alternative solution that can be considered. </w:t>
            </w: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宋体"/>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宋体"/>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a8"/>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1"/>
        <w:jc w:val="both"/>
      </w:pPr>
      <w:r>
        <w:t>Conclusion</w:t>
      </w:r>
    </w:p>
    <w:p w14:paraId="19B6A389" w14:textId="42EC5F55" w:rsidR="00940D62" w:rsidRDefault="00940D62" w:rsidP="00940D62">
      <w:pPr>
        <w:pStyle w:val="a1"/>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1"/>
        <w:jc w:val="both"/>
      </w:pPr>
      <w:r>
        <w:rPr>
          <w:rFonts w:hint="eastAsia"/>
        </w:rPr>
        <w:lastRenderedPageBreak/>
        <w:t>Reference</w:t>
      </w:r>
    </w:p>
    <w:p w14:paraId="624DB0E2" w14:textId="6A16A16E" w:rsidR="004A599B" w:rsidRDefault="004A599B" w:rsidP="001E28ED">
      <w:pPr>
        <w:pStyle w:val="a1"/>
        <w:numPr>
          <w:ilvl w:val="0"/>
          <w:numId w:val="7"/>
        </w:numPr>
        <w:jc w:val="left"/>
        <w:rPr>
          <w:rFonts w:eastAsiaTheme="minorEastAsia"/>
          <w:lang w:val="en-GB" w:eastAsia="zh-CN"/>
        </w:rPr>
      </w:pPr>
      <w:bookmarkStart w:id="8" w:name="_Ref56023525"/>
      <w:bookmarkStart w:id="9" w:name="_Ref51144359"/>
      <w:r>
        <w:rPr>
          <w:rFonts w:eastAsiaTheme="minorEastAsia"/>
          <w:lang w:val="en-GB" w:eastAsia="zh-CN"/>
        </w:rPr>
        <w:t>RAN2 #112e Chairman’s Notes</w:t>
      </w:r>
      <w:bookmarkEnd w:id="8"/>
    </w:p>
    <w:p w14:paraId="685FD40C" w14:textId="0853FE80" w:rsidR="00BF4F80" w:rsidRPr="00D6280A" w:rsidRDefault="00756CEB" w:rsidP="001E28ED">
      <w:pPr>
        <w:pStyle w:val="a1"/>
        <w:numPr>
          <w:ilvl w:val="0"/>
          <w:numId w:val="7"/>
        </w:numPr>
        <w:jc w:val="left"/>
        <w:rPr>
          <w:rFonts w:eastAsiaTheme="minorEastAsia"/>
          <w:lang w:val="en-GB" w:eastAsia="zh-CN"/>
        </w:rPr>
      </w:pPr>
      <w:bookmarkStart w:id="10" w:name="_Ref56023537"/>
      <w:bookmarkStart w:id="11"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9"/>
      <w:bookmarkEnd w:id="10"/>
      <w:r w:rsidR="004A599B">
        <w:t>Summary of offline 114 - RedCap power saving; CATT</w:t>
      </w:r>
      <w:bookmarkEnd w:id="11"/>
    </w:p>
    <w:p w14:paraId="7561AC7D" w14:textId="2234461D" w:rsidR="00D6280A" w:rsidRPr="001E28ED" w:rsidRDefault="00D6280A" w:rsidP="00904ED8">
      <w:pPr>
        <w:pStyle w:val="a1"/>
        <w:numPr>
          <w:ilvl w:val="0"/>
          <w:numId w:val="7"/>
        </w:numPr>
        <w:jc w:val="left"/>
        <w:rPr>
          <w:rFonts w:eastAsiaTheme="minorEastAsia"/>
          <w:lang w:val="en-GB" w:eastAsia="zh-CN"/>
        </w:rPr>
      </w:pPr>
      <w:bookmarkStart w:id="12"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2"/>
    </w:p>
    <w:sectPr w:rsidR="00D6280A" w:rsidRPr="001E28ED" w:rsidSect="002F67FE">
      <w:headerReference w:type="even" r:id="rId12"/>
      <w:headerReference w:type="default" r:id="rId13"/>
      <w:footerReference w:type="even" r:id="rId14"/>
      <w:footerReference w:type="default" r:id="rId15"/>
      <w:headerReference w:type="first" r:id="rId16"/>
      <w:footerReference w:type="first" r:id="rId17"/>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990B" w14:textId="77777777" w:rsidR="00BC48A5" w:rsidRDefault="00BC48A5">
      <w:r>
        <w:separator/>
      </w:r>
    </w:p>
  </w:endnote>
  <w:endnote w:type="continuationSeparator" w:id="0">
    <w:p w14:paraId="62AE5F86" w14:textId="77777777" w:rsidR="00BC48A5" w:rsidRDefault="00BC48A5">
      <w:r>
        <w:continuationSeparator/>
      </w:r>
    </w:p>
  </w:endnote>
  <w:endnote w:type="continuationNotice" w:id="1">
    <w:p w14:paraId="72EC7C2C" w14:textId="77777777" w:rsidR="00BC48A5" w:rsidRDefault="00BC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3" w:usb1="10000000" w:usb2="00000000" w:usb3="00000000" w:csb0="8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C36A" w14:textId="77777777" w:rsidR="007C0CB2" w:rsidRDefault="007C0CB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C3D3" w14:textId="77777777" w:rsidR="007C0CB2" w:rsidRDefault="007C0CB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A69C" w14:textId="77777777" w:rsidR="007C0CB2" w:rsidRDefault="007C0C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9EC07" w14:textId="77777777" w:rsidR="00BC48A5" w:rsidRDefault="00BC48A5">
      <w:r>
        <w:separator/>
      </w:r>
    </w:p>
  </w:footnote>
  <w:footnote w:type="continuationSeparator" w:id="0">
    <w:p w14:paraId="432A1D16" w14:textId="77777777" w:rsidR="00BC48A5" w:rsidRDefault="00BC48A5">
      <w:r>
        <w:continuationSeparator/>
      </w:r>
    </w:p>
  </w:footnote>
  <w:footnote w:type="continuationNotice" w:id="1">
    <w:p w14:paraId="491694AD" w14:textId="77777777" w:rsidR="00BC48A5" w:rsidRDefault="00BC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C10C" w14:textId="77777777" w:rsidR="007C0CB2" w:rsidRDefault="007C0C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AE74" w14:textId="77777777" w:rsidR="007C0CB2" w:rsidRDefault="007C0C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33B1" w14:textId="77777777" w:rsidR="007C0CB2" w:rsidRDefault="007C0C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27E4B"/>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5493"/>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3FD0"/>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2E37"/>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A6D"/>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B22"/>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B7D67"/>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9E1"/>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4B61"/>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3EFD"/>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0ECB"/>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4CBD"/>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0CB2"/>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5F8E"/>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5A7"/>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8E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002"/>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1C15"/>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48A5"/>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688"/>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C51"/>
    <w:rsid w:val="00C87E56"/>
    <w:rsid w:val="00C87F6E"/>
    <w:rsid w:val="00C901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3EE5"/>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6788C"/>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5FD"/>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2F5F"/>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010787.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3AE3234-F34D-4CB8-95AF-0C5F27C8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E8F4BF05-A250-4938-93D9-0CA021AD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1884</Words>
  <Characters>10743</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12602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cp:lastModifiedBy>
  <cp:revision>18</cp:revision>
  <cp:lastPrinted>2007-08-28T14:45:00Z</cp:lastPrinted>
  <dcterms:created xsi:type="dcterms:W3CDTF">2020-11-12T11:20:00Z</dcterms:created>
  <dcterms:modified xsi:type="dcterms:W3CDTF">2020-11-13T02:09:00Z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bf4a5a3ff6fd445d9f90a0b76f3ae4bc">
    <vt:lpwstr>CWMP4OLTngUIS5RZpNaEg7yR8cY8uFc5AxpdqigveSGDIC6QlSkzn3vnKN5ROHRW2unPJg5ZgaJQ4X7IPSmcbggSw==</vt:lpwstr>
  </property>
</Properties>
</file>