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t>Samsung</w:t>
      </w:r>
    </w:p>
    <w:p w14:paraId="636E0870" w14:textId="391DE68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[AT112-e][003][NR15] MAC II (Samsung)</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7DE70497" w:rsidR="001A5AEF" w:rsidRDefault="001A5AEF" w:rsidP="00A5303D">
      <w:pPr>
        <w:rPr>
          <w:lang w:eastAsia="ko-KR"/>
        </w:rPr>
      </w:pPr>
      <w:r w:rsidRPr="001A5AEF">
        <w:rPr>
          <w:lang w:eastAsia="ko-KR"/>
        </w:rPr>
        <w:t>This is to report the result of the following email discussion in RAN2#11</w:t>
      </w:r>
      <w:r w:rsidR="00577423">
        <w:rPr>
          <w:lang w:eastAsia="ko-KR"/>
        </w:rPr>
        <w:t>2</w:t>
      </w:r>
      <w:r w:rsidRPr="001A5AEF">
        <w:rPr>
          <w:lang w:eastAsia="ko-KR"/>
        </w:rPr>
        <w:t>-e Meeting [1].</w:t>
      </w:r>
    </w:p>
    <w:p w14:paraId="6BA0FEA5" w14:textId="77777777" w:rsidR="00577423" w:rsidRDefault="00577423" w:rsidP="00577423">
      <w:pPr>
        <w:pStyle w:val="EmailDiscussion"/>
      </w:pPr>
      <w:r>
        <w:t>[AT112-</w:t>
      </w:r>
      <w:proofErr w:type="gramStart"/>
      <w:r>
        <w:t>e][</w:t>
      </w:r>
      <w:proofErr w:type="gramEnd"/>
      <w:r>
        <w:t>003][NR15] MAC II (Samsung)</w:t>
      </w:r>
    </w:p>
    <w:p w14:paraId="1A55FF8C" w14:textId="00BC4807" w:rsidR="00577423" w:rsidRDefault="00577423" w:rsidP="00577423">
      <w:pPr>
        <w:pStyle w:val="EmailDiscussion2"/>
      </w:pPr>
      <w:r>
        <w:tab/>
        <w:t>Treat R2-2008909, R2-2010622, R2-2010623, R2-2010624, R2-2010426, R2-2010318, R2-2009910, R2-2009911, R2-2010418, R2-2010164, R2-2009482</w:t>
      </w:r>
    </w:p>
    <w:p w14:paraId="70395E38" w14:textId="77777777" w:rsidR="00577423" w:rsidRDefault="00577423" w:rsidP="00577423">
      <w:pPr>
        <w:pStyle w:val="EmailDiscussion2"/>
      </w:pPr>
      <w:r>
        <w:tab/>
        <w:t xml:space="preserve">Intended outcome: Intermediate: Determine agreeable parts. Final: For agreeable parts, agreed CRs. </w:t>
      </w:r>
    </w:p>
    <w:p w14:paraId="63E08BAB" w14:textId="77777777" w:rsidR="00577423" w:rsidRDefault="00577423" w:rsidP="00577423">
      <w:pPr>
        <w:pStyle w:val="EmailDiscussion2"/>
      </w:pPr>
      <w:r>
        <w:tab/>
        <w:t>Deadline: Intermediate deadline(s) by Rapporteur, Final: Discussion stop at Wed Nov 11, 1200 UTC</w:t>
      </w:r>
    </w:p>
    <w:p w14:paraId="636E087A" w14:textId="77777777" w:rsidR="001A5AEF" w:rsidRDefault="001A5AEF" w:rsidP="00A5303D">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77777777" w:rsidR="00577423" w:rsidRDefault="00577423" w:rsidP="000468F3">
            <w:pPr>
              <w:pStyle w:val="TAC"/>
              <w:rPr>
                <w:lang w:eastAsia="ko-KR"/>
              </w:rPr>
            </w:pPr>
            <w:r>
              <w:rPr>
                <w:lang w:eastAsia="ko-KR"/>
              </w:rPr>
              <w:t>Samsung</w:t>
            </w:r>
          </w:p>
        </w:tc>
        <w:tc>
          <w:tcPr>
            <w:tcW w:w="5794" w:type="dxa"/>
          </w:tcPr>
          <w:p w14:paraId="4D909DDF" w14:textId="77777777" w:rsidR="00577423" w:rsidRDefault="00577423" w:rsidP="000468F3">
            <w:pPr>
              <w:pStyle w:val="TAC"/>
              <w:rPr>
                <w:lang w:eastAsia="ko-KR"/>
              </w:rPr>
            </w:pPr>
            <w:r>
              <w:rPr>
                <w:lang w:eastAsia="ko-KR"/>
              </w:rPr>
              <w:t>Jaehyuk JANG (jack.jang@samsung.com)</w:t>
            </w:r>
          </w:p>
        </w:tc>
      </w:tr>
      <w:tr w:rsidR="00577423" w14:paraId="72E7FE38" w14:textId="77777777" w:rsidTr="00D96CB3">
        <w:tc>
          <w:tcPr>
            <w:tcW w:w="3835" w:type="dxa"/>
          </w:tcPr>
          <w:p w14:paraId="2663178D" w14:textId="77777777" w:rsidR="00577423" w:rsidRDefault="00577423" w:rsidP="000468F3">
            <w:pPr>
              <w:pStyle w:val="TAC"/>
              <w:rPr>
                <w:lang w:eastAsia="ko-KR"/>
              </w:rPr>
            </w:pPr>
          </w:p>
        </w:tc>
        <w:tc>
          <w:tcPr>
            <w:tcW w:w="5794" w:type="dxa"/>
          </w:tcPr>
          <w:p w14:paraId="428B3E76" w14:textId="77777777" w:rsidR="00577423" w:rsidRDefault="00577423" w:rsidP="000468F3">
            <w:pPr>
              <w:pStyle w:val="TAC"/>
              <w:rPr>
                <w:lang w:eastAsia="ko-KR"/>
              </w:rPr>
            </w:pP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29F4F9A"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D96CB3" w:rsidRPr="00D96CB3">
        <w:rPr>
          <w:lang w:eastAsia="ko-KR"/>
        </w:rPr>
        <w:t>Fixing a CR implementation error of CR0767</w:t>
      </w:r>
    </w:p>
    <w:p w14:paraId="7EA7F89F" w14:textId="6C25E5BB" w:rsidR="00D96CB3" w:rsidRDefault="00D96CB3" w:rsidP="00D96CB3">
      <w:pPr>
        <w:pStyle w:val="Doc-title"/>
      </w:pPr>
      <w:r w:rsidRPr="00D96CB3">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77777777" w:rsidR="001A5AEF" w:rsidRDefault="005A01C4" w:rsidP="001A5AEF">
            <w:pPr>
              <w:pStyle w:val="TAC"/>
              <w:rPr>
                <w:lang w:eastAsia="ko-KR"/>
              </w:rPr>
            </w:pPr>
            <w:r>
              <w:rPr>
                <w:lang w:eastAsia="ko-KR"/>
              </w:rPr>
              <w:t>Samsung</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29360E64" w:rsidR="001A5AEF" w:rsidRDefault="00D96CB3" w:rsidP="00D96CB3">
            <w:pPr>
              <w:pStyle w:val="TAL"/>
              <w:rPr>
                <w:lang w:eastAsia="ko-KR"/>
              </w:rPr>
            </w:pPr>
            <w:r>
              <w:rPr>
                <w:lang w:eastAsia="ko-KR"/>
              </w:rPr>
              <w:t>It is clearly an implementation error</w:t>
            </w:r>
            <w:r w:rsidR="001130C3">
              <w:rPr>
                <w:lang w:eastAsia="ko-KR"/>
              </w:rPr>
              <w:t>, and Rel-15 specification should be corrected (as proposed)</w:t>
            </w:r>
            <w:r>
              <w:rPr>
                <w:lang w:eastAsia="ko-KR"/>
              </w:rPr>
              <w:t>.</w:t>
            </w:r>
          </w:p>
        </w:tc>
      </w:tr>
      <w:tr w:rsidR="001A5AEF" w14:paraId="636E088A" w14:textId="77777777" w:rsidTr="00D0337C">
        <w:tc>
          <w:tcPr>
            <w:tcW w:w="1915" w:type="dxa"/>
          </w:tcPr>
          <w:p w14:paraId="636E0887" w14:textId="4E3EF06E" w:rsidR="001A5AEF" w:rsidRDefault="001A5AEF" w:rsidP="001A5AEF">
            <w:pPr>
              <w:pStyle w:val="TAC"/>
              <w:rPr>
                <w:lang w:eastAsia="ko-KR"/>
              </w:rPr>
            </w:pPr>
          </w:p>
        </w:tc>
        <w:tc>
          <w:tcPr>
            <w:tcW w:w="1848" w:type="dxa"/>
          </w:tcPr>
          <w:p w14:paraId="636E0888" w14:textId="04EB3438" w:rsidR="001A5AEF" w:rsidRDefault="001A5AEF" w:rsidP="001A5AEF">
            <w:pPr>
              <w:pStyle w:val="TAC"/>
              <w:rPr>
                <w:lang w:eastAsia="ko-KR"/>
              </w:rPr>
            </w:pPr>
          </w:p>
        </w:tc>
        <w:tc>
          <w:tcPr>
            <w:tcW w:w="5866" w:type="dxa"/>
          </w:tcPr>
          <w:p w14:paraId="636E0889" w14:textId="77777777" w:rsidR="001A5AEF" w:rsidRDefault="001A5AEF" w:rsidP="001A5AEF">
            <w:pPr>
              <w:pStyle w:val="TAL"/>
              <w:rPr>
                <w:lang w:eastAsia="ko-KR"/>
              </w:rPr>
            </w:pPr>
          </w:p>
        </w:tc>
      </w:tr>
      <w:tr w:rsidR="00E33D5E" w14:paraId="636E088E" w14:textId="77777777" w:rsidTr="00D0337C">
        <w:tc>
          <w:tcPr>
            <w:tcW w:w="1915" w:type="dxa"/>
          </w:tcPr>
          <w:p w14:paraId="636E088B" w14:textId="02EA97E3" w:rsidR="00E33D5E" w:rsidRDefault="00E33D5E" w:rsidP="00E33D5E">
            <w:pPr>
              <w:pStyle w:val="TAC"/>
              <w:rPr>
                <w:lang w:eastAsia="ko-KR"/>
              </w:rPr>
            </w:pPr>
          </w:p>
        </w:tc>
        <w:tc>
          <w:tcPr>
            <w:tcW w:w="1848" w:type="dxa"/>
          </w:tcPr>
          <w:p w14:paraId="636E088C" w14:textId="47116F60" w:rsidR="00E33D5E" w:rsidRPr="00632231" w:rsidRDefault="00E33D5E" w:rsidP="00E33D5E">
            <w:pPr>
              <w:pStyle w:val="TAC"/>
              <w:rPr>
                <w:rFonts w:eastAsia="SimSun"/>
                <w:lang w:eastAsia="zh-CN"/>
              </w:rPr>
            </w:pPr>
          </w:p>
        </w:tc>
        <w:tc>
          <w:tcPr>
            <w:tcW w:w="5866" w:type="dxa"/>
          </w:tcPr>
          <w:p w14:paraId="636E088D" w14:textId="5F9A8C9E" w:rsidR="00E33D5E" w:rsidRPr="00632231" w:rsidRDefault="00E33D5E" w:rsidP="00E33D5E">
            <w:pPr>
              <w:pStyle w:val="TAL"/>
              <w:rPr>
                <w:rFonts w:eastAsia="SimSun"/>
                <w:lang w:eastAsia="zh-CN"/>
              </w:rPr>
            </w:pPr>
          </w:p>
        </w:tc>
      </w:tr>
      <w:tr w:rsidR="001A5AEF" w14:paraId="636E0892" w14:textId="77777777" w:rsidTr="00D0337C">
        <w:tc>
          <w:tcPr>
            <w:tcW w:w="1915" w:type="dxa"/>
          </w:tcPr>
          <w:p w14:paraId="636E088F" w14:textId="0C9D94A5" w:rsidR="001A5AEF" w:rsidRDefault="001A5AEF" w:rsidP="001A5AEF">
            <w:pPr>
              <w:pStyle w:val="TAC"/>
              <w:rPr>
                <w:lang w:eastAsia="ko-KR"/>
              </w:rPr>
            </w:pPr>
          </w:p>
        </w:tc>
        <w:tc>
          <w:tcPr>
            <w:tcW w:w="1848" w:type="dxa"/>
          </w:tcPr>
          <w:p w14:paraId="636E0890" w14:textId="7CD1830D" w:rsidR="001A5AEF" w:rsidRDefault="001A5AEF" w:rsidP="001A5AEF">
            <w:pPr>
              <w:pStyle w:val="TAC"/>
              <w:rPr>
                <w:lang w:eastAsia="ko-KR"/>
              </w:rPr>
            </w:pPr>
          </w:p>
        </w:tc>
        <w:tc>
          <w:tcPr>
            <w:tcW w:w="5866" w:type="dxa"/>
          </w:tcPr>
          <w:p w14:paraId="636E0891" w14:textId="77777777" w:rsidR="001A5AEF" w:rsidRDefault="001A5AEF" w:rsidP="001A5AEF">
            <w:pPr>
              <w:pStyle w:val="TAL"/>
              <w:rPr>
                <w:lang w:eastAsia="ko-KR"/>
              </w:rPr>
            </w:pP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3CE898AD"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233D42">
        <w:rPr>
          <w:lang w:eastAsia="ko-KR"/>
        </w:rPr>
        <w:t>S</w:t>
      </w:r>
      <w:r w:rsidR="00233D42" w:rsidRPr="00233D42">
        <w:rPr>
          <w:lang w:eastAsia="ko-KR"/>
        </w:rPr>
        <w:t>topping DRX retransmission timer when bundling is used</w:t>
      </w:r>
    </w:p>
    <w:p w14:paraId="6DA5C489" w14:textId="2D363073" w:rsidR="009F7732" w:rsidRPr="009F7732" w:rsidRDefault="009F7732" w:rsidP="009F7732">
      <w:pPr>
        <w:rPr>
          <w:lang w:eastAsia="ko-KR"/>
        </w:rPr>
      </w:pPr>
      <w:r>
        <w:rPr>
          <w:lang w:eastAsia="ko-KR"/>
        </w:rPr>
        <w:t>(The following five contributions are discussed together here.)</w:t>
      </w:r>
    </w:p>
    <w:p w14:paraId="16202DEF" w14:textId="546CF192" w:rsidR="00D96CB3" w:rsidRDefault="00D96CB3" w:rsidP="00D96CB3">
      <w:pPr>
        <w:pStyle w:val="Doc-title"/>
      </w:pPr>
      <w:r w:rsidRPr="00D96CB3">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6B8EED68" w14:textId="23A7E261" w:rsidR="00D96CB3" w:rsidRDefault="00D96CB3" w:rsidP="00D96CB3">
      <w:pPr>
        <w:pStyle w:val="Doc-title"/>
      </w:pPr>
      <w:r w:rsidRPr="00D96CB3">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6536A8D6" w14:textId="110954D7" w:rsidR="00D96CB3" w:rsidRDefault="00D96CB3" w:rsidP="00D96CB3">
      <w:pPr>
        <w:pStyle w:val="Doc-title"/>
      </w:pPr>
      <w:r w:rsidRPr="00D96CB3">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449EFDBF" w14:textId="22F9DC6E" w:rsidR="009F7732" w:rsidRDefault="009F7732" w:rsidP="009F7732">
      <w:pPr>
        <w:pStyle w:val="Doc-title"/>
      </w:pPr>
      <w:r w:rsidRPr="009F7732">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672E0253" w14:textId="3269788B" w:rsidR="009F7732" w:rsidRDefault="009F7732" w:rsidP="009F7732">
      <w:pPr>
        <w:pStyle w:val="Doc-title"/>
      </w:pPr>
      <w:r w:rsidRPr="009F7732">
        <w:t>R2-2010318</w:t>
      </w:r>
      <w:r>
        <w:tab/>
        <w:t>Further discussions on DRX with bundling operation</w:t>
      </w:r>
      <w:r>
        <w:tab/>
        <w:t>Huawei, HiSilicon</w:t>
      </w:r>
      <w:r>
        <w:tab/>
        <w:t>discussion</w:t>
      </w:r>
      <w:r>
        <w:tab/>
        <w:t>Rel-16</w:t>
      </w:r>
      <w:r>
        <w:tab/>
        <w:t>TEI16</w:t>
      </w:r>
    </w:p>
    <w:p w14:paraId="0A7BA614" w14:textId="77777777" w:rsidR="009F7732" w:rsidRPr="001A5AEF" w:rsidRDefault="009F7732"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xml:space="preserve">; </w:t>
            </w:r>
            <w:r w:rsidR="001130C3">
              <w:rPr>
                <w:lang w:eastAsia="ko-KR"/>
              </w:rPr>
              <w:t>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77777777" w:rsidR="005A01C4" w:rsidRDefault="005A01C4" w:rsidP="005A01C4">
            <w:pPr>
              <w:pStyle w:val="TAC"/>
              <w:rPr>
                <w:lang w:eastAsia="ko-KR"/>
              </w:rPr>
            </w:pPr>
            <w:r>
              <w:rPr>
                <w:lang w:eastAsia="ko-KR"/>
              </w:rPr>
              <w:t>Samsung</w:t>
            </w:r>
          </w:p>
        </w:tc>
        <w:tc>
          <w:tcPr>
            <w:tcW w:w="1979" w:type="dxa"/>
          </w:tcPr>
          <w:p w14:paraId="636E08A3" w14:textId="2FAB6AC5" w:rsidR="005A01C4" w:rsidRDefault="005A01C4" w:rsidP="001130C3">
            <w:pPr>
              <w:pStyle w:val="TAC"/>
              <w:rPr>
                <w:lang w:eastAsia="ko-KR"/>
              </w:rPr>
            </w:pPr>
            <w:r>
              <w:rPr>
                <w:lang w:eastAsia="ko-KR"/>
              </w:rPr>
              <w:t>Agree as is</w:t>
            </w:r>
            <w:r w:rsidR="001130C3">
              <w:rPr>
                <w:lang w:eastAsia="ko-KR"/>
              </w:rPr>
              <w:t xml:space="preserve"> (</w:t>
            </w:r>
            <w:proofErr w:type="spellStart"/>
            <w:r w:rsidR="009F7732">
              <w:rPr>
                <w:lang w:eastAsia="ko-KR"/>
              </w:rPr>
              <w:t>ASUSTek</w:t>
            </w:r>
            <w:proofErr w:type="spellEnd"/>
            <w:r w:rsidR="009F7732">
              <w:rPr>
                <w:lang w:eastAsia="ko-KR"/>
              </w:rPr>
              <w:t xml:space="preserve"> or Ericsson (only MAC)</w:t>
            </w:r>
            <w:r w:rsidR="001130C3">
              <w:rPr>
                <w:lang w:eastAsia="ko-KR"/>
              </w:rPr>
              <w:t>; Rel-16)</w:t>
            </w:r>
          </w:p>
        </w:tc>
        <w:tc>
          <w:tcPr>
            <w:tcW w:w="6483" w:type="dxa"/>
          </w:tcPr>
          <w:p w14:paraId="636E08A4" w14:textId="04DFA32E" w:rsidR="005A01C4" w:rsidRDefault="009F7732" w:rsidP="009F7732">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w:t>
            </w:r>
            <w:r w:rsidR="001130C3">
              <w:rPr>
                <w:lang w:eastAsia="ko-KR"/>
              </w:rPr>
              <w:t xml:space="preserve"> From the agreement from last meeting, we would need a Rel-16 CR only.</w:t>
            </w:r>
          </w:p>
        </w:tc>
      </w:tr>
      <w:tr w:rsidR="00EF0168" w14:paraId="636E08AA" w14:textId="77777777" w:rsidTr="00C75570">
        <w:tc>
          <w:tcPr>
            <w:tcW w:w="1167" w:type="dxa"/>
          </w:tcPr>
          <w:p w14:paraId="636E08A6" w14:textId="30FE1523" w:rsidR="00EF0168" w:rsidRPr="00350FBA" w:rsidRDefault="00EF0168" w:rsidP="00EF0168">
            <w:pPr>
              <w:pStyle w:val="TAC"/>
              <w:rPr>
                <w:rFonts w:eastAsia="SimSun"/>
                <w:lang w:eastAsia="zh-CN"/>
              </w:rPr>
            </w:pPr>
          </w:p>
        </w:tc>
        <w:tc>
          <w:tcPr>
            <w:tcW w:w="1979" w:type="dxa"/>
          </w:tcPr>
          <w:p w14:paraId="636E08A7" w14:textId="77777777" w:rsidR="00EF0168" w:rsidRDefault="00EF0168" w:rsidP="00EF0168">
            <w:pPr>
              <w:pStyle w:val="TAC"/>
              <w:rPr>
                <w:lang w:eastAsia="ko-KR"/>
              </w:rPr>
            </w:pPr>
          </w:p>
        </w:tc>
        <w:tc>
          <w:tcPr>
            <w:tcW w:w="6483" w:type="dxa"/>
          </w:tcPr>
          <w:p w14:paraId="636E08A9" w14:textId="6479D570" w:rsidR="00EF0168" w:rsidRPr="00350FBA" w:rsidRDefault="00EF0168" w:rsidP="00EF0168">
            <w:pPr>
              <w:pStyle w:val="TAL"/>
              <w:rPr>
                <w:rFonts w:eastAsia="SimSun"/>
                <w:lang w:eastAsia="zh-CN"/>
              </w:rPr>
            </w:pPr>
          </w:p>
        </w:tc>
      </w:tr>
      <w:tr w:rsidR="005A01C4" w14:paraId="636E08AE" w14:textId="77777777" w:rsidTr="00C75570">
        <w:tc>
          <w:tcPr>
            <w:tcW w:w="1167" w:type="dxa"/>
          </w:tcPr>
          <w:p w14:paraId="636E08AB" w14:textId="553C312D" w:rsidR="005A01C4" w:rsidRDefault="005A01C4" w:rsidP="005A01C4">
            <w:pPr>
              <w:pStyle w:val="TAC"/>
              <w:rPr>
                <w:lang w:eastAsia="ko-KR"/>
              </w:rPr>
            </w:pPr>
          </w:p>
        </w:tc>
        <w:tc>
          <w:tcPr>
            <w:tcW w:w="1979" w:type="dxa"/>
          </w:tcPr>
          <w:p w14:paraId="636E08AC" w14:textId="1E7DA553" w:rsidR="005A01C4" w:rsidRDefault="005A01C4" w:rsidP="005A01C4">
            <w:pPr>
              <w:pStyle w:val="TAC"/>
              <w:rPr>
                <w:lang w:eastAsia="ko-KR"/>
              </w:rPr>
            </w:pP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452634A0" w:rsidR="00BA23D8" w:rsidRDefault="00BA23D8" w:rsidP="00BA23D8">
            <w:pPr>
              <w:pStyle w:val="TAC"/>
              <w:rPr>
                <w:lang w:eastAsia="ko-KR"/>
              </w:rPr>
            </w:pPr>
          </w:p>
        </w:tc>
        <w:tc>
          <w:tcPr>
            <w:tcW w:w="1979" w:type="dxa"/>
          </w:tcPr>
          <w:p w14:paraId="636E08B0" w14:textId="77777777" w:rsidR="00BA23D8" w:rsidRDefault="00BA23D8" w:rsidP="00BA23D8">
            <w:pPr>
              <w:pStyle w:val="TAC"/>
              <w:rPr>
                <w:lang w:eastAsia="ko-KR"/>
              </w:rPr>
            </w:pP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6BB1B722"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251E06" w:rsidRPr="00251E06">
        <w:rPr>
          <w:lang w:eastAsia="ko-KR"/>
        </w:rPr>
        <w:t>HARQ process handling of retransmission within a bundle</w:t>
      </w:r>
    </w:p>
    <w:p w14:paraId="586B80F5" w14:textId="71828683" w:rsidR="00251E06" w:rsidRDefault="00251E06" w:rsidP="00251E06">
      <w:pPr>
        <w:pStyle w:val="Doc-title"/>
      </w:pPr>
      <w:r w:rsidRPr="00251E06">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2F3F2EF7" w14:textId="422A2987" w:rsidR="00251E06" w:rsidRDefault="00251E06" w:rsidP="00251E06">
      <w:pPr>
        <w:pStyle w:val="Doc-title"/>
      </w:pPr>
      <w:r w:rsidRPr="00251E06">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636E08BC"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777777" w:rsidR="001A5AEF" w:rsidRDefault="005E4539" w:rsidP="00DF251E">
            <w:pPr>
              <w:pStyle w:val="TAC"/>
              <w:rPr>
                <w:lang w:eastAsia="ko-KR"/>
              </w:rPr>
            </w:pPr>
            <w:r>
              <w:rPr>
                <w:lang w:eastAsia="ko-KR"/>
              </w:rPr>
              <w:t>Samsung</w:t>
            </w:r>
          </w:p>
        </w:tc>
        <w:tc>
          <w:tcPr>
            <w:tcW w:w="1979" w:type="dxa"/>
          </w:tcPr>
          <w:p w14:paraId="636E08C2" w14:textId="3926A4F1" w:rsidR="001A5AEF" w:rsidRDefault="00BB260E" w:rsidP="00DF251E">
            <w:pPr>
              <w:pStyle w:val="TAC"/>
              <w:rPr>
                <w:lang w:eastAsia="ko-KR"/>
              </w:rPr>
            </w:pPr>
            <w:r>
              <w:rPr>
                <w:lang w:eastAsia="ko-KR"/>
              </w:rPr>
              <w:t>Disagree</w:t>
            </w:r>
          </w:p>
        </w:tc>
        <w:tc>
          <w:tcPr>
            <w:tcW w:w="6483" w:type="dxa"/>
          </w:tcPr>
          <w:p w14:paraId="636E08C3" w14:textId="18F21983" w:rsidR="001A5AEF" w:rsidRDefault="00BB260E" w:rsidP="00920B5D">
            <w:pPr>
              <w:pStyle w:val="TAL"/>
              <w:rPr>
                <w:lang w:eastAsia="ko-KR"/>
              </w:rPr>
            </w:pPr>
            <w:r>
              <w:rPr>
                <w:lang w:eastAsia="ko-KR"/>
              </w:rPr>
              <w:t xml:space="preserve">The change seems not needed as the text </w:t>
            </w:r>
            <w:r w:rsidR="00920B5D">
              <w:rPr>
                <w:lang w:eastAsia="ko-KR"/>
              </w:rPr>
              <w:t>is interpreted as</w:t>
            </w:r>
            <w:r>
              <w:rPr>
                <w:lang w:eastAsia="ko-KR"/>
              </w:rPr>
              <w:t xml:space="preserve"> </w:t>
            </w:r>
            <w:r w:rsidRPr="00BB260E">
              <w:rPr>
                <w:lang w:eastAsia="ko-KR"/>
              </w:rPr>
              <w:t>'same (frequency) resources'</w:t>
            </w:r>
            <w:r>
              <w:rPr>
                <w:lang w:eastAsia="ko-KR"/>
              </w:rPr>
              <w:t>.</w:t>
            </w:r>
            <w:r w:rsidR="00920B5D">
              <w:rPr>
                <w:lang w:eastAsia="ko-KR"/>
              </w:rPr>
              <w:t xml:space="preserve"> </w:t>
            </w:r>
            <w:r w:rsidR="00920B5D" w:rsidRPr="00920B5D">
              <w:rPr>
                <w:lang w:eastAsia="ko-KR"/>
              </w:rPr>
              <w:t xml:space="preserve">There </w:t>
            </w:r>
            <w:r w:rsidR="00920B5D">
              <w:rPr>
                <w:lang w:eastAsia="ko-KR"/>
              </w:rPr>
              <w:t>would be</w:t>
            </w:r>
            <w:r w:rsidR="00920B5D" w:rsidRPr="00920B5D">
              <w:rPr>
                <w:lang w:eastAsia="ko-KR"/>
              </w:rPr>
              <w:t xml:space="preserve"> no room to misinterpret the existing text</w:t>
            </w:r>
            <w:r w:rsidR="00920B5D">
              <w:rPr>
                <w:lang w:eastAsia="ko-KR"/>
              </w:rPr>
              <w:t>.</w:t>
            </w:r>
          </w:p>
        </w:tc>
      </w:tr>
      <w:tr w:rsidR="001A5AEF" w14:paraId="636E08C8" w14:textId="77777777" w:rsidTr="00842B23">
        <w:tc>
          <w:tcPr>
            <w:tcW w:w="1167" w:type="dxa"/>
          </w:tcPr>
          <w:p w14:paraId="636E08C5" w14:textId="2D2525BC" w:rsidR="001A5AEF" w:rsidRDefault="001A5AEF" w:rsidP="00DF251E">
            <w:pPr>
              <w:pStyle w:val="TAC"/>
              <w:rPr>
                <w:lang w:eastAsia="ko-KR"/>
              </w:rPr>
            </w:pPr>
          </w:p>
        </w:tc>
        <w:tc>
          <w:tcPr>
            <w:tcW w:w="1979" w:type="dxa"/>
          </w:tcPr>
          <w:p w14:paraId="636E08C6" w14:textId="1985629F" w:rsidR="001A5AEF" w:rsidRDefault="001A5AEF" w:rsidP="00DF251E">
            <w:pPr>
              <w:pStyle w:val="TAC"/>
              <w:rPr>
                <w:lang w:eastAsia="ko-KR"/>
              </w:rPr>
            </w:pPr>
          </w:p>
        </w:tc>
        <w:tc>
          <w:tcPr>
            <w:tcW w:w="6483" w:type="dxa"/>
          </w:tcPr>
          <w:p w14:paraId="636E08C7" w14:textId="77777777" w:rsidR="001A5AEF" w:rsidRDefault="001A5AEF" w:rsidP="00DF251E">
            <w:pPr>
              <w:pStyle w:val="TAL"/>
              <w:rPr>
                <w:lang w:eastAsia="ko-KR"/>
              </w:rPr>
            </w:pPr>
          </w:p>
        </w:tc>
      </w:tr>
      <w:tr w:rsidR="00FC55B1" w14:paraId="636E08CD" w14:textId="77777777" w:rsidTr="00842B23">
        <w:tc>
          <w:tcPr>
            <w:tcW w:w="1167" w:type="dxa"/>
          </w:tcPr>
          <w:p w14:paraId="636E08C9" w14:textId="410855F5" w:rsidR="00FC55B1" w:rsidRPr="00F154D1" w:rsidRDefault="00FC55B1" w:rsidP="00FC55B1">
            <w:pPr>
              <w:pStyle w:val="TAC"/>
              <w:rPr>
                <w:rFonts w:eastAsia="SimSun"/>
                <w:lang w:eastAsia="zh-CN"/>
              </w:rPr>
            </w:pPr>
          </w:p>
        </w:tc>
        <w:tc>
          <w:tcPr>
            <w:tcW w:w="1979" w:type="dxa"/>
          </w:tcPr>
          <w:p w14:paraId="636E08CA" w14:textId="07898036" w:rsidR="00FC55B1" w:rsidRPr="00F46159" w:rsidRDefault="00FC55B1" w:rsidP="00FC55B1">
            <w:pPr>
              <w:pStyle w:val="TAC"/>
              <w:rPr>
                <w:rFonts w:eastAsia="SimSun"/>
                <w:lang w:eastAsia="zh-CN"/>
              </w:rPr>
            </w:pPr>
          </w:p>
        </w:tc>
        <w:tc>
          <w:tcPr>
            <w:tcW w:w="6483" w:type="dxa"/>
          </w:tcPr>
          <w:p w14:paraId="636E08CC" w14:textId="05256B14" w:rsidR="00FC55B1" w:rsidRPr="00F46159" w:rsidRDefault="00FC55B1" w:rsidP="00FC55B1">
            <w:pPr>
              <w:pStyle w:val="TAL"/>
              <w:rPr>
                <w:rFonts w:eastAsia="SimSun"/>
                <w:lang w:eastAsia="zh-CN"/>
              </w:rPr>
            </w:pPr>
          </w:p>
        </w:tc>
      </w:tr>
      <w:tr w:rsidR="001A5AEF" w14:paraId="636E08D1" w14:textId="77777777" w:rsidTr="00842B23">
        <w:tc>
          <w:tcPr>
            <w:tcW w:w="1167" w:type="dxa"/>
          </w:tcPr>
          <w:p w14:paraId="636E08CE" w14:textId="7902E09E" w:rsidR="001A5AEF" w:rsidRDefault="001A5AEF" w:rsidP="00DF251E">
            <w:pPr>
              <w:pStyle w:val="TAC"/>
              <w:rPr>
                <w:lang w:eastAsia="ko-KR"/>
              </w:rPr>
            </w:pPr>
          </w:p>
        </w:tc>
        <w:tc>
          <w:tcPr>
            <w:tcW w:w="1979" w:type="dxa"/>
          </w:tcPr>
          <w:p w14:paraId="636E08CF" w14:textId="799234DC" w:rsidR="001A5AEF" w:rsidRDefault="001A5AEF" w:rsidP="00DF251E">
            <w:pPr>
              <w:pStyle w:val="TAC"/>
              <w:rPr>
                <w:lang w:eastAsia="ko-KR"/>
              </w:rPr>
            </w:pPr>
          </w:p>
        </w:tc>
        <w:tc>
          <w:tcPr>
            <w:tcW w:w="6483" w:type="dxa"/>
          </w:tcPr>
          <w:p w14:paraId="636E08D0" w14:textId="77D676A3" w:rsidR="001A5AEF" w:rsidRDefault="001A5AEF" w:rsidP="00DF251E">
            <w:pPr>
              <w:pStyle w:val="TAL"/>
              <w:rPr>
                <w:lang w:eastAsia="ko-KR"/>
              </w:rPr>
            </w:pP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55BFE70" w:rsidR="001A5AEF" w:rsidRDefault="00577423" w:rsidP="001A5AEF">
      <w:pPr>
        <w:pStyle w:val="Heading2"/>
        <w:rPr>
          <w:lang w:eastAsia="ko-KR"/>
        </w:rPr>
      </w:pPr>
      <w:r>
        <w:rPr>
          <w:lang w:eastAsia="ko-KR"/>
        </w:rPr>
        <w:t>3</w:t>
      </w:r>
      <w:r w:rsidR="001A5AEF">
        <w:rPr>
          <w:lang w:eastAsia="ko-KR"/>
        </w:rPr>
        <w:t>.4</w:t>
      </w:r>
      <w:r w:rsidR="001A5AEF">
        <w:rPr>
          <w:lang w:eastAsia="ko-KR"/>
        </w:rPr>
        <w:tab/>
      </w:r>
      <w:r w:rsidR="00920B5D" w:rsidRPr="00920B5D">
        <w:rPr>
          <w:lang w:eastAsia="ko-KR"/>
        </w:rPr>
        <w:t>Clarification for bundling transmission</w:t>
      </w:r>
    </w:p>
    <w:p w14:paraId="217B6DD4" w14:textId="55D9C27F" w:rsidR="00920B5D" w:rsidRDefault="00920B5D" w:rsidP="00920B5D">
      <w:pPr>
        <w:pStyle w:val="Doc-title"/>
      </w:pPr>
      <w:r w:rsidRPr="00920B5D">
        <w:t>R2-2010418</w:t>
      </w:r>
      <w:r>
        <w:tab/>
        <w:t>Clarification for bundling transmission</w:t>
      </w:r>
      <w:r>
        <w:tab/>
        <w:t>ASUSTeK</w:t>
      </w:r>
      <w:r>
        <w:tab/>
        <w:t>CR</w:t>
      </w:r>
      <w:r>
        <w:tab/>
        <w:t>Rel-15</w:t>
      </w:r>
      <w:r>
        <w:tab/>
        <w:t>38.321</w:t>
      </w:r>
      <w:r>
        <w:tab/>
        <w:t>15.10.0</w:t>
      </w:r>
      <w:r>
        <w:tab/>
        <w:t>0983</w:t>
      </w:r>
      <w:r>
        <w:tab/>
        <w:t>-</w:t>
      </w:r>
      <w:r>
        <w:tab/>
        <w:t>F</w:t>
      </w:r>
      <w:r>
        <w:tab/>
        <w:t>NR_newRAT-Core</w:t>
      </w:r>
    </w:p>
    <w:p w14:paraId="636E08DD"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7777777" w:rsidR="001A5AEF" w:rsidRDefault="005E4539" w:rsidP="00DF251E">
            <w:pPr>
              <w:pStyle w:val="TAC"/>
              <w:rPr>
                <w:lang w:eastAsia="ko-KR"/>
              </w:rPr>
            </w:pPr>
            <w:r w:rsidRPr="005E4539">
              <w:rPr>
                <w:lang w:eastAsia="ko-KR"/>
              </w:rPr>
              <w:t>Samsung</w:t>
            </w:r>
          </w:p>
        </w:tc>
        <w:tc>
          <w:tcPr>
            <w:tcW w:w="1985" w:type="dxa"/>
          </w:tcPr>
          <w:p w14:paraId="636E08E3" w14:textId="5BB5C8F9" w:rsidR="001A5AEF" w:rsidRDefault="00920B5D" w:rsidP="00DF251E">
            <w:pPr>
              <w:pStyle w:val="TAC"/>
              <w:rPr>
                <w:lang w:eastAsia="ko-KR"/>
              </w:rPr>
            </w:pPr>
            <w:r w:rsidRPr="00920B5D">
              <w:rPr>
                <w:lang w:eastAsia="ko-KR"/>
              </w:rPr>
              <w:t>Agree as is</w:t>
            </w:r>
            <w:r w:rsidR="001130C3">
              <w:rPr>
                <w:lang w:eastAsia="ko-KR"/>
              </w:rPr>
              <w:t xml:space="preserve"> (Rel-15)</w:t>
            </w:r>
          </w:p>
        </w:tc>
        <w:tc>
          <w:tcPr>
            <w:tcW w:w="6515" w:type="dxa"/>
          </w:tcPr>
          <w:p w14:paraId="636E08ED" w14:textId="4F10A49C" w:rsidR="005E4539" w:rsidRDefault="00920B5D" w:rsidP="0095501C">
            <w:pPr>
              <w:pStyle w:val="TAL"/>
              <w:rPr>
                <w:lang w:eastAsia="ko-KR"/>
              </w:rPr>
            </w:pPr>
            <w:r>
              <w:rPr>
                <w:lang w:eastAsia="ko-KR"/>
              </w:rPr>
              <w:t>We are fine with the change which is more accurate.</w:t>
            </w:r>
            <w:r w:rsidR="001130C3">
              <w:rPr>
                <w:lang w:eastAsia="ko-KR"/>
              </w:rPr>
              <w:t xml:space="preserve"> In addition, we recognize that separate CRs </w:t>
            </w:r>
            <w:r w:rsidR="0095501C">
              <w:rPr>
                <w:lang w:eastAsia="ko-KR"/>
              </w:rPr>
              <w:t xml:space="preserve">(with some </w:t>
            </w:r>
            <w:proofErr w:type="spellStart"/>
            <w:r w:rsidR="0095501C">
              <w:rPr>
                <w:lang w:eastAsia="ko-KR"/>
              </w:rPr>
              <w:t>additioinal</w:t>
            </w:r>
            <w:proofErr w:type="spellEnd"/>
            <w:r w:rsidR="0095501C">
              <w:rPr>
                <w:lang w:eastAsia="ko-KR"/>
              </w:rPr>
              <w:t xml:space="preserve"> changes) </w:t>
            </w:r>
            <w:r w:rsidR="001130C3">
              <w:rPr>
                <w:lang w:eastAsia="ko-KR"/>
              </w:rPr>
              <w:t>for Rel-16 were submitted this meeting, so Rel-16 can be discussed separately (i.e. not in this thread).</w:t>
            </w:r>
          </w:p>
        </w:tc>
      </w:tr>
      <w:tr w:rsidR="001A5AEF" w14:paraId="636E08F3" w14:textId="77777777" w:rsidTr="000C1942">
        <w:tc>
          <w:tcPr>
            <w:tcW w:w="1129" w:type="dxa"/>
          </w:tcPr>
          <w:p w14:paraId="636E08EF" w14:textId="03901A71" w:rsidR="001A5AEF" w:rsidRDefault="001A5AEF" w:rsidP="00DF251E">
            <w:pPr>
              <w:pStyle w:val="TAC"/>
              <w:rPr>
                <w:lang w:eastAsia="ko-KR"/>
              </w:rPr>
            </w:pPr>
          </w:p>
        </w:tc>
        <w:tc>
          <w:tcPr>
            <w:tcW w:w="1985" w:type="dxa"/>
          </w:tcPr>
          <w:p w14:paraId="636E08F0" w14:textId="6A02AC12" w:rsidR="001A5AEF" w:rsidRDefault="001A5AEF" w:rsidP="00DF251E">
            <w:pPr>
              <w:pStyle w:val="TAC"/>
              <w:rPr>
                <w:lang w:eastAsia="ko-KR"/>
              </w:rPr>
            </w:pPr>
          </w:p>
        </w:tc>
        <w:tc>
          <w:tcPr>
            <w:tcW w:w="6515" w:type="dxa"/>
          </w:tcPr>
          <w:p w14:paraId="636E08F2" w14:textId="41F18832" w:rsidR="0080457B" w:rsidRPr="00A344D8" w:rsidRDefault="0080457B" w:rsidP="00A344D8">
            <w:pPr>
              <w:pStyle w:val="TAL"/>
              <w:rPr>
                <w:lang w:eastAsia="ko-KR"/>
              </w:rPr>
            </w:pPr>
          </w:p>
        </w:tc>
      </w:tr>
      <w:tr w:rsidR="007561D5" w14:paraId="636E08F7" w14:textId="77777777" w:rsidTr="000C1942">
        <w:tc>
          <w:tcPr>
            <w:tcW w:w="1129" w:type="dxa"/>
          </w:tcPr>
          <w:p w14:paraId="636E08F4" w14:textId="7D53AE5C" w:rsidR="007561D5" w:rsidRPr="00F46159" w:rsidRDefault="007561D5" w:rsidP="007561D5">
            <w:pPr>
              <w:pStyle w:val="TAC"/>
              <w:rPr>
                <w:rFonts w:eastAsia="SimSun"/>
                <w:lang w:eastAsia="zh-CN"/>
              </w:rPr>
            </w:pPr>
          </w:p>
        </w:tc>
        <w:tc>
          <w:tcPr>
            <w:tcW w:w="1985" w:type="dxa"/>
          </w:tcPr>
          <w:p w14:paraId="636E08F5" w14:textId="6DC36DAE" w:rsidR="007561D5" w:rsidRPr="007561D5" w:rsidRDefault="007561D5" w:rsidP="007561D5">
            <w:pPr>
              <w:pStyle w:val="TAC"/>
              <w:rPr>
                <w:rFonts w:eastAsia="SimSun"/>
                <w:lang w:eastAsia="zh-CN"/>
              </w:rPr>
            </w:pPr>
          </w:p>
        </w:tc>
        <w:tc>
          <w:tcPr>
            <w:tcW w:w="6515" w:type="dxa"/>
          </w:tcPr>
          <w:p w14:paraId="636E08F6" w14:textId="4A5303BE" w:rsidR="007561D5" w:rsidRPr="004F6EA9" w:rsidRDefault="007561D5" w:rsidP="007561D5">
            <w:pPr>
              <w:pStyle w:val="TAL"/>
              <w:rPr>
                <w:rFonts w:eastAsia="SimSun"/>
                <w:lang w:eastAsia="zh-CN"/>
              </w:rPr>
            </w:pPr>
          </w:p>
        </w:tc>
      </w:tr>
      <w:tr w:rsidR="001A5AEF" w14:paraId="636E08FB" w14:textId="77777777" w:rsidTr="000C1942">
        <w:tc>
          <w:tcPr>
            <w:tcW w:w="1129" w:type="dxa"/>
          </w:tcPr>
          <w:p w14:paraId="636E08F8" w14:textId="7EE9D8B3" w:rsidR="001A5AEF" w:rsidRDefault="001A5AEF" w:rsidP="00DF251E">
            <w:pPr>
              <w:pStyle w:val="TAC"/>
              <w:rPr>
                <w:lang w:eastAsia="ko-KR"/>
              </w:rPr>
            </w:pPr>
          </w:p>
        </w:tc>
        <w:tc>
          <w:tcPr>
            <w:tcW w:w="1985" w:type="dxa"/>
          </w:tcPr>
          <w:p w14:paraId="636E08F9" w14:textId="6B10CF33" w:rsidR="001A5AEF" w:rsidRDefault="001A5AEF" w:rsidP="00DF251E">
            <w:pPr>
              <w:pStyle w:val="TAC"/>
              <w:rPr>
                <w:lang w:eastAsia="ko-KR"/>
              </w:rPr>
            </w:pPr>
          </w:p>
        </w:tc>
        <w:tc>
          <w:tcPr>
            <w:tcW w:w="6515" w:type="dxa"/>
          </w:tcPr>
          <w:p w14:paraId="636E08FA" w14:textId="0E54ECE5" w:rsidR="001A5AEF" w:rsidRDefault="001A5AEF" w:rsidP="00DF251E">
            <w:pPr>
              <w:pStyle w:val="TAL"/>
              <w:rPr>
                <w:lang w:eastAsia="ko-KR"/>
              </w:rPr>
            </w:pP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798D3052" w:rsidR="001A5AEF" w:rsidRDefault="00577423" w:rsidP="001A5AEF">
      <w:pPr>
        <w:pStyle w:val="Heading2"/>
        <w:rPr>
          <w:lang w:eastAsia="ko-KR"/>
        </w:rPr>
      </w:pPr>
      <w:r>
        <w:rPr>
          <w:lang w:eastAsia="ko-KR"/>
        </w:rPr>
        <w:t>3</w:t>
      </w:r>
      <w:r w:rsidR="001A5AEF">
        <w:rPr>
          <w:lang w:eastAsia="ko-KR"/>
        </w:rPr>
        <w:t>.5</w:t>
      </w:r>
      <w:r w:rsidR="001A5AEF">
        <w:rPr>
          <w:lang w:eastAsia="ko-KR"/>
        </w:rPr>
        <w:tab/>
      </w:r>
      <w:r w:rsidR="00920B5D" w:rsidRPr="00920B5D">
        <w:rPr>
          <w:lang w:eastAsia="ko-KR"/>
        </w:rPr>
        <w:t>Consistent use of terminology for bundling in MAC</w:t>
      </w:r>
    </w:p>
    <w:p w14:paraId="57260E92" w14:textId="1A116633" w:rsidR="00920B5D" w:rsidRDefault="00920B5D" w:rsidP="00920B5D">
      <w:pPr>
        <w:pStyle w:val="Doc-title"/>
      </w:pPr>
      <w:r w:rsidRPr="00920B5D">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636E0905"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77777777" w:rsidR="00920B5D" w:rsidRDefault="00920B5D" w:rsidP="00920B5D">
            <w:pPr>
              <w:pStyle w:val="TAC"/>
              <w:rPr>
                <w:lang w:eastAsia="ko-KR"/>
              </w:rPr>
            </w:pPr>
            <w:r>
              <w:rPr>
                <w:lang w:eastAsia="ko-KR"/>
              </w:rPr>
              <w:t>Samsung</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B19F2AD" w:rsidR="00920B5D" w:rsidRDefault="00920B5D" w:rsidP="00920B5D">
            <w:pPr>
              <w:pStyle w:val="TAL"/>
              <w:rPr>
                <w:lang w:eastAsia="ko-KR"/>
              </w:rPr>
            </w:pPr>
            <w:r>
              <w:rPr>
                <w:lang w:eastAsia="ko-KR"/>
              </w:rPr>
              <w:t>We are fine with the change</w:t>
            </w:r>
            <w:r>
              <w:rPr>
                <w:lang w:eastAsia="ko-KR"/>
              </w:rPr>
              <w:t>s</w:t>
            </w:r>
            <w:r w:rsidR="001130C3">
              <w:rPr>
                <w:lang w:eastAsia="ko-KR"/>
              </w:rPr>
              <w:t xml:space="preserve">, and </w:t>
            </w:r>
            <w:r w:rsidR="0095501C">
              <w:rPr>
                <w:lang w:eastAsia="ko-KR"/>
              </w:rPr>
              <w:t xml:space="preserve">it would be </w:t>
            </w:r>
            <w:r w:rsidR="001130C3">
              <w:rPr>
                <w:lang w:eastAsia="ko-KR"/>
              </w:rPr>
              <w:t xml:space="preserve">good to correct </w:t>
            </w:r>
            <w:r w:rsidR="0095501C">
              <w:rPr>
                <w:lang w:eastAsia="ko-KR"/>
              </w:rPr>
              <w:t>them</w:t>
            </w:r>
            <w:r w:rsidR="001130C3">
              <w:rPr>
                <w:lang w:eastAsia="ko-KR"/>
              </w:rPr>
              <w:t xml:space="preserve"> from Rel-15</w:t>
            </w:r>
            <w:r>
              <w:rPr>
                <w:lang w:eastAsia="ko-KR"/>
              </w:rPr>
              <w:t>.</w:t>
            </w:r>
          </w:p>
          <w:p w14:paraId="1A10F391" w14:textId="77777777" w:rsidR="00920B5D" w:rsidRDefault="00920B5D" w:rsidP="00920B5D">
            <w:pPr>
              <w:pStyle w:val="TAL"/>
              <w:rPr>
                <w:lang w:eastAsia="ko-KR"/>
              </w:rPr>
            </w:pPr>
          </w:p>
          <w:p w14:paraId="636E090C" w14:textId="48CFBD1F" w:rsidR="00920B5D" w:rsidRDefault="00920B5D" w:rsidP="00920B5D">
            <w:pPr>
              <w:pStyle w:val="TAL"/>
              <w:rPr>
                <w:lang w:eastAsia="ko-KR"/>
              </w:rPr>
            </w:pPr>
            <w:r>
              <w:rPr>
                <w:lang w:eastAsia="ko-KR"/>
              </w:rPr>
              <w:t xml:space="preserve">Another </w:t>
            </w:r>
            <w:r w:rsidRPr="00920B5D">
              <w:rPr>
                <w:lang w:eastAsia="ko-KR"/>
              </w:rPr>
              <w:t xml:space="preserve">terminology </w:t>
            </w:r>
            <w:r>
              <w:rPr>
                <w:lang w:eastAsia="ko-KR"/>
              </w:rPr>
              <w:t>issue: the term "RACH procedure" in subclause 5.12 can be fixed to "Random Access procedure", and can be added to the CR.</w:t>
            </w:r>
          </w:p>
        </w:tc>
      </w:tr>
      <w:tr w:rsidR="001A5AEF" w14:paraId="636E0911" w14:textId="77777777" w:rsidTr="00F1357D">
        <w:tc>
          <w:tcPr>
            <w:tcW w:w="1167" w:type="dxa"/>
          </w:tcPr>
          <w:p w14:paraId="636E090E" w14:textId="30DB00B3" w:rsidR="001A5AEF" w:rsidRDefault="001A5AEF" w:rsidP="00DF251E">
            <w:pPr>
              <w:pStyle w:val="TAC"/>
              <w:rPr>
                <w:lang w:eastAsia="ko-KR"/>
              </w:rPr>
            </w:pPr>
          </w:p>
        </w:tc>
        <w:tc>
          <w:tcPr>
            <w:tcW w:w="1979" w:type="dxa"/>
          </w:tcPr>
          <w:p w14:paraId="636E090F" w14:textId="06882AB4" w:rsidR="001A5AEF" w:rsidRDefault="001A5AEF" w:rsidP="00DF251E">
            <w:pPr>
              <w:pStyle w:val="TAC"/>
              <w:rPr>
                <w:lang w:eastAsia="ko-KR"/>
              </w:rPr>
            </w:pPr>
          </w:p>
        </w:tc>
        <w:tc>
          <w:tcPr>
            <w:tcW w:w="6483" w:type="dxa"/>
          </w:tcPr>
          <w:p w14:paraId="636E0910" w14:textId="6107E279" w:rsidR="001A5AEF" w:rsidRDefault="001A5AEF" w:rsidP="00A04B82">
            <w:pPr>
              <w:pStyle w:val="TAL"/>
              <w:rPr>
                <w:lang w:eastAsia="ko-KR"/>
              </w:rPr>
            </w:pPr>
          </w:p>
        </w:tc>
      </w:tr>
      <w:tr w:rsidR="00F07BF1" w14:paraId="636E0915" w14:textId="77777777" w:rsidTr="00F1357D">
        <w:tc>
          <w:tcPr>
            <w:tcW w:w="1167" w:type="dxa"/>
          </w:tcPr>
          <w:p w14:paraId="636E0912" w14:textId="2EFDE632" w:rsidR="00F07BF1" w:rsidRPr="001F5FF0" w:rsidRDefault="00F07BF1" w:rsidP="00F07BF1">
            <w:pPr>
              <w:pStyle w:val="TAC"/>
              <w:rPr>
                <w:rFonts w:eastAsia="SimSun"/>
                <w:lang w:eastAsia="zh-CN"/>
              </w:rPr>
            </w:pPr>
          </w:p>
        </w:tc>
        <w:tc>
          <w:tcPr>
            <w:tcW w:w="1979" w:type="dxa"/>
          </w:tcPr>
          <w:p w14:paraId="636E0913" w14:textId="672C7127" w:rsidR="00F07BF1" w:rsidRPr="001F5FF0" w:rsidRDefault="00F07BF1" w:rsidP="00F07BF1">
            <w:pPr>
              <w:pStyle w:val="TAC"/>
              <w:rPr>
                <w:rFonts w:eastAsia="SimSun"/>
                <w:lang w:eastAsia="zh-CN"/>
              </w:rPr>
            </w:pPr>
          </w:p>
        </w:tc>
        <w:tc>
          <w:tcPr>
            <w:tcW w:w="6483" w:type="dxa"/>
          </w:tcPr>
          <w:p w14:paraId="636E0914" w14:textId="5CB6AD8A" w:rsidR="00F07BF1" w:rsidRPr="00F07BF1" w:rsidRDefault="00F07BF1" w:rsidP="00F07BF1">
            <w:pPr>
              <w:pStyle w:val="TAL"/>
              <w:rPr>
                <w:rFonts w:eastAsia="SimSun"/>
                <w:lang w:eastAsia="zh-CN"/>
              </w:rPr>
            </w:pPr>
          </w:p>
        </w:tc>
      </w:tr>
      <w:tr w:rsidR="001A5AEF" w14:paraId="636E0919" w14:textId="77777777" w:rsidTr="00F1357D">
        <w:tc>
          <w:tcPr>
            <w:tcW w:w="1167" w:type="dxa"/>
          </w:tcPr>
          <w:p w14:paraId="636E0916" w14:textId="41E960B0" w:rsidR="001A5AEF" w:rsidRDefault="001A5AEF" w:rsidP="00DF251E">
            <w:pPr>
              <w:pStyle w:val="TAC"/>
              <w:rPr>
                <w:lang w:eastAsia="ko-KR"/>
              </w:rPr>
            </w:pPr>
          </w:p>
        </w:tc>
        <w:tc>
          <w:tcPr>
            <w:tcW w:w="1979" w:type="dxa"/>
          </w:tcPr>
          <w:p w14:paraId="636E0917" w14:textId="676C5442" w:rsidR="001A5AEF" w:rsidRDefault="001A5AEF" w:rsidP="00DF251E">
            <w:pPr>
              <w:pStyle w:val="TAC"/>
              <w:rPr>
                <w:lang w:eastAsia="ko-KR"/>
              </w:rPr>
            </w:pP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3538C4BA" w:rsidR="00920B5D" w:rsidRDefault="00920B5D" w:rsidP="00920B5D">
      <w:pPr>
        <w:pStyle w:val="Heading2"/>
        <w:rPr>
          <w:lang w:eastAsia="ko-KR"/>
        </w:rPr>
      </w:pPr>
      <w:r>
        <w:rPr>
          <w:lang w:eastAsia="ko-KR"/>
        </w:rPr>
        <w:t>3.</w:t>
      </w:r>
      <w:r>
        <w:rPr>
          <w:lang w:eastAsia="ko-KR"/>
        </w:rPr>
        <w:t>6</w:t>
      </w:r>
      <w:r>
        <w:rPr>
          <w:lang w:eastAsia="ko-KR"/>
        </w:rPr>
        <w:tab/>
      </w:r>
      <w:r w:rsidRPr="00920B5D">
        <w:rPr>
          <w:lang w:eastAsia="ko-KR"/>
        </w:rPr>
        <w:t>PHR reporting for PUSCH skipping</w:t>
      </w:r>
    </w:p>
    <w:p w14:paraId="79191CEF" w14:textId="3E6EF910" w:rsidR="00920B5D" w:rsidRDefault="00920B5D" w:rsidP="00920B5D">
      <w:pPr>
        <w:pStyle w:val="Doc-title"/>
      </w:pPr>
      <w:r w:rsidRPr="00920B5D">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0488A522" w14:textId="77777777" w:rsidR="00920B5D" w:rsidRDefault="00920B5D" w:rsidP="00920B5D">
      <w:pPr>
        <w:rPr>
          <w:lang w:eastAsia="ko-KR"/>
        </w:rPr>
      </w:pPr>
    </w:p>
    <w:tbl>
      <w:tblPr>
        <w:tblStyle w:val="TableGrid"/>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77777777" w:rsidR="00920B5D" w:rsidRDefault="00920B5D" w:rsidP="00C04487">
            <w:pPr>
              <w:pStyle w:val="TAC"/>
              <w:rPr>
                <w:lang w:eastAsia="ko-KR"/>
              </w:rPr>
            </w:pPr>
            <w:r>
              <w:rPr>
                <w:lang w:eastAsia="ko-KR"/>
              </w:rPr>
              <w:t>Samsung</w:t>
            </w:r>
          </w:p>
        </w:tc>
        <w:tc>
          <w:tcPr>
            <w:tcW w:w="1979" w:type="dxa"/>
          </w:tcPr>
          <w:p w14:paraId="21D623E4" w14:textId="09E32D7E" w:rsidR="00920B5D" w:rsidRDefault="00920B5D" w:rsidP="00C04487">
            <w:pPr>
              <w:pStyle w:val="TAC"/>
              <w:rPr>
                <w:lang w:eastAsia="ko-KR"/>
              </w:rPr>
            </w:pPr>
            <w:r w:rsidRPr="00920B5D">
              <w:rPr>
                <w:lang w:eastAsia="ko-KR"/>
              </w:rPr>
              <w:t>Agree as is</w:t>
            </w:r>
            <w:r w:rsidR="001130C3">
              <w:rPr>
                <w:lang w:eastAsia="ko-KR"/>
              </w:rPr>
              <w:t xml:space="preserve"> (Rel-16)</w:t>
            </w:r>
          </w:p>
        </w:tc>
        <w:tc>
          <w:tcPr>
            <w:tcW w:w="6483" w:type="dxa"/>
          </w:tcPr>
          <w:p w14:paraId="2F2BB4A0" w14:textId="1A8B7C8C" w:rsidR="00920B5D" w:rsidRDefault="001130C3" w:rsidP="0095501C">
            <w:pPr>
              <w:pStyle w:val="TAL"/>
              <w:rPr>
                <w:lang w:eastAsia="ko-KR"/>
              </w:rPr>
            </w:pPr>
            <w:r w:rsidRPr="001130C3">
              <w:rPr>
                <w:lang w:eastAsia="ko-KR"/>
              </w:rPr>
              <w:t>The changes are correct</w:t>
            </w:r>
            <w:r>
              <w:rPr>
                <w:lang w:eastAsia="ko-KR"/>
              </w:rPr>
              <w:t>, as</w:t>
            </w:r>
            <w:r w:rsidRPr="001130C3">
              <w:rPr>
                <w:lang w:eastAsia="ko-KR"/>
              </w:rPr>
              <w:t xml:space="preserve"> it cannot set PCMAX value </w:t>
            </w:r>
            <w:r>
              <w:rPr>
                <w:lang w:eastAsia="ko-KR"/>
              </w:rPr>
              <w:t>in such scenario</w:t>
            </w:r>
            <w:r w:rsidRPr="001130C3">
              <w:rPr>
                <w:lang w:eastAsia="ko-KR"/>
              </w:rPr>
              <w:t>.</w:t>
            </w:r>
            <w:r>
              <w:rPr>
                <w:lang w:eastAsia="ko-KR"/>
              </w:rPr>
              <w:t xml:space="preserve"> Since the skipping behaviour </w:t>
            </w:r>
            <w:r w:rsidR="0095501C">
              <w:rPr>
                <w:lang w:eastAsia="ko-KR"/>
              </w:rPr>
              <w:t>will be</w:t>
            </w:r>
            <w:r>
              <w:rPr>
                <w:lang w:eastAsia="ko-KR"/>
              </w:rPr>
              <w:t xml:space="preserve"> clarified from Rel-16, Rel-16 CR would be sufficient.</w:t>
            </w:r>
            <w:bookmarkStart w:id="2" w:name="_GoBack"/>
            <w:bookmarkEnd w:id="2"/>
          </w:p>
        </w:tc>
      </w:tr>
      <w:tr w:rsidR="00920B5D" w14:paraId="0A57B51D" w14:textId="77777777" w:rsidTr="00C04487">
        <w:tc>
          <w:tcPr>
            <w:tcW w:w="1167" w:type="dxa"/>
          </w:tcPr>
          <w:p w14:paraId="0672436B" w14:textId="77777777" w:rsidR="00920B5D" w:rsidRDefault="00920B5D" w:rsidP="00C04487">
            <w:pPr>
              <w:pStyle w:val="TAC"/>
              <w:rPr>
                <w:lang w:eastAsia="ko-KR"/>
              </w:rPr>
            </w:pPr>
          </w:p>
        </w:tc>
        <w:tc>
          <w:tcPr>
            <w:tcW w:w="1979" w:type="dxa"/>
          </w:tcPr>
          <w:p w14:paraId="68910AE1" w14:textId="77777777" w:rsidR="00920B5D" w:rsidRDefault="00920B5D" w:rsidP="00C04487">
            <w:pPr>
              <w:pStyle w:val="TAC"/>
              <w:rPr>
                <w:lang w:eastAsia="ko-KR"/>
              </w:rPr>
            </w:pPr>
          </w:p>
        </w:tc>
        <w:tc>
          <w:tcPr>
            <w:tcW w:w="6483" w:type="dxa"/>
          </w:tcPr>
          <w:p w14:paraId="1F5B3D9F" w14:textId="77777777" w:rsidR="00920B5D" w:rsidRDefault="00920B5D" w:rsidP="00C04487">
            <w:pPr>
              <w:pStyle w:val="TAL"/>
              <w:rPr>
                <w:lang w:eastAsia="ko-KR"/>
              </w:rPr>
            </w:pPr>
          </w:p>
        </w:tc>
      </w:tr>
      <w:tr w:rsidR="00920B5D" w14:paraId="66CA6A7B" w14:textId="77777777" w:rsidTr="00C04487">
        <w:tc>
          <w:tcPr>
            <w:tcW w:w="1167" w:type="dxa"/>
          </w:tcPr>
          <w:p w14:paraId="61CBBD6D" w14:textId="77777777" w:rsidR="00920B5D" w:rsidRPr="001F5FF0" w:rsidRDefault="00920B5D" w:rsidP="00C04487">
            <w:pPr>
              <w:pStyle w:val="TAC"/>
              <w:rPr>
                <w:rFonts w:eastAsia="SimSun"/>
                <w:lang w:eastAsia="zh-CN"/>
              </w:rPr>
            </w:pPr>
          </w:p>
        </w:tc>
        <w:tc>
          <w:tcPr>
            <w:tcW w:w="1979" w:type="dxa"/>
          </w:tcPr>
          <w:p w14:paraId="602ED8A9" w14:textId="77777777" w:rsidR="00920B5D" w:rsidRPr="001F5FF0" w:rsidRDefault="00920B5D" w:rsidP="00C04487">
            <w:pPr>
              <w:pStyle w:val="TAC"/>
              <w:rPr>
                <w:rFonts w:eastAsia="SimSun"/>
                <w:lang w:eastAsia="zh-CN"/>
              </w:rPr>
            </w:pPr>
          </w:p>
        </w:tc>
        <w:tc>
          <w:tcPr>
            <w:tcW w:w="6483" w:type="dxa"/>
          </w:tcPr>
          <w:p w14:paraId="003AB1FA" w14:textId="77777777" w:rsidR="00920B5D" w:rsidRPr="00F07BF1" w:rsidRDefault="00920B5D" w:rsidP="00C04487">
            <w:pPr>
              <w:pStyle w:val="TAL"/>
              <w:rPr>
                <w:rFonts w:eastAsia="SimSun"/>
                <w:lang w:eastAsia="zh-CN"/>
              </w:rPr>
            </w:pPr>
          </w:p>
        </w:tc>
      </w:tr>
      <w:tr w:rsidR="00920B5D" w14:paraId="78849664" w14:textId="77777777" w:rsidTr="00C04487">
        <w:tc>
          <w:tcPr>
            <w:tcW w:w="1167" w:type="dxa"/>
          </w:tcPr>
          <w:p w14:paraId="7E63E665" w14:textId="77777777" w:rsidR="00920B5D" w:rsidRDefault="00920B5D" w:rsidP="00C04487">
            <w:pPr>
              <w:pStyle w:val="TAC"/>
              <w:rPr>
                <w:lang w:eastAsia="ko-KR"/>
              </w:rPr>
            </w:pPr>
          </w:p>
        </w:tc>
        <w:tc>
          <w:tcPr>
            <w:tcW w:w="1979" w:type="dxa"/>
          </w:tcPr>
          <w:p w14:paraId="598AA6A1" w14:textId="77777777" w:rsidR="00920B5D" w:rsidRDefault="00920B5D" w:rsidP="00C04487">
            <w:pPr>
              <w:pStyle w:val="TAC"/>
              <w:rPr>
                <w:lang w:eastAsia="ko-KR"/>
              </w:rPr>
            </w:pPr>
          </w:p>
        </w:tc>
        <w:tc>
          <w:tcPr>
            <w:tcW w:w="6483" w:type="dxa"/>
          </w:tcPr>
          <w:p w14:paraId="372744BB" w14:textId="77777777" w:rsidR="00920B5D" w:rsidRDefault="00920B5D" w:rsidP="00C04487">
            <w:pPr>
              <w:pStyle w:val="TAL"/>
              <w:rPr>
                <w:lang w:eastAsia="ko-KR"/>
              </w:rPr>
            </w:pPr>
          </w:p>
        </w:tc>
      </w:tr>
      <w:tr w:rsidR="00920B5D" w14:paraId="1E097927" w14:textId="77777777" w:rsidTr="00C04487">
        <w:tc>
          <w:tcPr>
            <w:tcW w:w="1167" w:type="dxa"/>
          </w:tcPr>
          <w:p w14:paraId="118A8014" w14:textId="77777777" w:rsidR="00920B5D" w:rsidRDefault="00920B5D" w:rsidP="00C04487">
            <w:pPr>
              <w:pStyle w:val="TAC"/>
              <w:rPr>
                <w:lang w:eastAsia="ko-KR"/>
              </w:rPr>
            </w:pPr>
          </w:p>
        </w:tc>
        <w:tc>
          <w:tcPr>
            <w:tcW w:w="1979" w:type="dxa"/>
          </w:tcPr>
          <w:p w14:paraId="09603B96" w14:textId="77777777" w:rsidR="00920B5D" w:rsidRDefault="00920B5D" w:rsidP="00C04487">
            <w:pPr>
              <w:pStyle w:val="TAC"/>
              <w:rPr>
                <w:lang w:eastAsia="ko-KR"/>
              </w:rPr>
            </w:pPr>
          </w:p>
        </w:tc>
        <w:tc>
          <w:tcPr>
            <w:tcW w:w="6483" w:type="dxa"/>
          </w:tcPr>
          <w:p w14:paraId="4BDAA56F" w14:textId="77777777" w:rsidR="00920B5D" w:rsidRDefault="00920B5D" w:rsidP="00C04487">
            <w:pPr>
              <w:pStyle w:val="TAL"/>
              <w:rPr>
                <w:lang w:eastAsia="ko-KR"/>
              </w:rPr>
            </w:pPr>
          </w:p>
        </w:tc>
      </w:tr>
      <w:tr w:rsidR="00920B5D" w14:paraId="3FBBCEE6" w14:textId="77777777" w:rsidTr="00C04487">
        <w:tc>
          <w:tcPr>
            <w:tcW w:w="1167" w:type="dxa"/>
          </w:tcPr>
          <w:p w14:paraId="6C79A13C" w14:textId="77777777" w:rsidR="00920B5D" w:rsidRDefault="00920B5D" w:rsidP="00C04487">
            <w:pPr>
              <w:pStyle w:val="TAC"/>
              <w:rPr>
                <w:lang w:eastAsia="ko-KR"/>
              </w:rPr>
            </w:pPr>
          </w:p>
        </w:tc>
        <w:tc>
          <w:tcPr>
            <w:tcW w:w="1979" w:type="dxa"/>
          </w:tcPr>
          <w:p w14:paraId="112B735C" w14:textId="77777777" w:rsidR="00920B5D" w:rsidRDefault="00920B5D" w:rsidP="00C04487">
            <w:pPr>
              <w:pStyle w:val="TAC"/>
              <w:rPr>
                <w:lang w:eastAsia="ko-KR"/>
              </w:rPr>
            </w:pPr>
          </w:p>
        </w:tc>
        <w:tc>
          <w:tcPr>
            <w:tcW w:w="6483" w:type="dxa"/>
          </w:tcPr>
          <w:p w14:paraId="4AF54DF0" w14:textId="77777777" w:rsidR="00920B5D" w:rsidRDefault="00920B5D" w:rsidP="00C04487">
            <w:pPr>
              <w:pStyle w:val="TAL"/>
              <w:rPr>
                <w:lang w:eastAsia="ko-KR"/>
              </w:rPr>
            </w:pPr>
          </w:p>
        </w:tc>
      </w:tr>
      <w:tr w:rsidR="00920B5D" w14:paraId="5223BE66" w14:textId="77777777" w:rsidTr="00C04487">
        <w:tc>
          <w:tcPr>
            <w:tcW w:w="1167" w:type="dxa"/>
          </w:tcPr>
          <w:p w14:paraId="22FD17D0" w14:textId="77777777" w:rsidR="00920B5D" w:rsidRDefault="00920B5D" w:rsidP="00C04487">
            <w:pPr>
              <w:pStyle w:val="TAC"/>
              <w:rPr>
                <w:lang w:eastAsia="ko-KR"/>
              </w:rPr>
            </w:pPr>
          </w:p>
        </w:tc>
        <w:tc>
          <w:tcPr>
            <w:tcW w:w="1979" w:type="dxa"/>
          </w:tcPr>
          <w:p w14:paraId="62873A43" w14:textId="77777777" w:rsidR="00920B5D" w:rsidRDefault="00920B5D" w:rsidP="00C04487">
            <w:pPr>
              <w:pStyle w:val="TAC"/>
              <w:rPr>
                <w:lang w:eastAsia="ko-KR"/>
              </w:rPr>
            </w:pPr>
          </w:p>
        </w:tc>
        <w:tc>
          <w:tcPr>
            <w:tcW w:w="6483" w:type="dxa"/>
          </w:tcPr>
          <w:p w14:paraId="78D302EA" w14:textId="77777777" w:rsidR="00920B5D" w:rsidRDefault="00920B5D" w:rsidP="00C04487">
            <w:pPr>
              <w:pStyle w:val="TAL"/>
              <w:rPr>
                <w:lang w:eastAsia="ko-KR"/>
              </w:rPr>
            </w:pPr>
          </w:p>
        </w:tc>
      </w:tr>
      <w:tr w:rsidR="00920B5D" w14:paraId="3AA013B0" w14:textId="77777777" w:rsidTr="00C04487">
        <w:tc>
          <w:tcPr>
            <w:tcW w:w="1167" w:type="dxa"/>
          </w:tcPr>
          <w:p w14:paraId="404C1E67" w14:textId="77777777" w:rsidR="00920B5D" w:rsidRDefault="00920B5D" w:rsidP="00C04487">
            <w:pPr>
              <w:pStyle w:val="TAC"/>
              <w:rPr>
                <w:lang w:eastAsia="ko-KR"/>
              </w:rPr>
            </w:pPr>
          </w:p>
        </w:tc>
        <w:tc>
          <w:tcPr>
            <w:tcW w:w="1979" w:type="dxa"/>
          </w:tcPr>
          <w:p w14:paraId="43373CF8" w14:textId="77777777" w:rsidR="00920B5D" w:rsidRDefault="00920B5D" w:rsidP="00C04487">
            <w:pPr>
              <w:pStyle w:val="TAC"/>
              <w:rPr>
                <w:lang w:eastAsia="ko-KR"/>
              </w:rPr>
            </w:pPr>
          </w:p>
        </w:tc>
        <w:tc>
          <w:tcPr>
            <w:tcW w:w="6483" w:type="dxa"/>
          </w:tcPr>
          <w:p w14:paraId="392AD0FC" w14:textId="77777777" w:rsidR="00920B5D" w:rsidRDefault="00920B5D" w:rsidP="00C04487">
            <w:pPr>
              <w:pStyle w:val="TAL"/>
              <w:rPr>
                <w:lang w:eastAsia="ko-KR"/>
              </w:rPr>
            </w:pPr>
          </w:p>
        </w:tc>
      </w:tr>
      <w:tr w:rsidR="00920B5D" w14:paraId="33BBA1F5" w14:textId="77777777" w:rsidTr="00C04487">
        <w:tc>
          <w:tcPr>
            <w:tcW w:w="1167" w:type="dxa"/>
          </w:tcPr>
          <w:p w14:paraId="2A200CFF" w14:textId="77777777" w:rsidR="00920B5D" w:rsidRDefault="00920B5D" w:rsidP="00C04487">
            <w:pPr>
              <w:pStyle w:val="TAC"/>
              <w:rPr>
                <w:lang w:eastAsia="ko-KR"/>
              </w:rPr>
            </w:pPr>
          </w:p>
        </w:tc>
        <w:tc>
          <w:tcPr>
            <w:tcW w:w="1979" w:type="dxa"/>
          </w:tcPr>
          <w:p w14:paraId="2A9F661C" w14:textId="77777777" w:rsidR="00920B5D" w:rsidRDefault="00920B5D" w:rsidP="00C04487">
            <w:pPr>
              <w:pStyle w:val="TAC"/>
              <w:rPr>
                <w:lang w:eastAsia="ko-KR"/>
              </w:rPr>
            </w:pPr>
          </w:p>
        </w:tc>
        <w:tc>
          <w:tcPr>
            <w:tcW w:w="6483" w:type="dxa"/>
          </w:tcPr>
          <w:p w14:paraId="401D00FC" w14:textId="77777777" w:rsidR="00920B5D" w:rsidRDefault="00920B5D" w:rsidP="00C04487">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lastRenderedPageBreak/>
        <w:t>5</w:t>
      </w:r>
      <w:r w:rsidR="00303696">
        <w:rPr>
          <w:rFonts w:hint="eastAsia"/>
          <w:lang w:eastAsia="ko-KR"/>
        </w:rPr>
        <w:tab/>
      </w:r>
      <w:r w:rsidR="006120FD">
        <w:rPr>
          <w:lang w:eastAsia="ko-KR"/>
        </w:rPr>
        <w:t>References</w:t>
      </w:r>
    </w:p>
    <w:p w14:paraId="636E0944" w14:textId="57D389E9" w:rsidR="00D86AB4" w:rsidRDefault="003E4EA5" w:rsidP="001A5AEF">
      <w:pPr>
        <w:pStyle w:val="EX"/>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8A9F3" w14:textId="77777777" w:rsidR="00D1796E" w:rsidRDefault="00D1796E">
      <w:r>
        <w:separator/>
      </w:r>
    </w:p>
  </w:endnote>
  <w:endnote w:type="continuationSeparator" w:id="0">
    <w:p w14:paraId="47E61A0A" w14:textId="77777777" w:rsidR="00D1796E" w:rsidRDefault="00D1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965E" w14:textId="77777777" w:rsidR="00D1796E" w:rsidRDefault="00D1796E">
      <w:r>
        <w:separator/>
      </w:r>
    </w:p>
  </w:footnote>
  <w:footnote w:type="continuationSeparator" w:id="0">
    <w:p w14:paraId="5E6A1452" w14:textId="77777777" w:rsidR="00D1796E" w:rsidRDefault="00D1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5"/>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B075-C226-49B6-AA47-85B00535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5</Pages>
  <Words>750</Words>
  <Characters>4279</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12</cp:revision>
  <cp:lastPrinted>1900-12-31T22:00:00Z</cp:lastPrinted>
  <dcterms:created xsi:type="dcterms:W3CDTF">2020-08-20T07:26:00Z</dcterms:created>
  <dcterms:modified xsi:type="dcterms:W3CDTF">2020-11-02T13:20:00Z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