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10829E" w14:textId="77777777" w:rsidR="009B50AB" w:rsidRDefault="00691F10">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ad"/>
        <w:ind w:rightChars="-212" w:right="-424"/>
        <w:jc w:val="both"/>
        <w:rPr>
          <w:rFonts w:ascii="Times New Roman" w:eastAsia="宋体"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1"/>
        <w:numPr>
          <w:ilvl w:val="0"/>
          <w:numId w:val="9"/>
        </w:numPr>
        <w:rPr>
          <w:rFonts w:eastAsia="宋体" w:cs="Arial"/>
          <w:lang w:eastAsia="zh-CN"/>
        </w:rPr>
      </w:pPr>
      <w:r>
        <w:rPr>
          <w:rFonts w:eastAsia="宋体"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r>
        <w:t>details</w:t>
      </w:r>
      <w:proofErr w:type="gramStart"/>
      <w:r>
        <w:t>,Friday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1"/>
        <w:numPr>
          <w:ilvl w:val="0"/>
          <w:numId w:val="9"/>
        </w:numPr>
        <w:rPr>
          <w:lang w:eastAsia="zh-CN"/>
        </w:rPr>
      </w:pPr>
      <w:r>
        <w:rPr>
          <w:rFonts w:eastAsia="宋体" w:cs="Arial"/>
          <w:lang w:eastAsia="zh-CN"/>
        </w:rPr>
        <w:t>Discussion</w:t>
      </w:r>
    </w:p>
    <w:p w14:paraId="7164960D" w14:textId="77777777" w:rsidR="009B50AB" w:rsidRDefault="00691F10">
      <w:pPr>
        <w:pStyle w:val="20"/>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pc1</w:t>
      </w:r>
      <w:proofErr w:type="gramEnd"/>
      <w:r>
        <w:rPr>
          <w:rFonts w:ascii="Times New Roman" w:eastAsiaTheme="minorEastAsia" w:hAnsi="Times New Roman"/>
          <w:i/>
          <w:sz w:val="22"/>
          <w:szCs w:val="22"/>
          <w:lang w:eastAsia="ja-JP"/>
        </w:rPr>
        <w:t>,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20"/>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afd"/>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afd"/>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等线"/>
          <w:sz w:val="22"/>
          <w:szCs w:val="22"/>
          <w:lang w:eastAsia="zh-CN"/>
        </w:rPr>
      </w:pPr>
      <w:r>
        <w:rPr>
          <w:rFonts w:eastAsia="等线"/>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af6"/>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7777777"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proofErr w:type="spellStart"/>
            <w:r w:rsidRPr="00C450D1">
              <w:rPr>
                <w:sz w:val="22"/>
              </w:rPr>
              <w:t>FeatureSetUplink</w:t>
            </w:r>
            <w:proofErr w:type="spellEnd"/>
            <w:r w:rsidRPr="00C450D1">
              <w:rPr>
                <w:sz w:val="22"/>
              </w:rPr>
              <w:t>.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where the UE reports multiple BCs 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等线" w:hint="eastAsia"/>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41881061" w14:textId="3000BBE9" w:rsidR="009B50AB" w:rsidRPr="00FD6449" w:rsidRDefault="00FD6449">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ption 1</w:t>
            </w:r>
          </w:p>
        </w:tc>
        <w:tc>
          <w:tcPr>
            <w:tcW w:w="5808" w:type="dxa"/>
          </w:tcPr>
          <w:p w14:paraId="1BE943DD" w14:textId="443482B2" w:rsidR="009B50AB" w:rsidRPr="00FD6449" w:rsidRDefault="00FD6449">
            <w:pPr>
              <w:rPr>
                <w:rFonts w:eastAsia="等线" w:hint="eastAsia"/>
                <w:sz w:val="22"/>
                <w:szCs w:val="22"/>
                <w:lang w:eastAsia="zh-CN"/>
              </w:rPr>
            </w:pPr>
            <w:r>
              <w:rPr>
                <w:rFonts w:eastAsia="等线"/>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bookmarkStart w:id="3" w:name="_GoBack"/>
            <w:bookmarkEnd w:id="3"/>
          </w:p>
        </w:tc>
      </w:tr>
      <w:tr w:rsidR="009B50AB" w14:paraId="1AD579A4" w14:textId="77777777">
        <w:tc>
          <w:tcPr>
            <w:tcW w:w="1838" w:type="dxa"/>
          </w:tcPr>
          <w:p w14:paraId="682C1315" w14:textId="77777777" w:rsidR="009B50AB" w:rsidRDefault="009B50AB">
            <w:pPr>
              <w:rPr>
                <w:rFonts w:eastAsiaTheme="minorEastAsia"/>
                <w:sz w:val="22"/>
                <w:szCs w:val="22"/>
                <w:lang w:eastAsia="ja-JP"/>
              </w:rPr>
            </w:pPr>
          </w:p>
        </w:tc>
        <w:tc>
          <w:tcPr>
            <w:tcW w:w="1985" w:type="dxa"/>
          </w:tcPr>
          <w:p w14:paraId="7DE50868" w14:textId="77777777" w:rsidR="009B50AB" w:rsidRDefault="009B50AB">
            <w:pPr>
              <w:rPr>
                <w:rFonts w:eastAsiaTheme="minorEastAsia"/>
                <w:sz w:val="22"/>
                <w:szCs w:val="22"/>
                <w:lang w:eastAsia="ja-JP"/>
              </w:rPr>
            </w:pPr>
          </w:p>
        </w:tc>
        <w:tc>
          <w:tcPr>
            <w:tcW w:w="5808" w:type="dxa"/>
          </w:tcPr>
          <w:p w14:paraId="568080AE" w14:textId="77777777" w:rsidR="009B50AB" w:rsidRDefault="009B50AB">
            <w:pPr>
              <w:rPr>
                <w:rFonts w:eastAsiaTheme="minorEastAsia"/>
                <w:sz w:val="22"/>
                <w:szCs w:val="22"/>
                <w:lang w:eastAsia="ja-JP"/>
              </w:rPr>
            </w:pPr>
          </w:p>
        </w:tc>
      </w:tr>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 xml:space="preserve">Option 3: Add power class field to </w:t>
      </w:r>
      <w:proofErr w:type="spellStart"/>
      <w:r>
        <w:t>FeatureSetUplink</w:t>
      </w:r>
      <w:proofErr w:type="spellEnd"/>
      <w:r>
        <w:t>:</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w:t>
      </w:r>
      <w:proofErr w:type="spellStart"/>
      <w:r w:rsidRPr="00D918ED">
        <w:rPr>
          <w:rFonts w:ascii="Courier New" w:eastAsia="MS Mincho" w:hAnsi="Courier New" w:cs="Courier New"/>
          <w:color w:val="808080"/>
          <w:lang w:val="en-US" w:eastAsia="ja-JP"/>
        </w:rPr>
        <w:t>BandCombination</w:t>
      </w:r>
      <w:proofErr w:type="spellEnd"/>
      <w:r w:rsidRPr="00D918ED">
        <w:rPr>
          <w:rFonts w:ascii="Courier New" w:eastAsia="MS Mincho" w:hAnsi="Courier New" w:cs="Courier New"/>
          <w:color w:val="808080"/>
          <w:lang w:val="en-US" w:eastAsia="ja-JP"/>
        </w:rPr>
        <w:t xml:space="preserve">-&gt;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20"/>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等线"/>
          <w:sz w:val="22"/>
          <w:szCs w:val="22"/>
          <w:lang w:eastAsia="zh-CN"/>
        </w:rPr>
      </w:pPr>
      <w:r>
        <w:rPr>
          <w:rFonts w:eastAsia="等线"/>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1"/>
        <w:numPr>
          <w:ilvl w:val="0"/>
          <w:numId w:val="9"/>
        </w:numPr>
        <w:rPr>
          <w:rFonts w:eastAsia="宋体" w:cs="Arial"/>
          <w:lang w:eastAsia="zh-CN"/>
        </w:rPr>
      </w:pPr>
      <w:r>
        <w:rPr>
          <w:rFonts w:eastAsia="宋体" w:cs="Arial"/>
          <w:lang w:eastAsia="zh-CN"/>
        </w:rPr>
        <w:t>Reference</w:t>
      </w:r>
    </w:p>
    <w:p w14:paraId="7CA45876" w14:textId="77777777" w:rsidR="009B50AB" w:rsidRDefault="00691F10">
      <w:pPr>
        <w:pStyle w:val="Reference"/>
        <w:rPr>
          <w:rStyle w:val="af3"/>
          <w:color w:val="auto"/>
          <w:u w:val="none"/>
          <w:lang w:val="en-GB"/>
        </w:rPr>
      </w:pPr>
      <w:r>
        <w:rPr>
          <w:rStyle w:val="af3"/>
        </w:rPr>
        <w:t>R2-2008077</w:t>
      </w:r>
      <w:r>
        <w:tab/>
        <w:t xml:space="preserve">Introduction of new </w:t>
      </w:r>
      <w:proofErr w:type="spellStart"/>
      <w:r>
        <w:t>PowerClass</w:t>
      </w:r>
      <w:proofErr w:type="spellEnd"/>
      <w:r>
        <w:t xml:space="preserve"> for NR part in MR-DC</w:t>
      </w:r>
      <w:r>
        <w:tab/>
        <w:t>Huawei, HiSilicon, CMCC</w:t>
      </w:r>
      <w:r>
        <w:tab/>
      </w:r>
    </w:p>
    <w:p w14:paraId="47E29D8E" w14:textId="77777777" w:rsidR="009B50AB" w:rsidRDefault="00691F10">
      <w:pPr>
        <w:pStyle w:val="Reference"/>
      </w:pPr>
      <w:r>
        <w:rPr>
          <w:rStyle w:val="af3"/>
        </w:rPr>
        <w:t>R2-2008078</w:t>
      </w:r>
      <w:r>
        <w:tab/>
        <w:t xml:space="preserve">Introduction of new </w:t>
      </w:r>
      <w:proofErr w:type="spellStart"/>
      <w:r>
        <w:t>PowerClass</w:t>
      </w:r>
      <w:proofErr w:type="spellEnd"/>
      <w:r>
        <w:t xml:space="preserve"> for NR part in MR-DC</w:t>
      </w:r>
      <w:r>
        <w:tab/>
        <w:t>Huawei, HiSilicon, CMCC</w:t>
      </w:r>
      <w:r>
        <w:tab/>
      </w:r>
    </w:p>
    <w:p w14:paraId="5BC31FA2" w14:textId="77777777" w:rsidR="009B50AB" w:rsidRDefault="00FD6449">
      <w:pPr>
        <w:pStyle w:val="Reference"/>
      </w:pPr>
      <w:hyperlink r:id="rId9" w:tooltip="D:Documents3GPPtsg_ranWG2TSGR2_111-eDocsR2-2007112.zip" w:history="1">
        <w:r w:rsidR="00691F10">
          <w:rPr>
            <w:rStyle w:val="af3"/>
          </w:rPr>
          <w:t>R2-2007112</w:t>
        </w:r>
      </w:hyperlink>
      <w:r w:rsidR="00691F10">
        <w:tab/>
        <w:t>Discussion on UE capability for power class for NR band in MR-DC combination</w:t>
      </w:r>
      <w:r w:rsidR="00691F10">
        <w:tab/>
        <w:t>Apple</w:t>
      </w:r>
    </w:p>
    <w:p w14:paraId="67A17BE4" w14:textId="77777777" w:rsidR="009B50AB" w:rsidRDefault="00FD6449">
      <w:pPr>
        <w:pStyle w:val="Reference"/>
      </w:pPr>
      <w:hyperlink r:id="rId10" w:tooltip="D:Documents3GPPtsg_ranWG2TSGR2_111-eDocsR2-2007113.zip" w:history="1">
        <w:r w:rsidR="00691F10">
          <w:rPr>
            <w:rStyle w:val="af3"/>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FD6449">
      <w:pPr>
        <w:pStyle w:val="Reference"/>
        <w:rPr>
          <w:rStyle w:val="af3"/>
          <w:color w:val="auto"/>
          <w:u w:val="none"/>
          <w:lang w:val="en-GB"/>
        </w:rPr>
      </w:pPr>
      <w:hyperlink r:id="rId11" w:tooltip="D:Documents3GPPtsg_ranWG2TSGR2_111-eDocsR2-2007114.zip" w:history="1">
        <w:r w:rsidR="00691F10">
          <w:rPr>
            <w:rStyle w:val="af3"/>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C284" w14:textId="77777777" w:rsidR="007A4508" w:rsidRDefault="007A4508">
      <w:pPr>
        <w:spacing w:after="0" w:line="240" w:lineRule="auto"/>
      </w:pPr>
      <w:r>
        <w:separator/>
      </w:r>
    </w:p>
  </w:endnote>
  <w:endnote w:type="continuationSeparator" w:id="0">
    <w:p w14:paraId="26777A50" w14:textId="77777777" w:rsidR="007A4508" w:rsidRDefault="007A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6723" w14:textId="77777777" w:rsidR="009B50AB" w:rsidRDefault="00691F1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DE70B" w14:textId="77777777" w:rsidR="007A4508" w:rsidRDefault="007A4508">
      <w:pPr>
        <w:spacing w:after="0" w:line="240" w:lineRule="auto"/>
      </w:pPr>
      <w:r>
        <w:separator/>
      </w:r>
    </w:p>
  </w:footnote>
  <w:footnote w:type="continuationSeparator" w:id="0">
    <w:p w14:paraId="512F8DC3" w14:textId="77777777" w:rsidR="007A4508" w:rsidRDefault="007A4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999320"/>
  <w15:docId w15:val="{81398104-C72E-4FE0-8DE7-3CDCDD37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footer" w:qFormat="1"/>
    <w:lsdException w:name="caption" w:qFormat="1"/>
    <w:lsdException w:name="footnote reference" w:semiHidden="1"/>
    <w:lsdException w:name="annotation reference" w:semiHidden="1" w:qFormat="1"/>
    <w:lsdException w:name="List" w:qFormat="1"/>
    <w:lsdException w:name="List Bullet" w:qFormat="1"/>
    <w:lsdException w:name="List Number"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rPr>
      <w:rFonts w:eastAsia="宋体"/>
      <w:b/>
      <w:position w:val="6"/>
      <w:sz w:val="16"/>
      <w:lang w:val="en-US" w:eastAsia="zh-CN" w:bidi="ar-SA"/>
    </w:rPr>
  </w:style>
  <w:style w:type="table" w:styleId="af6">
    <w:name w:val="Table Grid"/>
    <w:basedOn w:val="a2"/>
    <w:uiPriority w:val="39"/>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rPr>
      <w:rFonts w:eastAsia="宋体"/>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1-e\Docs\R2-2007114.zip" TargetMode="External"/><Relationship Id="rId5" Type="http://schemas.openxmlformats.org/officeDocument/2006/relationships/settings" Target="settings.xml"/><Relationship Id="rId10" Type="http://schemas.openxmlformats.org/officeDocument/2006/relationships/hyperlink" Target="file:///D:\Documents\3GPP\tsg_ran\WG2\TSGR2_111-e\Docs\R2-2007113.zip" TargetMode="External"/><Relationship Id="rId4" Type="http://schemas.openxmlformats.org/officeDocument/2006/relationships/styles" Target="styles.xml"/><Relationship Id="rId9" Type="http://schemas.openxmlformats.org/officeDocument/2006/relationships/hyperlink" Target="file:///D:\Documents\3GPP\tsg_ran\WG2\TSGR2_111-e\Docs\R2-200711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CFE24-D958-4EE2-9B40-D7B78154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5643</Characters>
  <Application>Microsoft Office Word</Application>
  <DocSecurity>0</DocSecurity>
  <Lines>47</Lines>
  <Paragraphs>13</Paragraphs>
  <ScaleCrop>false</ScaleCrop>
  <Company>Huawei Technologies Co.,Ltd.</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2020-08-19T02:46:00Z</dcterms:created>
  <dcterms:modified xsi:type="dcterms:W3CDTF">2020-08-19T02:46:00Z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ies>
</file>