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F93AD" w14:textId="3D557609" w:rsidR="00417F07" w:rsidRPr="00417F07" w:rsidRDefault="00417F07" w:rsidP="00417F07">
      <w:pPr>
        <w:tabs>
          <w:tab w:val="left" w:pos="567"/>
        </w:tabs>
        <w:rPr>
          <w:rFonts w:eastAsia="MS Mincho"/>
          <w:b/>
          <w:sz w:val="24"/>
          <w:szCs w:val="24"/>
          <w:lang w:val="en-GB" w:eastAsia="x-none"/>
        </w:rPr>
      </w:pPr>
      <w:r w:rsidRPr="00417F07">
        <w:rPr>
          <w:rFonts w:eastAsia="MS Mincho"/>
          <w:b/>
          <w:sz w:val="24"/>
          <w:szCs w:val="24"/>
          <w:lang w:val="en-GB" w:eastAsia="x-none"/>
        </w:rPr>
        <w:t>3GPP TSG-RAN WG2 Meeting #111 electronic</w:t>
      </w:r>
      <w:r w:rsidRPr="00417F07">
        <w:rPr>
          <w:rFonts w:eastAsia="MS Mincho"/>
          <w:b/>
          <w:sz w:val="24"/>
          <w:szCs w:val="24"/>
          <w:lang w:val="en-GB" w:eastAsia="x-none"/>
        </w:rPr>
        <w:tab/>
      </w:r>
      <w:r>
        <w:rPr>
          <w:rFonts w:eastAsia="MS Mincho"/>
          <w:b/>
          <w:sz w:val="24"/>
          <w:szCs w:val="24"/>
          <w:lang w:val="en-GB" w:eastAsia="x-none"/>
        </w:rPr>
        <w:t xml:space="preserve">                                            </w:t>
      </w:r>
      <w:r w:rsidRPr="00417F07">
        <w:rPr>
          <w:rFonts w:eastAsia="MS Mincho"/>
          <w:b/>
          <w:sz w:val="24"/>
          <w:szCs w:val="24"/>
          <w:lang w:val="en-GB" w:eastAsia="x-none"/>
        </w:rPr>
        <w:t>R2-2</w:t>
      </w:r>
      <w:r w:rsidR="00DD7696">
        <w:rPr>
          <w:rFonts w:eastAsia="MS Mincho"/>
          <w:b/>
          <w:sz w:val="24"/>
          <w:szCs w:val="24"/>
          <w:lang w:val="en-GB" w:eastAsia="x-none"/>
        </w:rPr>
        <w:t>0</w:t>
      </w:r>
      <w:r w:rsidR="004A4DEE">
        <w:rPr>
          <w:rFonts w:eastAsia="MS Mincho"/>
          <w:b/>
          <w:sz w:val="24"/>
          <w:szCs w:val="24"/>
          <w:lang w:val="en-GB" w:eastAsia="x-none"/>
        </w:rPr>
        <w:t>06961</w:t>
      </w:r>
    </w:p>
    <w:p w14:paraId="502FE432" w14:textId="10014E22" w:rsidR="005F705D" w:rsidRPr="005D2C51" w:rsidRDefault="00417F07" w:rsidP="00417F07">
      <w:pPr>
        <w:tabs>
          <w:tab w:val="left" w:pos="567"/>
        </w:tabs>
        <w:rPr>
          <w:rStyle w:val="apple-style-span"/>
          <w:rFonts w:cs="Arial"/>
          <w:sz w:val="16"/>
          <w:szCs w:val="16"/>
        </w:rPr>
      </w:pPr>
      <w:r w:rsidRPr="00417F07">
        <w:rPr>
          <w:rFonts w:eastAsia="MS Mincho"/>
          <w:b/>
          <w:sz w:val="24"/>
          <w:szCs w:val="24"/>
          <w:lang w:val="en-GB" w:eastAsia="x-none"/>
        </w:rPr>
        <w:t>Online, August 17th - 28th, 2020</w:t>
      </w:r>
    </w:p>
    <w:p w14:paraId="5852342B" w14:textId="3E04F36B"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w:t>
      </w:r>
      <w:r w:rsidR="00DD7696">
        <w:rPr>
          <w:b/>
          <w:sz w:val="24"/>
          <w:szCs w:val="24"/>
        </w:rPr>
        <w:t>2</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1944261E"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DD7696" w:rsidRPr="00DD7696">
        <w:rPr>
          <w:b/>
          <w:sz w:val="24"/>
          <w:szCs w:val="24"/>
        </w:rPr>
        <w:t>Enhancements to support IAB topology adaptation</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64BB435F"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w:t>
      </w:r>
      <w:r w:rsidR="007663DD">
        <w:rPr>
          <w:rFonts w:ascii="Calibri" w:eastAsia="Malgun Gothic" w:hAnsi="Calibri" w:cs="Batang"/>
          <w:lang w:val="en-GB" w:eastAsia="ko-KR"/>
        </w:rPr>
        <w:t xml:space="preserve">Enhancements for </w:t>
      </w:r>
      <w:r w:rsidRPr="004131D6">
        <w:rPr>
          <w:rFonts w:ascii="Calibri" w:eastAsia="Malgun Gothic" w:hAnsi="Calibri" w:cs="Batang"/>
          <w:lang w:val="en-GB" w:eastAsia="ko-KR"/>
        </w:rPr>
        <w:t xml:space="preserve">Integrated Access and Backhaul for NR [1], 3GPP has agreed </w:t>
      </w:r>
      <w:r w:rsidR="004131D6" w:rsidRPr="004131D6">
        <w:rPr>
          <w:rFonts w:ascii="Calibri" w:eastAsia="Malgun Gothic" w:hAnsi="Calibri" w:cs="Batang"/>
          <w:lang w:val="en-GB" w:eastAsia="ko-KR"/>
        </w:rPr>
        <w:t xml:space="preserve">to support </w:t>
      </w:r>
      <w:r w:rsidR="007663DD">
        <w:rPr>
          <w:rFonts w:ascii="Calibri" w:eastAsia="Malgun Gothic" w:hAnsi="Calibri" w:cs="Batang"/>
          <w:lang w:val="en-GB" w:eastAsia="ko-KR"/>
        </w:rPr>
        <w:t>topology</w:t>
      </w:r>
      <w:r w:rsidR="00D21C78">
        <w:rPr>
          <w:rFonts w:ascii="Calibri" w:eastAsia="Malgun Gothic" w:hAnsi="Calibri" w:cs="Batang"/>
          <w:lang w:val="en-GB" w:eastAsia="ko-KR"/>
        </w:rPr>
        <w:t xml:space="preserve"> adaptation enhancements</w:t>
      </w:r>
      <w:r w:rsidRPr="004131D6">
        <w:rPr>
          <w:rFonts w:ascii="Calibri" w:eastAsia="Malgun Gothic" w:hAnsi="Calibri" w:cs="Batang"/>
          <w:lang w:val="en-GB" w:eastAsia="ko-KR"/>
        </w:rPr>
        <w:t>:</w:t>
      </w:r>
    </w:p>
    <w:p w14:paraId="029268D9" w14:textId="77777777" w:rsidR="00D21C78" w:rsidRPr="00D54EF9" w:rsidRDefault="00D21C78" w:rsidP="00D21C78">
      <w:pPr>
        <w:rPr>
          <w:bCs/>
          <w:sz w:val="18"/>
          <w:szCs w:val="18"/>
        </w:rPr>
      </w:pPr>
      <w:r w:rsidRPr="00D54EF9">
        <w:rPr>
          <w:bCs/>
          <w:sz w:val="18"/>
          <w:szCs w:val="18"/>
        </w:rPr>
        <w:t>Topology adaptation enhancements [RAN3-led, RAN2]:</w:t>
      </w:r>
    </w:p>
    <w:p w14:paraId="45CD039B" w14:textId="77777777" w:rsidR="00D21C78" w:rsidRPr="00D54EF9" w:rsidRDefault="00D21C78" w:rsidP="00D21C78">
      <w:pPr>
        <w:numPr>
          <w:ilvl w:val="0"/>
          <w:numId w:val="21"/>
        </w:numPr>
        <w:spacing w:before="0" w:after="60"/>
        <w:jc w:val="left"/>
        <w:rPr>
          <w:sz w:val="18"/>
          <w:szCs w:val="18"/>
        </w:rPr>
      </w:pPr>
      <w:r w:rsidRPr="00D54EF9">
        <w:rPr>
          <w:sz w:val="18"/>
          <w:szCs w:val="18"/>
        </w:rPr>
        <w:t xml:space="preserve">Specification of procedures for inter-donor IAB-node migration to enhance robustness and load-balancing, including enhancements to reduce </w:t>
      </w:r>
      <w:proofErr w:type="spellStart"/>
      <w:r w:rsidRPr="00D54EF9">
        <w:rPr>
          <w:sz w:val="18"/>
          <w:szCs w:val="18"/>
        </w:rPr>
        <w:t>signalling</w:t>
      </w:r>
      <w:proofErr w:type="spellEnd"/>
      <w:r w:rsidRPr="00D54EF9">
        <w:rPr>
          <w:sz w:val="18"/>
          <w:szCs w:val="18"/>
        </w:rPr>
        <w:t xml:space="preserve"> load.   </w:t>
      </w:r>
    </w:p>
    <w:p w14:paraId="651022AE" w14:textId="77777777" w:rsidR="00D21C78" w:rsidRPr="00D54EF9" w:rsidRDefault="00D21C78" w:rsidP="00D21C78">
      <w:pPr>
        <w:numPr>
          <w:ilvl w:val="0"/>
          <w:numId w:val="21"/>
        </w:numPr>
        <w:spacing w:before="0" w:after="60"/>
        <w:jc w:val="left"/>
        <w:rPr>
          <w:sz w:val="18"/>
          <w:szCs w:val="18"/>
        </w:rPr>
      </w:pPr>
      <w:r w:rsidRPr="00D54EF9">
        <w:rPr>
          <w:sz w:val="18"/>
          <w:szCs w:val="18"/>
        </w:rPr>
        <w:t>Specification of enhancements to reduce service interruption due to IAB-node migration and BH RLF recovery.</w:t>
      </w:r>
    </w:p>
    <w:p w14:paraId="370F6818" w14:textId="77777777" w:rsidR="00D21C78" w:rsidRPr="00D54EF9" w:rsidRDefault="00D21C78" w:rsidP="00D21C78">
      <w:pPr>
        <w:numPr>
          <w:ilvl w:val="0"/>
          <w:numId w:val="21"/>
        </w:numPr>
        <w:spacing w:before="0" w:after="60"/>
        <w:jc w:val="left"/>
        <w:rPr>
          <w:sz w:val="18"/>
          <w:szCs w:val="18"/>
        </w:rPr>
      </w:pPr>
      <w:r w:rsidRPr="00D54EF9">
        <w:rPr>
          <w:sz w:val="18"/>
          <w:szCs w:val="18"/>
        </w:rPr>
        <w:t>Specification of enhancements to topological redundancy, including support of CP/UP separation.</w:t>
      </w:r>
    </w:p>
    <w:p w14:paraId="0AB8400B" w14:textId="77777777" w:rsidR="00C408C7" w:rsidRDefault="00C408C7" w:rsidP="004A7002">
      <w:pPr>
        <w:rPr>
          <w:rFonts w:ascii="Calibri" w:eastAsia="Malgun Gothic" w:hAnsi="Calibri" w:cs="Batang"/>
          <w:lang w:val="en-GB" w:eastAsia="ko-KR"/>
        </w:rPr>
      </w:pPr>
    </w:p>
    <w:p w14:paraId="597DA981" w14:textId="55C07AF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and optimized operation</w:t>
      </w:r>
      <w:r w:rsidR="00D21C78">
        <w:rPr>
          <w:rFonts w:ascii="Calibri" w:eastAsia="Malgun Gothic" w:hAnsi="Calibri" w:cs="Batang"/>
          <w:lang w:val="en-GB" w:eastAsia="ko-KR"/>
        </w:rPr>
        <w:t xml:space="preserve"> during migration events</w:t>
      </w:r>
      <w:r w:rsidRPr="004131D6">
        <w:rPr>
          <w:rFonts w:ascii="Calibri" w:eastAsia="Malgun Gothic" w:hAnsi="Calibri" w:cs="Batang"/>
          <w:lang w:val="en-GB" w:eastAsia="ko-KR"/>
        </w:rPr>
        <w:t xml:space="preserve">, </w:t>
      </w:r>
      <w:r w:rsidR="00D21C78">
        <w:rPr>
          <w:rFonts w:ascii="Calibri" w:eastAsia="Malgun Gothic" w:hAnsi="Calibri" w:cs="Batang"/>
          <w:lang w:val="en-GB" w:eastAsia="ko-KR"/>
        </w:rPr>
        <w:t>group mobility and user association enhancements may be beneficial features to introduce for IAB in Rel-17 and are discussed in the following sections</w:t>
      </w:r>
      <w:r w:rsidRPr="004131D6">
        <w:rPr>
          <w:rFonts w:ascii="Calibri" w:eastAsia="Malgun Gothic" w:hAnsi="Calibri" w:cs="Batang"/>
          <w:lang w:val="en-GB" w:eastAsia="ko-KR"/>
        </w:rPr>
        <w:t>.</w:t>
      </w:r>
    </w:p>
    <w:p w14:paraId="44DCACF4" w14:textId="4E21DF5E" w:rsidR="004A7002" w:rsidRDefault="004D656A"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Group Mobility for IAB</w:t>
      </w:r>
    </w:p>
    <w:p w14:paraId="0482F4A4" w14:textId="276F0E1E" w:rsidR="004D656A" w:rsidRPr="004D656A" w:rsidRDefault="00566295" w:rsidP="004D656A">
      <w:pPr>
        <w:rPr>
          <w:rFonts w:ascii="Calibri" w:eastAsia="Malgun Gothic" w:hAnsi="Calibri" w:cs="Batang"/>
          <w:lang w:val="en-GB" w:eastAsia="ko-KR"/>
        </w:rPr>
      </w:pPr>
      <w:r>
        <w:rPr>
          <w:rFonts w:ascii="Calibri" w:eastAsia="Malgun Gothic" w:hAnsi="Calibri" w:cs="Batang"/>
          <w:lang w:val="en-GB" w:eastAsia="ko-KR"/>
        </w:rPr>
        <w:t>On</w:t>
      </w:r>
      <w:r w:rsidR="003A5B17">
        <w:rPr>
          <w:rFonts w:ascii="Calibri" w:eastAsia="Malgun Gothic" w:hAnsi="Calibri" w:cs="Batang"/>
          <w:lang w:val="en-GB" w:eastAsia="ko-KR"/>
        </w:rPr>
        <w:t>e</w:t>
      </w:r>
      <w:r>
        <w:rPr>
          <w:rFonts w:ascii="Calibri" w:eastAsia="Malgun Gothic" w:hAnsi="Calibri" w:cs="Batang"/>
          <w:lang w:val="en-GB" w:eastAsia="ko-KR"/>
        </w:rPr>
        <w:t xml:space="preserve"> key difference between</w:t>
      </w:r>
      <w:r w:rsidR="004D656A" w:rsidRPr="004D656A">
        <w:rPr>
          <w:rFonts w:ascii="Calibri" w:eastAsia="Malgun Gothic" w:hAnsi="Calibri" w:cs="Batang"/>
          <w:lang w:val="en-GB" w:eastAsia="ko-KR"/>
        </w:rPr>
        <w:t xml:space="preserve"> </w:t>
      </w:r>
      <w:r>
        <w:rPr>
          <w:rFonts w:ascii="Calibri" w:eastAsia="Malgun Gothic" w:hAnsi="Calibri" w:cs="Batang"/>
          <w:lang w:val="en-GB" w:eastAsia="ko-KR"/>
        </w:rPr>
        <w:t xml:space="preserve">intra-donor and inter-donor migration </w:t>
      </w:r>
      <w:r w:rsidR="004D656A" w:rsidRPr="004D656A">
        <w:rPr>
          <w:rFonts w:ascii="Calibri" w:eastAsia="Malgun Gothic" w:hAnsi="Calibri" w:cs="Batang"/>
          <w:lang w:val="en-GB" w:eastAsia="ko-KR"/>
        </w:rPr>
        <w:t xml:space="preserve">of an IAB node </w:t>
      </w:r>
      <w:r>
        <w:rPr>
          <w:rFonts w:ascii="Calibri" w:eastAsia="Malgun Gothic" w:hAnsi="Calibri" w:cs="Batang"/>
          <w:lang w:val="en-GB" w:eastAsia="ko-KR"/>
        </w:rPr>
        <w:t>is the potential</w:t>
      </w:r>
      <w:r w:rsidR="004D656A" w:rsidRPr="004D656A">
        <w:rPr>
          <w:rFonts w:ascii="Calibri" w:eastAsia="Malgun Gothic" w:hAnsi="Calibri" w:cs="Batang"/>
          <w:lang w:val="en-GB" w:eastAsia="ko-KR"/>
        </w:rPr>
        <w:t xml:space="preserve"> impact</w:t>
      </w:r>
      <w:r>
        <w:rPr>
          <w:rFonts w:ascii="Calibri" w:eastAsia="Malgun Gothic" w:hAnsi="Calibri" w:cs="Batang"/>
          <w:lang w:val="en-GB" w:eastAsia="ko-KR"/>
        </w:rPr>
        <w:t xml:space="preserve"> on</w:t>
      </w:r>
      <w:r w:rsidR="004D656A" w:rsidRPr="004D656A">
        <w:rPr>
          <w:rFonts w:ascii="Calibri" w:eastAsia="Malgun Gothic" w:hAnsi="Calibri" w:cs="Batang"/>
          <w:lang w:val="en-GB" w:eastAsia="ko-KR"/>
        </w:rPr>
        <w:t xml:space="preserve"> access UEs even if they remain connected to the same IAB node, since this changes the CP termination point for the UEs and IAB node. As shown in Figure </w:t>
      </w:r>
      <w:r>
        <w:rPr>
          <w:rFonts w:ascii="Calibri" w:eastAsia="Malgun Gothic" w:hAnsi="Calibri" w:cs="Batang"/>
          <w:lang w:val="en-GB" w:eastAsia="ko-KR"/>
        </w:rPr>
        <w:t>1</w:t>
      </w:r>
      <w:r w:rsidR="004D656A" w:rsidRPr="004D656A">
        <w:rPr>
          <w:rFonts w:ascii="Calibri" w:eastAsia="Malgun Gothic" w:hAnsi="Calibri" w:cs="Batang"/>
          <w:lang w:val="en-GB" w:eastAsia="ko-KR"/>
        </w:rPr>
        <w:t xml:space="preserve"> below, the mobile IAB node acts as an “anchor” cell for the access UEs since the donor nodes and even intermediate IAB nodes may change during the mobile IAB node’s mobility event, but the access UE’s best serving cell is still provided by the mobile IAB node. This type of mobility scenario where the Donors change but the anchor does not is called “Group Mobility.”</w:t>
      </w:r>
    </w:p>
    <w:p w14:paraId="2EEFE2BD" w14:textId="302CD74C" w:rsidR="004D656A" w:rsidRDefault="004D656A" w:rsidP="004D656A">
      <w:pPr>
        <w:jc w:val="center"/>
      </w:pPr>
      <w:r w:rsidRPr="004D656A">
        <w:rPr>
          <w:noProof/>
        </w:rPr>
        <w:drawing>
          <wp:inline distT="0" distB="0" distL="0" distR="0" wp14:anchorId="434C59DF" wp14:editId="274E5ADC">
            <wp:extent cx="3742641" cy="20614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0066" cy="2065513"/>
                    </a:xfrm>
                    <a:prstGeom prst="rect">
                      <a:avLst/>
                    </a:prstGeom>
                  </pic:spPr>
                </pic:pic>
              </a:graphicData>
            </a:graphic>
          </wp:inline>
        </w:drawing>
      </w:r>
    </w:p>
    <w:p w14:paraId="43DA381D" w14:textId="39A30E00" w:rsidR="004D656A" w:rsidRDefault="004D656A" w:rsidP="004D656A">
      <w:pPr>
        <w:jc w:val="center"/>
      </w:pPr>
    </w:p>
    <w:p w14:paraId="25A78701" w14:textId="5F12C724" w:rsidR="004D656A" w:rsidRPr="00566295" w:rsidRDefault="004D656A" w:rsidP="004D656A">
      <w:pPr>
        <w:pStyle w:val="Caption"/>
        <w:rPr>
          <w:rFonts w:ascii="Calibri" w:eastAsia="Malgun Gothic" w:hAnsi="Calibri" w:cs="Batang"/>
          <w:sz w:val="20"/>
          <w:lang w:eastAsia="ko-KR"/>
        </w:rPr>
      </w:pPr>
      <w:r w:rsidRPr="00566295">
        <w:rPr>
          <w:rFonts w:ascii="Calibri" w:eastAsia="Malgun Gothic" w:hAnsi="Calibri" w:cs="Batang"/>
          <w:sz w:val="20"/>
          <w:lang w:eastAsia="ko-KR"/>
        </w:rPr>
        <w:t xml:space="preserve">Figure </w:t>
      </w:r>
      <w:r w:rsidR="003A5B17">
        <w:rPr>
          <w:rFonts w:ascii="Calibri" w:eastAsia="Malgun Gothic" w:hAnsi="Calibri" w:cs="Batang"/>
          <w:sz w:val="20"/>
          <w:lang w:eastAsia="ko-KR"/>
        </w:rPr>
        <w:t>1</w:t>
      </w:r>
      <w:r w:rsidRPr="00566295">
        <w:rPr>
          <w:rFonts w:ascii="Calibri" w:eastAsia="Malgun Gothic" w:hAnsi="Calibri" w:cs="Batang"/>
          <w:sz w:val="20"/>
          <w:lang w:eastAsia="ko-KR"/>
        </w:rPr>
        <w:t xml:space="preserve"> Example of Group Mobility for Mobile IAB</w:t>
      </w:r>
    </w:p>
    <w:p w14:paraId="26F2FC5E" w14:textId="337D9DED" w:rsidR="004D656A" w:rsidRPr="004D656A" w:rsidRDefault="00566295" w:rsidP="004D656A">
      <w:pPr>
        <w:rPr>
          <w:rFonts w:ascii="Calibri" w:eastAsia="Malgun Gothic" w:hAnsi="Calibri" w:cs="Batang"/>
          <w:lang w:val="en-GB" w:eastAsia="ko-KR"/>
        </w:rPr>
      </w:pPr>
      <w:r>
        <w:rPr>
          <w:rFonts w:ascii="Calibri" w:eastAsia="Malgun Gothic" w:hAnsi="Calibri" w:cs="Batang"/>
          <w:lang w:val="en-GB" w:eastAsia="ko-KR"/>
        </w:rPr>
        <w:t>S</w:t>
      </w:r>
      <w:r w:rsidR="004D656A" w:rsidRPr="004D656A">
        <w:rPr>
          <w:rFonts w:ascii="Calibri" w:eastAsia="Malgun Gothic" w:hAnsi="Calibri" w:cs="Batang"/>
          <w:lang w:val="en-GB" w:eastAsia="ko-KR"/>
        </w:rPr>
        <w:t xml:space="preserve">uch a </w:t>
      </w:r>
      <w:r>
        <w:rPr>
          <w:rFonts w:ascii="Calibri" w:eastAsia="Malgun Gothic" w:hAnsi="Calibri" w:cs="Batang"/>
          <w:lang w:val="en-GB" w:eastAsia="ko-KR"/>
        </w:rPr>
        <w:t>migration</w:t>
      </w:r>
      <w:r w:rsidR="004D656A" w:rsidRPr="004D656A">
        <w:rPr>
          <w:rFonts w:ascii="Calibri" w:eastAsia="Malgun Gothic" w:hAnsi="Calibri" w:cs="Batang"/>
          <w:lang w:val="en-GB" w:eastAsia="ko-KR"/>
        </w:rPr>
        <w:t xml:space="preserve"> event as shown in Figure </w:t>
      </w:r>
      <w:r>
        <w:rPr>
          <w:rFonts w:ascii="Calibri" w:eastAsia="Malgun Gothic" w:hAnsi="Calibri" w:cs="Batang"/>
          <w:lang w:val="en-GB" w:eastAsia="ko-KR"/>
        </w:rPr>
        <w:t>1</w:t>
      </w:r>
      <w:r w:rsidR="004D656A" w:rsidRPr="004D656A">
        <w:rPr>
          <w:rFonts w:ascii="Calibri" w:eastAsia="Malgun Gothic" w:hAnsi="Calibri" w:cs="Batang"/>
          <w:lang w:val="en-GB" w:eastAsia="ko-KR"/>
        </w:rPr>
        <w:t xml:space="preserve"> would result in multiple RRC signaling and procedures being triggered at the access UEs, such as </w:t>
      </w:r>
      <w:proofErr w:type="spellStart"/>
      <w:r w:rsidR="004D656A" w:rsidRPr="004D656A">
        <w:rPr>
          <w:rFonts w:ascii="Calibri" w:eastAsia="Malgun Gothic" w:hAnsi="Calibri" w:cs="Batang"/>
          <w:lang w:val="en-GB" w:eastAsia="ko-KR"/>
        </w:rPr>
        <w:t>reconfigurationWithSync</w:t>
      </w:r>
      <w:proofErr w:type="spellEnd"/>
      <w:r w:rsidR="004D656A" w:rsidRPr="004D656A">
        <w:rPr>
          <w:rFonts w:ascii="Calibri" w:eastAsia="Malgun Gothic" w:hAnsi="Calibri" w:cs="Batang"/>
          <w:lang w:val="en-GB" w:eastAsia="ko-KR"/>
        </w:rPr>
        <w:t xml:space="preserve"> in case of </w:t>
      </w:r>
      <w:proofErr w:type="spellStart"/>
      <w:r w:rsidR="004D656A" w:rsidRPr="004D656A">
        <w:rPr>
          <w:rFonts w:ascii="Calibri" w:eastAsia="Malgun Gothic" w:hAnsi="Calibri" w:cs="Batang"/>
          <w:lang w:val="en-GB" w:eastAsia="ko-KR"/>
        </w:rPr>
        <w:t>PCell</w:t>
      </w:r>
      <w:proofErr w:type="spellEnd"/>
      <w:r w:rsidR="004D656A" w:rsidRPr="004D656A">
        <w:rPr>
          <w:rFonts w:ascii="Calibri" w:eastAsia="Malgun Gothic" w:hAnsi="Calibri" w:cs="Batang"/>
          <w:lang w:val="en-GB" w:eastAsia="ko-KR"/>
        </w:rPr>
        <w:t xml:space="preserve"> (for SA deployments) or </w:t>
      </w:r>
      <w:proofErr w:type="spellStart"/>
      <w:r w:rsidR="004D656A" w:rsidRPr="004D656A">
        <w:rPr>
          <w:rFonts w:ascii="Calibri" w:eastAsia="Malgun Gothic" w:hAnsi="Calibri" w:cs="Batang"/>
          <w:lang w:val="en-GB" w:eastAsia="ko-KR"/>
        </w:rPr>
        <w:t>pSCell</w:t>
      </w:r>
      <w:proofErr w:type="spellEnd"/>
      <w:r w:rsidR="004D656A" w:rsidRPr="004D656A">
        <w:rPr>
          <w:rFonts w:ascii="Calibri" w:eastAsia="Malgun Gothic" w:hAnsi="Calibri" w:cs="Batang"/>
          <w:lang w:val="en-GB" w:eastAsia="ko-KR"/>
        </w:rPr>
        <w:t xml:space="preserve"> (for NSA deployments) change procedures.</w:t>
      </w:r>
    </w:p>
    <w:p w14:paraId="52C8752B" w14:textId="77777777" w:rsidR="004D656A" w:rsidRPr="004D656A" w:rsidRDefault="004D656A" w:rsidP="004D656A">
      <w:pPr>
        <w:rPr>
          <w:rFonts w:ascii="Calibri" w:eastAsia="Malgun Gothic" w:hAnsi="Calibri" w:cs="Batang"/>
          <w:lang w:val="en-GB" w:eastAsia="ko-KR"/>
        </w:rPr>
      </w:pPr>
      <w:r w:rsidRPr="004D656A">
        <w:rPr>
          <w:rFonts w:ascii="Calibri" w:eastAsia="Malgun Gothic" w:hAnsi="Calibri" w:cs="Batang"/>
          <w:lang w:val="en-GB" w:eastAsia="ko-KR"/>
        </w:rPr>
        <w:lastRenderedPageBreak/>
        <w:t>However, triggering these procedures introduces significant disruption to the access UE experience in terms of throughput, latency, and connectivity. This is because completing the required RRC procedures requires serving cell and neighbor cell measurements which may have corresponding measurement gaps due to beam sweeping, latency associated with sending, processing, and receiving RRC messages between the access UE and the old/new donor CU (which may be sent over multiple backhaul link hops), completion of a random access (RACH) procedure to the Anchor cell, and tearing down/re-establishing control plane and data plane bearers and corresponding RRC configurations.</w:t>
      </w:r>
    </w:p>
    <w:p w14:paraId="6F43D659" w14:textId="28EBF52F" w:rsidR="004D656A" w:rsidRPr="004D656A" w:rsidRDefault="004D656A" w:rsidP="004D656A">
      <w:pPr>
        <w:rPr>
          <w:rFonts w:ascii="Calibri" w:eastAsia="Malgun Gothic" w:hAnsi="Calibri" w:cs="Batang"/>
          <w:lang w:val="en-GB" w:eastAsia="ko-KR"/>
        </w:rPr>
      </w:pPr>
      <w:r w:rsidRPr="004D656A">
        <w:rPr>
          <w:rFonts w:ascii="Calibri" w:eastAsia="Malgun Gothic" w:hAnsi="Calibri" w:cs="Batang"/>
          <w:lang w:val="en-GB" w:eastAsia="ko-KR"/>
        </w:rPr>
        <w:t xml:space="preserve">In addition to service disruption due to the described procedures during the </w:t>
      </w:r>
      <w:r w:rsidR="00566295">
        <w:rPr>
          <w:rFonts w:ascii="Calibri" w:eastAsia="Malgun Gothic" w:hAnsi="Calibri" w:cs="Batang"/>
          <w:lang w:val="en-GB" w:eastAsia="ko-KR"/>
        </w:rPr>
        <w:t>IAB node migration</w:t>
      </w:r>
      <w:r w:rsidRPr="004D656A">
        <w:rPr>
          <w:rFonts w:ascii="Calibri" w:eastAsia="Malgun Gothic" w:hAnsi="Calibri" w:cs="Batang"/>
          <w:lang w:val="en-GB" w:eastAsia="ko-KR"/>
        </w:rPr>
        <w:t xml:space="preserve"> event, the existing procedures introduce large amounts of unnecessary signaling overhead and processing in the network. This is because a significant majority of the parameters which need to be reconfigured are actually associated with the </w:t>
      </w:r>
      <w:r w:rsidR="00566295">
        <w:rPr>
          <w:rFonts w:ascii="Calibri" w:eastAsia="Malgun Gothic" w:hAnsi="Calibri" w:cs="Batang"/>
          <w:lang w:val="en-GB" w:eastAsia="ko-KR"/>
        </w:rPr>
        <w:t>a</w:t>
      </w:r>
      <w:r w:rsidRPr="004D656A">
        <w:rPr>
          <w:rFonts w:ascii="Calibri" w:eastAsia="Malgun Gothic" w:hAnsi="Calibri" w:cs="Batang"/>
          <w:lang w:val="en-GB" w:eastAsia="ko-KR"/>
        </w:rPr>
        <w:t>nchor cell (e.g. resource allocation parameters, data and control channel configurations, cell ID, RRM measurements, etc.) and will not change if the Donor DU/CU is changed from the access UE perspective. In addition</w:t>
      </w:r>
      <w:r w:rsidR="00566295">
        <w:rPr>
          <w:rFonts w:ascii="Calibri" w:eastAsia="Malgun Gothic" w:hAnsi="Calibri" w:cs="Batang"/>
          <w:lang w:val="en-GB" w:eastAsia="ko-KR"/>
        </w:rPr>
        <w:t>,</w:t>
      </w:r>
      <w:r w:rsidRPr="004D656A">
        <w:rPr>
          <w:rFonts w:ascii="Calibri" w:eastAsia="Malgun Gothic" w:hAnsi="Calibri" w:cs="Batang"/>
          <w:lang w:val="en-GB" w:eastAsia="ko-KR"/>
        </w:rPr>
        <w:t xml:space="preserve"> the RACH procedure is not strictly necessary since the access UEs can maintain synchronization with the mobile IAB node during the mobility event (assuming the mobile IAB node maintains synchronization channel transmissions during the Donor change).</w:t>
      </w:r>
    </w:p>
    <w:p w14:paraId="3DAA1A79" w14:textId="5ED0A936" w:rsidR="00D624C1" w:rsidRDefault="00566295" w:rsidP="004A7002">
      <w:pPr>
        <w:rPr>
          <w:rFonts w:ascii="Calibri" w:eastAsia="Malgun Gothic" w:hAnsi="Calibri" w:cs="Batang"/>
          <w:b/>
          <w:bCs/>
          <w:lang w:val="en-GB" w:eastAsia="ko-KR"/>
        </w:rPr>
      </w:pPr>
      <w:r>
        <w:rPr>
          <w:rFonts w:ascii="Calibri" w:eastAsia="Malgun Gothic" w:hAnsi="Calibri" w:cs="Batang"/>
          <w:b/>
          <w:lang w:val="en-GB" w:eastAsia="ko-KR"/>
        </w:rPr>
        <w:t xml:space="preserve">Proposal 1: </w:t>
      </w:r>
      <w:r w:rsidRPr="00566295">
        <w:rPr>
          <w:rFonts w:ascii="Calibri" w:eastAsia="Malgun Gothic" w:hAnsi="Calibri" w:cs="Batang"/>
          <w:b/>
          <w:bCs/>
          <w:lang w:val="en-GB" w:eastAsia="ko-KR"/>
        </w:rPr>
        <w:t>Rel-17 should consider optimizations to reduce the latency and control plane signalling overhead of inter-donor IAB migration procedures by taking into account potential advantages of explicit group mobility support.</w:t>
      </w:r>
    </w:p>
    <w:p w14:paraId="280D4D02" w14:textId="0687EBD5" w:rsidR="003A5B17" w:rsidRDefault="003A5B17" w:rsidP="003A5B17">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User Association Enhancements for IAB</w:t>
      </w:r>
    </w:p>
    <w:p w14:paraId="4DEAFD5C" w14:textId="3E73DBDC" w:rsidR="003A5B17" w:rsidRPr="003A5B17" w:rsidRDefault="003A5B17" w:rsidP="003A5B17">
      <w:pPr>
        <w:rPr>
          <w:rFonts w:ascii="Calibri" w:eastAsia="Malgun Gothic" w:hAnsi="Calibri" w:cs="Batang"/>
          <w:lang w:val="en-GB" w:eastAsia="ko-KR"/>
        </w:rPr>
      </w:pPr>
      <w:r>
        <w:rPr>
          <w:rFonts w:ascii="Calibri" w:eastAsia="Malgun Gothic" w:hAnsi="Calibri" w:cs="Batang"/>
          <w:lang w:val="en-GB" w:eastAsia="ko-KR"/>
        </w:rPr>
        <w:t>In Rel-16, initial access and mobility procedures for access UEs were kept transparent to the underlying RAN architecture (i.e. the same regardless of whether the cell belonged to an IAB node or wired node).</w:t>
      </w:r>
      <w:r w:rsidRPr="003A5B17">
        <w:rPr>
          <w:rFonts w:ascii="Calibri" w:eastAsia="Malgun Gothic" w:hAnsi="Calibri" w:cs="Batang"/>
          <w:lang w:val="en-GB" w:eastAsia="ko-KR"/>
        </w:rPr>
        <w:t xml:space="preserve"> </w:t>
      </w:r>
      <w:proofErr w:type="gramStart"/>
      <w:r w:rsidR="006752D3">
        <w:rPr>
          <w:rFonts w:ascii="Calibri" w:eastAsia="Malgun Gothic" w:hAnsi="Calibri" w:cs="Batang"/>
          <w:lang w:val="en-GB" w:eastAsia="ko-KR"/>
        </w:rPr>
        <w:t>However</w:t>
      </w:r>
      <w:proofErr w:type="gramEnd"/>
      <w:r w:rsidR="006752D3">
        <w:rPr>
          <w:rFonts w:ascii="Calibri" w:eastAsia="Malgun Gothic" w:hAnsi="Calibri" w:cs="Batang"/>
          <w:lang w:val="en-GB" w:eastAsia="ko-KR"/>
        </w:rPr>
        <w:t xml:space="preserve"> given the new scenarios for topology adaption</w:t>
      </w:r>
      <w:r>
        <w:rPr>
          <w:rFonts w:ascii="Calibri" w:eastAsia="Malgun Gothic" w:hAnsi="Calibri" w:cs="Batang"/>
          <w:lang w:val="en-GB" w:eastAsia="ko-KR"/>
        </w:rPr>
        <w:t xml:space="preserve"> </w:t>
      </w:r>
      <w:r w:rsidR="006752D3">
        <w:rPr>
          <w:rFonts w:ascii="Calibri" w:eastAsia="Malgun Gothic" w:hAnsi="Calibri" w:cs="Batang"/>
          <w:lang w:val="en-GB" w:eastAsia="ko-KR"/>
        </w:rPr>
        <w:t xml:space="preserve">discussed in the previous sections, </w:t>
      </w:r>
      <w:r>
        <w:rPr>
          <w:rFonts w:ascii="Calibri" w:eastAsia="Malgun Gothic" w:hAnsi="Calibri" w:cs="Batang"/>
          <w:lang w:val="en-GB" w:eastAsia="ko-KR"/>
        </w:rPr>
        <w:t>t</w:t>
      </w:r>
      <w:r w:rsidRPr="003A5B17">
        <w:rPr>
          <w:rFonts w:ascii="Calibri" w:eastAsia="Malgun Gothic" w:hAnsi="Calibri" w:cs="Batang"/>
          <w:lang w:val="en-GB" w:eastAsia="ko-KR"/>
        </w:rPr>
        <w:t xml:space="preserve">he initial access procedure </w:t>
      </w:r>
      <w:r w:rsidR="006752D3">
        <w:rPr>
          <w:rFonts w:ascii="Calibri" w:eastAsia="Malgun Gothic" w:hAnsi="Calibri" w:cs="Batang"/>
          <w:lang w:val="en-GB" w:eastAsia="ko-KR"/>
        </w:rPr>
        <w:t>may</w:t>
      </w:r>
      <w:r w:rsidRPr="003A5B17">
        <w:rPr>
          <w:rFonts w:ascii="Calibri" w:eastAsia="Malgun Gothic" w:hAnsi="Calibri" w:cs="Batang"/>
          <w:lang w:val="en-GB" w:eastAsia="ko-KR"/>
        </w:rPr>
        <w:t xml:space="preserve"> be enhanced to support awareness of an IAB deployment and architecture. For example, an IAB node’s hop-order can be factored into cell selection decisions on top of RRM measurements which can be beneficial when considering end-to-end latency of the access traffic which traverses multiple hops compared to a direct connection to a donor node which may have lower RSRP compared to the IAB node.</w:t>
      </w:r>
    </w:p>
    <w:p w14:paraId="4B0683B8" w14:textId="42EFFECE" w:rsidR="003A5B17" w:rsidRPr="003A5B17" w:rsidRDefault="003A5B17" w:rsidP="003A5B17">
      <w:pPr>
        <w:rPr>
          <w:rFonts w:ascii="Calibri" w:eastAsia="Malgun Gothic" w:hAnsi="Calibri" w:cs="Batang"/>
          <w:lang w:val="en-GB" w:eastAsia="ko-KR"/>
        </w:rPr>
      </w:pPr>
      <w:r w:rsidRPr="003A5B17">
        <w:rPr>
          <w:rFonts w:ascii="Calibri" w:eastAsia="Malgun Gothic" w:hAnsi="Calibri" w:cs="Batang"/>
          <w:lang w:val="en-GB" w:eastAsia="ko-KR"/>
        </w:rPr>
        <w:t>Two different types of access UE association enhancements can be considered</w:t>
      </w:r>
      <w:r w:rsidR="006752D3">
        <w:rPr>
          <w:rFonts w:ascii="Calibri" w:eastAsia="Malgun Gothic" w:hAnsi="Calibri" w:cs="Batang"/>
          <w:lang w:val="en-GB" w:eastAsia="ko-KR"/>
        </w:rPr>
        <w:t xml:space="preserve"> in Rel-17</w:t>
      </w:r>
      <w:r w:rsidRPr="003A5B17">
        <w:rPr>
          <w:rFonts w:ascii="Calibri" w:eastAsia="Malgun Gothic" w:hAnsi="Calibri" w:cs="Batang"/>
          <w:lang w:val="en-GB" w:eastAsia="ko-KR"/>
        </w:rPr>
        <w:t>:</w:t>
      </w:r>
    </w:p>
    <w:p w14:paraId="53F806C1" w14:textId="75420DEB" w:rsidR="003A5B17" w:rsidRPr="003A5B17" w:rsidRDefault="003A5B17" w:rsidP="003A5B17">
      <w:pPr>
        <w:ind w:left="720"/>
        <w:rPr>
          <w:rFonts w:ascii="Calibri" w:eastAsia="Malgun Gothic" w:hAnsi="Calibri" w:cs="Batang"/>
          <w:lang w:val="en-GB" w:eastAsia="ko-KR"/>
        </w:rPr>
      </w:pPr>
      <w:r w:rsidRPr="003A5B17">
        <w:rPr>
          <w:rFonts w:ascii="Calibri" w:eastAsia="Malgun Gothic" w:hAnsi="Calibri" w:cs="Batang"/>
          <w:b/>
          <w:bCs/>
          <w:lang w:val="en-GB" w:eastAsia="ko-KR"/>
        </w:rPr>
        <w:t>Topology-aware:</w:t>
      </w:r>
      <w:r w:rsidRPr="003A5B17">
        <w:rPr>
          <w:rFonts w:ascii="Calibri" w:eastAsia="Malgun Gothic" w:hAnsi="Calibri" w:cs="Batang"/>
          <w:lang w:val="en-GB" w:eastAsia="ko-KR"/>
        </w:rPr>
        <w:t xml:space="preserve"> Depending on the number of connected </w:t>
      </w:r>
      <w:proofErr w:type="gramStart"/>
      <w:r w:rsidRPr="003A5B17">
        <w:rPr>
          <w:rFonts w:ascii="Calibri" w:eastAsia="Malgun Gothic" w:hAnsi="Calibri" w:cs="Batang"/>
          <w:lang w:val="en-GB" w:eastAsia="ko-KR"/>
        </w:rPr>
        <w:t>child</w:t>
      </w:r>
      <w:proofErr w:type="gramEnd"/>
      <w:r w:rsidRPr="003A5B17">
        <w:rPr>
          <w:rFonts w:ascii="Calibri" w:eastAsia="Malgun Gothic" w:hAnsi="Calibri" w:cs="Batang"/>
          <w:lang w:val="en-GB" w:eastAsia="ko-KR"/>
        </w:rPr>
        <w:t xml:space="preserve"> IAB nodes and access UEs, the donor nodes may be very congested in terms of both control signaling overhead and data plane scheduling capabilities. In this case, certain cell association biases which spread UEs across different branches of the topology can improve performance than only RSRP-based association. </w:t>
      </w:r>
    </w:p>
    <w:p w14:paraId="321F99CB" w14:textId="1A6A6462" w:rsidR="003A5B17" w:rsidRPr="003A5B17" w:rsidRDefault="003A5B17" w:rsidP="003A5B17">
      <w:pPr>
        <w:ind w:left="720"/>
        <w:rPr>
          <w:rFonts w:ascii="Calibri" w:eastAsia="Malgun Gothic" w:hAnsi="Calibri" w:cs="Batang"/>
          <w:lang w:val="en-GB" w:eastAsia="ko-KR"/>
        </w:rPr>
      </w:pPr>
      <w:r w:rsidRPr="003A5B17">
        <w:rPr>
          <w:rFonts w:ascii="Calibri" w:eastAsia="Malgun Gothic" w:hAnsi="Calibri" w:cs="Batang"/>
          <w:b/>
          <w:bCs/>
          <w:lang w:val="en-GB" w:eastAsia="ko-KR"/>
        </w:rPr>
        <w:t>Service-aware:</w:t>
      </w:r>
      <w:r w:rsidRPr="003A5B17">
        <w:rPr>
          <w:rFonts w:ascii="Calibri" w:eastAsia="Malgun Gothic" w:hAnsi="Calibri" w:cs="Batang"/>
          <w:lang w:val="en-GB" w:eastAsia="ko-KR"/>
        </w:rPr>
        <w:t xml:space="preserve"> The user association policy </w:t>
      </w:r>
      <w:r>
        <w:rPr>
          <w:rFonts w:ascii="Calibri" w:eastAsia="Malgun Gothic" w:hAnsi="Calibri" w:cs="Batang"/>
          <w:lang w:val="en-GB" w:eastAsia="ko-KR"/>
        </w:rPr>
        <w:t>used within the network</w:t>
      </w:r>
      <w:r w:rsidRPr="003A5B17">
        <w:rPr>
          <w:rFonts w:ascii="Calibri" w:eastAsia="Malgun Gothic" w:hAnsi="Calibri" w:cs="Batang"/>
          <w:lang w:val="en-GB" w:eastAsia="ko-KR"/>
        </w:rPr>
        <w:t xml:space="preserve"> may be additionally based on a given UE’s </w:t>
      </w:r>
      <w:r>
        <w:rPr>
          <w:rFonts w:ascii="Calibri" w:eastAsia="Malgun Gothic" w:hAnsi="Calibri" w:cs="Batang"/>
          <w:lang w:val="en-GB" w:eastAsia="ko-KR"/>
        </w:rPr>
        <w:t xml:space="preserve">service requirements (e.g. </w:t>
      </w:r>
      <w:r w:rsidRPr="003A5B17">
        <w:rPr>
          <w:rFonts w:ascii="Calibri" w:eastAsia="Malgun Gothic" w:hAnsi="Calibri" w:cs="Batang"/>
          <w:lang w:val="en-GB" w:eastAsia="ko-KR"/>
        </w:rPr>
        <w:t>URLLC</w:t>
      </w:r>
      <w:r>
        <w:rPr>
          <w:rFonts w:ascii="Calibri" w:eastAsia="Malgun Gothic" w:hAnsi="Calibri" w:cs="Batang"/>
          <w:lang w:val="en-GB" w:eastAsia="ko-KR"/>
        </w:rPr>
        <w:t xml:space="preserve"> vs.</w:t>
      </w:r>
      <w:r w:rsidRPr="003A5B17">
        <w:rPr>
          <w:rFonts w:ascii="Calibri" w:eastAsia="Malgun Gothic" w:hAnsi="Calibri" w:cs="Batang"/>
          <w:lang w:val="en-GB" w:eastAsia="ko-KR"/>
        </w:rPr>
        <w:t xml:space="preserve"> </w:t>
      </w:r>
      <w:proofErr w:type="spellStart"/>
      <w:r w:rsidRPr="003A5B17">
        <w:rPr>
          <w:rFonts w:ascii="Calibri" w:eastAsia="Malgun Gothic" w:hAnsi="Calibri" w:cs="Batang"/>
          <w:lang w:val="en-GB" w:eastAsia="ko-KR"/>
        </w:rPr>
        <w:t>eMBB</w:t>
      </w:r>
      <w:proofErr w:type="spellEnd"/>
      <w:r w:rsidRPr="003A5B17">
        <w:rPr>
          <w:rFonts w:ascii="Calibri" w:eastAsia="Malgun Gothic" w:hAnsi="Calibri" w:cs="Batang"/>
          <w:lang w:val="en-GB" w:eastAsia="ko-KR"/>
        </w:rPr>
        <w:t xml:space="preserve">). For example, the network may </w:t>
      </w:r>
      <w:r>
        <w:rPr>
          <w:rFonts w:ascii="Calibri" w:eastAsia="Malgun Gothic" w:hAnsi="Calibri" w:cs="Batang"/>
          <w:lang w:val="en-GB" w:eastAsia="ko-KR"/>
        </w:rPr>
        <w:t xml:space="preserve">want to </w:t>
      </w:r>
      <w:r w:rsidRPr="003A5B17">
        <w:rPr>
          <w:rFonts w:ascii="Calibri" w:eastAsia="Malgun Gothic" w:hAnsi="Calibri" w:cs="Batang"/>
          <w:lang w:val="en-GB" w:eastAsia="ko-KR"/>
        </w:rPr>
        <w:t xml:space="preserve">bias the URLLC UE towards a lower hop order (closer to the donor) and an </w:t>
      </w:r>
      <w:proofErr w:type="spellStart"/>
      <w:r w:rsidRPr="003A5B17">
        <w:rPr>
          <w:rFonts w:ascii="Calibri" w:eastAsia="Malgun Gothic" w:hAnsi="Calibri" w:cs="Batang"/>
          <w:lang w:val="en-GB" w:eastAsia="ko-KR"/>
        </w:rPr>
        <w:t>eMBB</w:t>
      </w:r>
      <w:proofErr w:type="spellEnd"/>
      <w:r w:rsidRPr="003A5B17">
        <w:rPr>
          <w:rFonts w:ascii="Calibri" w:eastAsia="Malgun Gothic" w:hAnsi="Calibri" w:cs="Batang"/>
          <w:lang w:val="en-GB" w:eastAsia="ko-KR"/>
        </w:rPr>
        <w:t xml:space="preserve">-only UE towards higher hop order since it does not have as stringent of a latency requirement. </w:t>
      </w:r>
      <w:r w:rsidR="00F960C0">
        <w:rPr>
          <w:rFonts w:ascii="Calibri" w:eastAsia="Malgun Gothic" w:hAnsi="Calibri" w:cs="Batang"/>
          <w:lang w:val="en-GB" w:eastAsia="ko-KR"/>
        </w:rPr>
        <w:t>To reduce latency, i</w:t>
      </w:r>
      <w:r>
        <w:rPr>
          <w:rFonts w:ascii="Calibri" w:eastAsia="Malgun Gothic" w:hAnsi="Calibri" w:cs="Batang"/>
          <w:lang w:val="en-GB" w:eastAsia="ko-KR"/>
        </w:rPr>
        <w:t xml:space="preserve">nstead of waiting for </w:t>
      </w:r>
      <w:r w:rsidR="006752D3">
        <w:rPr>
          <w:rFonts w:ascii="Calibri" w:eastAsia="Malgun Gothic" w:hAnsi="Calibri" w:cs="Batang"/>
          <w:lang w:val="en-GB" w:eastAsia="ko-KR"/>
        </w:rPr>
        <w:t xml:space="preserve">normal </w:t>
      </w:r>
      <w:r>
        <w:rPr>
          <w:rFonts w:ascii="Calibri" w:eastAsia="Malgun Gothic" w:hAnsi="Calibri" w:cs="Batang"/>
          <w:lang w:val="en-GB" w:eastAsia="ko-KR"/>
        </w:rPr>
        <w:t>user association procedures to be complete</w:t>
      </w:r>
      <w:r w:rsidR="006752D3">
        <w:rPr>
          <w:rFonts w:ascii="Calibri" w:eastAsia="Malgun Gothic" w:hAnsi="Calibri" w:cs="Batang"/>
          <w:lang w:val="en-GB" w:eastAsia="ko-KR"/>
        </w:rPr>
        <w:t>d</w:t>
      </w:r>
      <w:r>
        <w:rPr>
          <w:rFonts w:ascii="Calibri" w:eastAsia="Malgun Gothic" w:hAnsi="Calibri" w:cs="Batang"/>
          <w:lang w:val="en-GB" w:eastAsia="ko-KR"/>
        </w:rPr>
        <w:t xml:space="preserve"> </w:t>
      </w:r>
      <w:r w:rsidR="006752D3">
        <w:rPr>
          <w:rFonts w:ascii="Calibri" w:eastAsia="Malgun Gothic" w:hAnsi="Calibri" w:cs="Batang"/>
          <w:lang w:val="en-GB" w:eastAsia="ko-KR"/>
        </w:rPr>
        <w:t>before</w:t>
      </w:r>
      <w:r>
        <w:rPr>
          <w:rFonts w:ascii="Calibri" w:eastAsia="Malgun Gothic" w:hAnsi="Calibri" w:cs="Batang"/>
          <w:lang w:val="en-GB" w:eastAsia="ko-KR"/>
        </w:rPr>
        <w:t xml:space="preserve"> moving the user to a more suitable cell</w:t>
      </w:r>
      <w:r w:rsidR="006752D3">
        <w:rPr>
          <w:rFonts w:ascii="Calibri" w:eastAsia="Malgun Gothic" w:hAnsi="Calibri" w:cs="Batang"/>
          <w:lang w:val="en-GB" w:eastAsia="ko-KR"/>
        </w:rPr>
        <w:t xml:space="preserve"> (e.g. via handover), </w:t>
      </w:r>
      <w:r w:rsidR="00F960C0">
        <w:rPr>
          <w:rFonts w:ascii="Calibri" w:eastAsia="Malgun Gothic" w:hAnsi="Calibri" w:cs="Batang"/>
          <w:lang w:val="en-GB" w:eastAsia="ko-KR"/>
        </w:rPr>
        <w:t>these parameters may be jointly optimized with parameters associated with the IAB topology formation/adaptation itself</w:t>
      </w:r>
      <w:r w:rsidRPr="003A5B17">
        <w:rPr>
          <w:rFonts w:ascii="Calibri" w:eastAsia="Malgun Gothic" w:hAnsi="Calibri" w:cs="Batang"/>
          <w:lang w:val="en-GB" w:eastAsia="ko-KR"/>
        </w:rPr>
        <w:t>.</w:t>
      </w:r>
    </w:p>
    <w:p w14:paraId="163C73E0" w14:textId="77777777" w:rsidR="00F960C0" w:rsidRDefault="00F960C0" w:rsidP="00F960C0">
      <w:pPr>
        <w:rPr>
          <w:rFonts w:ascii="Calibri" w:eastAsia="Malgun Gothic" w:hAnsi="Calibri" w:cs="Batang"/>
          <w:b/>
          <w:lang w:val="en-GB" w:eastAsia="ko-KR"/>
        </w:rPr>
      </w:pPr>
    </w:p>
    <w:p w14:paraId="08425210" w14:textId="5929A532" w:rsidR="003A5B17" w:rsidRPr="00566295" w:rsidRDefault="003A5B17" w:rsidP="003A5B17">
      <w:pPr>
        <w:rPr>
          <w:rFonts w:ascii="Calibri" w:eastAsia="Malgun Gothic" w:hAnsi="Calibri" w:cs="Batang"/>
          <w:b/>
          <w:bCs/>
          <w:lang w:val="en-GB" w:eastAsia="ko-KR"/>
        </w:rPr>
      </w:pPr>
      <w:r>
        <w:rPr>
          <w:rFonts w:ascii="Calibri" w:eastAsia="Malgun Gothic" w:hAnsi="Calibri" w:cs="Batang"/>
          <w:b/>
          <w:lang w:val="en-GB" w:eastAsia="ko-KR"/>
        </w:rPr>
        <w:t xml:space="preserve">Proposal </w:t>
      </w:r>
      <w:r w:rsidR="00F960C0">
        <w:rPr>
          <w:rFonts w:ascii="Calibri" w:eastAsia="Malgun Gothic" w:hAnsi="Calibri" w:cs="Batang"/>
          <w:b/>
          <w:lang w:val="en-GB" w:eastAsia="ko-KR"/>
        </w:rPr>
        <w:t>2</w:t>
      </w:r>
      <w:r>
        <w:rPr>
          <w:rFonts w:ascii="Calibri" w:eastAsia="Malgun Gothic" w:hAnsi="Calibri" w:cs="Batang"/>
          <w:b/>
          <w:lang w:val="en-GB" w:eastAsia="ko-KR"/>
        </w:rPr>
        <w:t xml:space="preserve">: </w:t>
      </w:r>
      <w:r w:rsidRPr="00566295">
        <w:rPr>
          <w:rFonts w:ascii="Calibri" w:eastAsia="Malgun Gothic" w:hAnsi="Calibri" w:cs="Batang"/>
          <w:b/>
          <w:bCs/>
          <w:lang w:val="en-GB" w:eastAsia="ko-KR"/>
        </w:rPr>
        <w:t xml:space="preserve">Rel-17 should consider </w:t>
      </w:r>
      <w:r w:rsidR="00F960C0">
        <w:rPr>
          <w:rFonts w:ascii="Calibri" w:eastAsia="Malgun Gothic" w:hAnsi="Calibri" w:cs="Batang"/>
          <w:b/>
          <w:bCs/>
          <w:lang w:val="en-GB" w:eastAsia="ko-KR"/>
        </w:rPr>
        <w:t>topology-aware and service-aware enhancements to cell selection and user association procedures specific to IAB deployments.</w:t>
      </w:r>
    </w:p>
    <w:p w14:paraId="05F87781" w14:textId="77777777" w:rsidR="003A5B17" w:rsidRPr="00566295" w:rsidRDefault="003A5B17" w:rsidP="004A7002">
      <w:pPr>
        <w:rPr>
          <w:rFonts w:ascii="Calibri" w:eastAsia="Malgun Gothic" w:hAnsi="Calibri" w:cs="Batang"/>
          <w:b/>
          <w:bCs/>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047C33FC"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 xml:space="preserve">IAB </w:t>
      </w:r>
      <w:r w:rsidR="00F960C0">
        <w:rPr>
          <w:rFonts w:ascii="Calibri" w:hAnsi="Calibri"/>
        </w:rPr>
        <w:t>topology adaptation enhancements in Rel-17</w:t>
      </w:r>
      <w:r>
        <w:rPr>
          <w:rFonts w:ascii="Calibri" w:hAnsi="Calibri"/>
        </w:rPr>
        <w:t xml:space="preserve">.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062EAF79" w14:textId="77777777" w:rsidR="00F960C0" w:rsidRDefault="00F960C0" w:rsidP="00F960C0">
      <w:pPr>
        <w:rPr>
          <w:rFonts w:ascii="Calibri" w:eastAsia="Malgun Gothic" w:hAnsi="Calibri" w:cs="Batang"/>
          <w:b/>
          <w:bCs/>
          <w:lang w:val="en-GB" w:eastAsia="ko-KR"/>
        </w:rPr>
      </w:pPr>
      <w:r>
        <w:rPr>
          <w:rFonts w:ascii="Calibri" w:eastAsia="Malgun Gothic" w:hAnsi="Calibri" w:cs="Batang"/>
          <w:b/>
          <w:lang w:val="en-GB" w:eastAsia="ko-KR"/>
        </w:rPr>
        <w:t xml:space="preserve">Proposal 1: </w:t>
      </w:r>
      <w:r w:rsidRPr="00566295">
        <w:rPr>
          <w:rFonts w:ascii="Calibri" w:eastAsia="Malgun Gothic" w:hAnsi="Calibri" w:cs="Batang"/>
          <w:b/>
          <w:bCs/>
          <w:lang w:val="en-GB" w:eastAsia="ko-KR"/>
        </w:rPr>
        <w:t>Rel-17 should consider optimizations to reduce the latency and control plane signalling overhead of inter-donor IAB migration procedures by taking into account potential advantages of explicit group mobility support.</w:t>
      </w:r>
    </w:p>
    <w:p w14:paraId="518042FC" w14:textId="77777777" w:rsidR="00F960C0" w:rsidRPr="00566295" w:rsidRDefault="00F960C0" w:rsidP="00F960C0">
      <w:pPr>
        <w:rPr>
          <w:rFonts w:ascii="Calibri" w:eastAsia="Malgun Gothic" w:hAnsi="Calibri" w:cs="Batang"/>
          <w:b/>
          <w:bCs/>
          <w:lang w:val="en-GB" w:eastAsia="ko-KR"/>
        </w:rPr>
      </w:pPr>
      <w:r>
        <w:rPr>
          <w:rFonts w:ascii="Calibri" w:eastAsia="Malgun Gothic" w:hAnsi="Calibri" w:cs="Batang"/>
          <w:b/>
          <w:lang w:val="en-GB" w:eastAsia="ko-KR"/>
        </w:rPr>
        <w:t xml:space="preserve">Proposal 2: </w:t>
      </w:r>
      <w:r w:rsidRPr="00566295">
        <w:rPr>
          <w:rFonts w:ascii="Calibri" w:eastAsia="Malgun Gothic" w:hAnsi="Calibri" w:cs="Batang"/>
          <w:b/>
          <w:bCs/>
          <w:lang w:val="en-GB" w:eastAsia="ko-KR"/>
        </w:rPr>
        <w:t xml:space="preserve">Rel-17 should consider </w:t>
      </w:r>
      <w:r>
        <w:rPr>
          <w:rFonts w:ascii="Calibri" w:eastAsia="Malgun Gothic" w:hAnsi="Calibri" w:cs="Batang"/>
          <w:b/>
          <w:bCs/>
          <w:lang w:val="en-GB" w:eastAsia="ko-KR"/>
        </w:rPr>
        <w:t>topology-aware and service-aware enhancements to cell selection and user association procedures specific to IAB deployments.</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Reference</w:t>
      </w:r>
      <w:r w:rsidR="00D624C1">
        <w:t>s</w:t>
      </w:r>
    </w:p>
    <w:p w14:paraId="5AEE4E88" w14:textId="39E39036" w:rsidR="007A3734" w:rsidRPr="00BD2886" w:rsidRDefault="004A4DEE" w:rsidP="004A4DEE">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sectPr w:rsidR="007A3734"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479A8" w14:textId="77777777" w:rsidR="007D1DF0" w:rsidRDefault="007D1DF0" w:rsidP="00424124">
      <w:pPr>
        <w:spacing w:before="0" w:after="0"/>
      </w:pPr>
      <w:r>
        <w:separator/>
      </w:r>
    </w:p>
  </w:endnote>
  <w:endnote w:type="continuationSeparator" w:id="0">
    <w:p w14:paraId="709B0F51" w14:textId="77777777" w:rsidR="007D1DF0" w:rsidRDefault="007D1DF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38D4B" w14:textId="77777777" w:rsidR="007D1DF0" w:rsidRDefault="007D1DF0" w:rsidP="00424124">
      <w:pPr>
        <w:spacing w:before="0" w:after="0"/>
      </w:pPr>
      <w:r>
        <w:separator/>
      </w:r>
    </w:p>
  </w:footnote>
  <w:footnote w:type="continuationSeparator" w:id="0">
    <w:p w14:paraId="69E3F090" w14:textId="77777777" w:rsidR="007D1DF0" w:rsidRDefault="007D1DF0"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0"/>
  </w:num>
  <w:num w:numId="15">
    <w:abstractNumId w:val="1"/>
  </w:num>
  <w:num w:numId="16">
    <w:abstractNumId w:val="18"/>
  </w:num>
  <w:num w:numId="17">
    <w:abstractNumId w:val="14"/>
  </w:num>
  <w:num w:numId="18">
    <w:abstractNumId w:val="11"/>
  </w:num>
  <w:num w:numId="19">
    <w:abstractNumId w:val="5"/>
  </w:num>
  <w:num w:numId="20">
    <w:abstractNumId w:val="19"/>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1029"/>
    <w:rsid w:val="00137E15"/>
    <w:rsid w:val="001417A8"/>
    <w:rsid w:val="00145C4F"/>
    <w:rsid w:val="00153793"/>
    <w:rsid w:val="00164A98"/>
    <w:rsid w:val="00172743"/>
    <w:rsid w:val="00175301"/>
    <w:rsid w:val="00182657"/>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A5B17"/>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4DEE"/>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656A"/>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295"/>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54510"/>
    <w:rsid w:val="0066157D"/>
    <w:rsid w:val="00665936"/>
    <w:rsid w:val="006703A8"/>
    <w:rsid w:val="0067125A"/>
    <w:rsid w:val="00671E30"/>
    <w:rsid w:val="006752D3"/>
    <w:rsid w:val="006756FB"/>
    <w:rsid w:val="00677BD0"/>
    <w:rsid w:val="00685B82"/>
    <w:rsid w:val="00685E11"/>
    <w:rsid w:val="0069705B"/>
    <w:rsid w:val="006A04B2"/>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663D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1DF0"/>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A89"/>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9F4EF4"/>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1C78"/>
    <w:rsid w:val="00D23CDC"/>
    <w:rsid w:val="00D26593"/>
    <w:rsid w:val="00D268EB"/>
    <w:rsid w:val="00D26CFF"/>
    <w:rsid w:val="00D274C6"/>
    <w:rsid w:val="00D27AF6"/>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B0323"/>
    <w:rsid w:val="00DB1FA7"/>
    <w:rsid w:val="00DB3BFC"/>
    <w:rsid w:val="00DB5143"/>
    <w:rsid w:val="00DC0E31"/>
    <w:rsid w:val="00DC70D0"/>
    <w:rsid w:val="00DC7DD6"/>
    <w:rsid w:val="00DD3971"/>
    <w:rsid w:val="00DD7696"/>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2FF3"/>
    <w:rsid w:val="00F959A1"/>
    <w:rsid w:val="00F960C0"/>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76055-9C3E-49B9-B143-0CE94F08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6375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2018-09-28T20:14:00Z</cp:lastPrinted>
  <dcterms:created xsi:type="dcterms:W3CDTF">2020-08-06T22:32:00Z</dcterms:created>
  <dcterms:modified xsi:type="dcterms:W3CDTF">2020-08-06T22:32:00Z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